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33C6D" w14:paraId="6D817B7A" w14:textId="77777777" w:rsidTr="00796BDB">
        <w:trPr>
          <w:cantSplit/>
          <w:trHeight w:val="23"/>
        </w:trPr>
        <w:tc>
          <w:tcPr>
            <w:tcW w:w="3969" w:type="dxa"/>
            <w:vMerge w:val="restart"/>
            <w:tcMar>
              <w:left w:w="0" w:type="dxa"/>
            </w:tcMar>
          </w:tcPr>
          <w:p w14:paraId="628DC4D6" w14:textId="2595F655" w:rsidR="00D72F49" w:rsidRPr="00A33C6D" w:rsidRDefault="00D72F49" w:rsidP="00796BDB">
            <w:pPr>
              <w:tabs>
                <w:tab w:val="left" w:pos="851"/>
              </w:tabs>
              <w:spacing w:before="0" w:line="240" w:lineRule="atLeast"/>
              <w:rPr>
                <w:b/>
              </w:rPr>
            </w:pPr>
            <w:r w:rsidRPr="00A33C6D">
              <w:rPr>
                <w:b/>
              </w:rPr>
              <w:t>Point de l'ordre du jour:</w:t>
            </w:r>
            <w:r w:rsidR="00FF27E2" w:rsidRPr="00A33C6D">
              <w:rPr>
                <w:b/>
              </w:rPr>
              <w:t xml:space="preserve"> ADM 1</w:t>
            </w:r>
          </w:p>
        </w:tc>
        <w:tc>
          <w:tcPr>
            <w:tcW w:w="5245" w:type="dxa"/>
          </w:tcPr>
          <w:p w14:paraId="73C5274C" w14:textId="139ED501" w:rsidR="00D72F49" w:rsidRPr="00A33C6D" w:rsidRDefault="00D72F49" w:rsidP="00796BDB">
            <w:pPr>
              <w:tabs>
                <w:tab w:val="left" w:pos="851"/>
              </w:tabs>
              <w:spacing w:before="0" w:line="240" w:lineRule="atLeast"/>
              <w:jc w:val="right"/>
              <w:rPr>
                <w:b/>
              </w:rPr>
            </w:pPr>
            <w:r w:rsidRPr="00A33C6D">
              <w:rPr>
                <w:b/>
              </w:rPr>
              <w:t>Document C2</w:t>
            </w:r>
            <w:r w:rsidR="00E4448E" w:rsidRPr="00A33C6D">
              <w:rPr>
                <w:b/>
              </w:rPr>
              <w:t>6</w:t>
            </w:r>
            <w:r w:rsidRPr="00A33C6D">
              <w:rPr>
                <w:b/>
              </w:rPr>
              <w:t>/</w:t>
            </w:r>
            <w:r w:rsidR="00FF27E2" w:rsidRPr="00A33C6D">
              <w:rPr>
                <w:b/>
              </w:rPr>
              <w:t>98</w:t>
            </w:r>
            <w:r w:rsidRPr="00A33C6D">
              <w:rPr>
                <w:b/>
              </w:rPr>
              <w:t>-F</w:t>
            </w:r>
          </w:p>
        </w:tc>
      </w:tr>
      <w:tr w:rsidR="00D72F49" w:rsidRPr="00A33C6D" w14:paraId="4217FB1C" w14:textId="77777777" w:rsidTr="00796BDB">
        <w:trPr>
          <w:cantSplit/>
        </w:trPr>
        <w:tc>
          <w:tcPr>
            <w:tcW w:w="3969" w:type="dxa"/>
            <w:vMerge/>
          </w:tcPr>
          <w:p w14:paraId="1B6AF4AE" w14:textId="77777777" w:rsidR="00D72F49" w:rsidRPr="00A33C6D" w:rsidRDefault="00D72F49" w:rsidP="00796BDB">
            <w:pPr>
              <w:tabs>
                <w:tab w:val="left" w:pos="851"/>
              </w:tabs>
              <w:spacing w:line="240" w:lineRule="atLeast"/>
              <w:rPr>
                <w:b/>
              </w:rPr>
            </w:pPr>
          </w:p>
        </w:tc>
        <w:tc>
          <w:tcPr>
            <w:tcW w:w="5245" w:type="dxa"/>
          </w:tcPr>
          <w:p w14:paraId="71396657" w14:textId="0D3EB43B" w:rsidR="00D72F49" w:rsidRPr="00A33C6D" w:rsidRDefault="00FF27E2" w:rsidP="00796BDB">
            <w:pPr>
              <w:tabs>
                <w:tab w:val="left" w:pos="851"/>
              </w:tabs>
              <w:spacing w:before="0"/>
              <w:jc w:val="right"/>
              <w:rPr>
                <w:b/>
              </w:rPr>
            </w:pPr>
            <w:r w:rsidRPr="00A33C6D">
              <w:rPr>
                <w:b/>
              </w:rPr>
              <w:t>14 avril 2026</w:t>
            </w:r>
          </w:p>
        </w:tc>
      </w:tr>
      <w:tr w:rsidR="00D72F49" w:rsidRPr="00A33C6D" w14:paraId="57B06CFC" w14:textId="77777777" w:rsidTr="00796BDB">
        <w:trPr>
          <w:cantSplit/>
          <w:trHeight w:val="23"/>
        </w:trPr>
        <w:tc>
          <w:tcPr>
            <w:tcW w:w="3969" w:type="dxa"/>
            <w:vMerge/>
          </w:tcPr>
          <w:p w14:paraId="2D094368" w14:textId="77777777" w:rsidR="00D72F49" w:rsidRPr="00A33C6D" w:rsidRDefault="00D72F49" w:rsidP="00796BDB">
            <w:pPr>
              <w:tabs>
                <w:tab w:val="left" w:pos="851"/>
              </w:tabs>
              <w:spacing w:line="240" w:lineRule="atLeast"/>
              <w:rPr>
                <w:b/>
              </w:rPr>
            </w:pPr>
          </w:p>
        </w:tc>
        <w:tc>
          <w:tcPr>
            <w:tcW w:w="5245" w:type="dxa"/>
          </w:tcPr>
          <w:p w14:paraId="576BA547" w14:textId="77777777" w:rsidR="00D72F49" w:rsidRPr="00A33C6D" w:rsidRDefault="00D72F49" w:rsidP="00796BDB">
            <w:pPr>
              <w:tabs>
                <w:tab w:val="left" w:pos="851"/>
              </w:tabs>
              <w:spacing w:before="0" w:line="240" w:lineRule="atLeast"/>
              <w:jc w:val="right"/>
              <w:rPr>
                <w:b/>
              </w:rPr>
            </w:pPr>
            <w:r w:rsidRPr="00A33C6D">
              <w:rPr>
                <w:b/>
              </w:rPr>
              <w:t>Original: anglais</w:t>
            </w:r>
          </w:p>
        </w:tc>
      </w:tr>
      <w:tr w:rsidR="00D72F49" w:rsidRPr="00A33C6D" w14:paraId="6205104D" w14:textId="77777777" w:rsidTr="00796BDB">
        <w:trPr>
          <w:cantSplit/>
          <w:trHeight w:val="23"/>
        </w:trPr>
        <w:tc>
          <w:tcPr>
            <w:tcW w:w="3969" w:type="dxa"/>
          </w:tcPr>
          <w:p w14:paraId="2651D15F" w14:textId="77777777" w:rsidR="00D72F49" w:rsidRPr="00A33C6D" w:rsidRDefault="00D72F49" w:rsidP="00796BDB">
            <w:pPr>
              <w:tabs>
                <w:tab w:val="left" w:pos="851"/>
              </w:tabs>
              <w:spacing w:line="240" w:lineRule="atLeast"/>
              <w:rPr>
                <w:b/>
              </w:rPr>
            </w:pPr>
          </w:p>
        </w:tc>
        <w:tc>
          <w:tcPr>
            <w:tcW w:w="5245" w:type="dxa"/>
          </w:tcPr>
          <w:p w14:paraId="2BD9EA7A" w14:textId="77777777" w:rsidR="00D72F49" w:rsidRPr="00A33C6D" w:rsidRDefault="00D72F49" w:rsidP="00796BDB">
            <w:pPr>
              <w:tabs>
                <w:tab w:val="left" w:pos="851"/>
              </w:tabs>
              <w:spacing w:before="0" w:line="240" w:lineRule="atLeast"/>
              <w:jc w:val="right"/>
              <w:rPr>
                <w:b/>
              </w:rPr>
            </w:pPr>
          </w:p>
        </w:tc>
      </w:tr>
      <w:tr w:rsidR="00D72F49" w:rsidRPr="00A33C6D" w14:paraId="3843990A" w14:textId="77777777" w:rsidTr="00796BDB">
        <w:trPr>
          <w:cantSplit/>
        </w:trPr>
        <w:tc>
          <w:tcPr>
            <w:tcW w:w="9214" w:type="dxa"/>
            <w:gridSpan w:val="2"/>
            <w:tcMar>
              <w:left w:w="0" w:type="dxa"/>
            </w:tcMar>
          </w:tcPr>
          <w:p w14:paraId="774F4CD6" w14:textId="3ACBB1E3" w:rsidR="00D72F49" w:rsidRPr="003F4E2A" w:rsidRDefault="00FF27E2" w:rsidP="003F4E2A">
            <w:pPr>
              <w:pStyle w:val="Source"/>
              <w:framePr w:hSpace="0" w:wrap="auto" w:vAnchor="margin" w:hAnchor="text" w:xAlign="left" w:yAlign="inline"/>
            </w:pPr>
            <w:r w:rsidRPr="003F4E2A">
              <w:t>Contribution de l</w:t>
            </w:r>
            <w:r w:rsidR="00447F3A" w:rsidRPr="003F4E2A">
              <w:t>'</w:t>
            </w:r>
            <w:r w:rsidRPr="003F4E2A">
              <w:t>Arabie saoudite (Royaume d')</w:t>
            </w:r>
            <w:r w:rsidR="00D913DE">
              <w:t xml:space="preserve">, </w:t>
            </w:r>
            <w:r w:rsidR="00D913DE" w:rsidRPr="00D913DE">
              <w:t>Bahreïn (Royaume de)</w:t>
            </w:r>
            <w:r w:rsidR="00D913DE">
              <w:t xml:space="preserve">, </w:t>
            </w:r>
            <w:r w:rsidR="00D913DE" w:rsidRPr="00D913DE">
              <w:t>Koweït (Etat du)</w:t>
            </w:r>
            <w:r w:rsidR="00D913DE">
              <w:t xml:space="preserve">, </w:t>
            </w:r>
            <w:r w:rsidR="00D913DE" w:rsidRPr="00D913DE">
              <w:t>Malaisie</w:t>
            </w:r>
            <w:r w:rsidR="000C65EB" w:rsidRPr="003F4E2A">
              <w:t xml:space="preserve"> et Maroc (Royaume du)</w:t>
            </w:r>
          </w:p>
        </w:tc>
      </w:tr>
      <w:tr w:rsidR="00D72F49" w:rsidRPr="00A33C6D" w14:paraId="4D346263" w14:textId="77777777" w:rsidTr="00796BDB">
        <w:trPr>
          <w:cantSplit/>
        </w:trPr>
        <w:tc>
          <w:tcPr>
            <w:tcW w:w="9214" w:type="dxa"/>
            <w:gridSpan w:val="2"/>
            <w:tcMar>
              <w:left w:w="0" w:type="dxa"/>
            </w:tcMar>
          </w:tcPr>
          <w:p w14:paraId="1452F2AC" w14:textId="6F67F0FD" w:rsidR="00D72F49" w:rsidRPr="00A33C6D" w:rsidRDefault="003F4E2A" w:rsidP="00796BDB">
            <w:pPr>
              <w:pStyle w:val="Subtitle"/>
              <w:framePr w:hSpace="0" w:wrap="auto" w:hAnchor="text" w:xAlign="left" w:yAlign="inline"/>
              <w:rPr>
                <w:sz w:val="32"/>
                <w:szCs w:val="32"/>
                <w:lang w:val="fr-FR"/>
              </w:rPr>
            </w:pPr>
            <w:r w:rsidRPr="00A33C6D">
              <w:rPr>
                <w:rFonts w:cstheme="minorHAnsi"/>
                <w:sz w:val="32"/>
                <w:szCs w:val="32"/>
                <w:lang w:val="fr-FR"/>
              </w:rPr>
              <w:t>AMÉLIORER LE RECOUVREMENT DES COÛTS POUR LE TRAITEMENT DES FICHES DE NOTIFICATION DES RÉSEAUX À SATELLITE ET REMÉDIER AUX RETARDS DE TRAITEMENT ACCUMULÉS PAR LE BUREAU DES RADIOCOMMUNICATIONS</w:t>
            </w:r>
          </w:p>
        </w:tc>
      </w:tr>
      <w:tr w:rsidR="00D72F49" w:rsidRPr="00A33C6D" w14:paraId="1C388868" w14:textId="77777777" w:rsidTr="00796BDB">
        <w:trPr>
          <w:cantSplit/>
        </w:trPr>
        <w:tc>
          <w:tcPr>
            <w:tcW w:w="9214" w:type="dxa"/>
            <w:gridSpan w:val="2"/>
            <w:tcBorders>
              <w:top w:val="single" w:sz="4" w:space="0" w:color="auto"/>
              <w:bottom w:val="single" w:sz="4" w:space="0" w:color="auto"/>
            </w:tcBorders>
            <w:tcMar>
              <w:left w:w="0" w:type="dxa"/>
            </w:tcMar>
          </w:tcPr>
          <w:p w14:paraId="6DAF48C1" w14:textId="77777777" w:rsidR="00D72F49" w:rsidRPr="00A33C6D" w:rsidRDefault="00F37FE5" w:rsidP="00796BDB">
            <w:pPr>
              <w:spacing w:before="160"/>
              <w:rPr>
                <w:b/>
                <w:bCs/>
                <w:sz w:val="26"/>
                <w:szCs w:val="26"/>
              </w:rPr>
            </w:pPr>
            <w:r w:rsidRPr="00A33C6D">
              <w:rPr>
                <w:b/>
                <w:bCs/>
                <w:sz w:val="26"/>
                <w:szCs w:val="26"/>
              </w:rPr>
              <w:t>Objet</w:t>
            </w:r>
          </w:p>
          <w:p w14:paraId="6FBDE993" w14:textId="4CB3D3AF" w:rsidR="00FF27E2" w:rsidRPr="00A33C6D" w:rsidRDefault="00FF27E2" w:rsidP="003F4E2A">
            <w:pPr>
              <w:jc w:val="both"/>
            </w:pPr>
            <w:r w:rsidRPr="00A33C6D">
              <w:t>La présente contribution vise à examiner et à renforcer le cadre de recouvrement des coûts en vigueur pour le traitement des fiches de notification des réseaux à satellite, compte tenu de l</w:t>
            </w:r>
            <w:r w:rsidR="00447F3A" w:rsidRPr="00A33C6D">
              <w:t>'</w:t>
            </w:r>
            <w:r w:rsidRPr="00A33C6D">
              <w:t>augmentation de la charge de travail, des déséquilibres financiers et des problèmes opérationnels auxquels le Bureau des radiocommunications (BR) fait face. Il s'agit de garantir que la méthode utilisée est conforme aux principes énoncés dans la Résolution 91 de la Conférence de plénipotentiaires et dans la Décision 482 (modifiée en 2025) du Conseil, tout en améliorant la proportionnalité, la prévisibilité et l</w:t>
            </w:r>
            <w:r w:rsidR="00447F3A" w:rsidRPr="00A33C6D">
              <w:t>'</w:t>
            </w:r>
            <w:r w:rsidRPr="00A33C6D">
              <w:t>efficacité.</w:t>
            </w:r>
          </w:p>
          <w:p w14:paraId="7886F751" w14:textId="30966978" w:rsidR="00D72F49" w:rsidRPr="00A33C6D" w:rsidRDefault="00FF27E2" w:rsidP="003F4E2A">
            <w:pPr>
              <w:jc w:val="both"/>
            </w:pPr>
            <w:r w:rsidRPr="00A33C6D">
              <w:t>En outre, la présente contribution met en lumière le problème croissant des retards accumulés dans le traitement des fiches de notification des réseaux à satellite et ses incidences réglementaires, opérationnelles et financières pour les États Membres, et propose des mesures visant à rétablir l</w:t>
            </w:r>
            <w:r w:rsidR="00447F3A" w:rsidRPr="00A33C6D">
              <w:t>'</w:t>
            </w:r>
            <w:r w:rsidRPr="00A33C6D">
              <w:t>équilibre entre la charge de travail et les ressources disponibles.</w:t>
            </w:r>
          </w:p>
          <w:p w14:paraId="6CCACB25" w14:textId="77777777" w:rsidR="00D72F49" w:rsidRPr="00A33C6D" w:rsidRDefault="00D72F49" w:rsidP="00796BDB">
            <w:pPr>
              <w:spacing w:before="160"/>
              <w:rPr>
                <w:b/>
                <w:bCs/>
                <w:sz w:val="26"/>
                <w:szCs w:val="26"/>
              </w:rPr>
            </w:pPr>
            <w:r w:rsidRPr="00A33C6D">
              <w:rPr>
                <w:b/>
                <w:bCs/>
                <w:sz w:val="26"/>
                <w:szCs w:val="26"/>
              </w:rPr>
              <w:t>Suite à donner par le Conseil</w:t>
            </w:r>
          </w:p>
          <w:p w14:paraId="3AE039DC" w14:textId="6D4422F6" w:rsidR="00D72F49" w:rsidRPr="00A33C6D" w:rsidRDefault="00FF27E2" w:rsidP="00796BDB">
            <w:r w:rsidRPr="00A33C6D">
              <w:t>Le Conseil est invité à examiner les vues et les propositions exposées dans la présente contribution.</w:t>
            </w:r>
          </w:p>
          <w:p w14:paraId="641E8815" w14:textId="77777777" w:rsidR="00D72F49" w:rsidRPr="00A33C6D" w:rsidRDefault="00D72F49" w:rsidP="00796BDB">
            <w:pPr>
              <w:spacing w:before="160"/>
              <w:rPr>
                <w:caps/>
                <w:sz w:val="22"/>
              </w:rPr>
            </w:pPr>
            <w:r w:rsidRPr="00A33C6D">
              <w:rPr>
                <w:sz w:val="22"/>
              </w:rPr>
              <w:t>__________________</w:t>
            </w:r>
          </w:p>
          <w:p w14:paraId="025782AC" w14:textId="77777777" w:rsidR="00D72F49" w:rsidRPr="00A33C6D" w:rsidRDefault="00D72F49" w:rsidP="00796BDB">
            <w:pPr>
              <w:spacing w:before="160"/>
              <w:rPr>
                <w:b/>
                <w:bCs/>
                <w:sz w:val="26"/>
                <w:szCs w:val="26"/>
              </w:rPr>
            </w:pPr>
            <w:r w:rsidRPr="00A33C6D">
              <w:rPr>
                <w:b/>
                <w:bCs/>
                <w:sz w:val="26"/>
                <w:szCs w:val="26"/>
              </w:rPr>
              <w:t>Références</w:t>
            </w:r>
          </w:p>
          <w:p w14:paraId="723CA951" w14:textId="6A2BD707" w:rsidR="00D72F49" w:rsidRPr="003F4E2A" w:rsidRDefault="00FF27E2" w:rsidP="00CE5172">
            <w:pPr>
              <w:pStyle w:val="Referencetext"/>
              <w:framePr w:hSpace="0" w:wrap="auto" w:vAnchor="margin" w:hAnchor="text" w:xAlign="left" w:yAlign="inline"/>
            </w:pPr>
            <w:hyperlink r:id="rId7" w:history="1">
              <w:r w:rsidRPr="003F4E2A">
                <w:rPr>
                  <w:rStyle w:val="Hyperlink"/>
                  <w:rFonts w:eastAsia="Times New Roman" w:cs="Times New Roman"/>
                </w:rPr>
                <w:t>Résolution 91</w:t>
              </w:r>
            </w:hyperlink>
            <w:r w:rsidRPr="003F4E2A">
              <w:t xml:space="preserve"> (Rév. Guadalajara, 2010) de la Conférence de plénipotentiaires; </w:t>
            </w:r>
            <w:hyperlink r:id="rId8" w:history="1">
              <w:r w:rsidRPr="003F4E2A">
                <w:rPr>
                  <w:rStyle w:val="Hyperlink"/>
                  <w:rFonts w:eastAsia="Times New Roman" w:cs="Times New Roman"/>
                </w:rPr>
                <w:t>Décision 482</w:t>
              </w:r>
            </w:hyperlink>
            <w:r w:rsidRPr="003F4E2A">
              <w:t xml:space="preserve"> (C01, dernière mod. C25) du Conseil; </w:t>
            </w:r>
            <w:hyperlink r:id="rId9" w:history="1">
              <w:r w:rsidRPr="003F4E2A">
                <w:rPr>
                  <w:rStyle w:val="Hyperlink"/>
                  <w:rFonts w:eastAsia="Times New Roman" w:cs="Times New Roman"/>
                </w:rPr>
                <w:t>Documents C26/16</w:t>
              </w:r>
            </w:hyperlink>
            <w:r w:rsidRPr="003F4E2A">
              <w:t xml:space="preserve"> et </w:t>
            </w:r>
            <w:hyperlink r:id="rId10" w:history="1">
              <w:r w:rsidR="009C1B6F" w:rsidRPr="003F4E2A">
                <w:rPr>
                  <w:rStyle w:val="Hyperlink"/>
                  <w:rFonts w:eastAsia="Times New Roman" w:cs="Times New Roman"/>
                </w:rPr>
                <w:t>C26/19</w:t>
              </w:r>
            </w:hyperlink>
            <w:r w:rsidR="009C1B6F" w:rsidRPr="003F4E2A">
              <w:t xml:space="preserve"> du Conseil</w:t>
            </w:r>
          </w:p>
        </w:tc>
      </w:tr>
    </w:tbl>
    <w:p w14:paraId="08D7CAC9" w14:textId="77777777" w:rsidR="00A51849" w:rsidRPr="00A33C6D" w:rsidRDefault="00A51849">
      <w:pPr>
        <w:tabs>
          <w:tab w:val="clear" w:pos="567"/>
          <w:tab w:val="clear" w:pos="1134"/>
          <w:tab w:val="clear" w:pos="1701"/>
          <w:tab w:val="clear" w:pos="2268"/>
          <w:tab w:val="clear" w:pos="2835"/>
        </w:tabs>
        <w:overflowPunct/>
        <w:autoSpaceDE/>
        <w:autoSpaceDN/>
        <w:adjustRightInd/>
        <w:spacing w:before="0"/>
        <w:textAlignment w:val="auto"/>
      </w:pPr>
      <w:r w:rsidRPr="00A33C6D">
        <w:br w:type="page"/>
      </w:r>
    </w:p>
    <w:p w14:paraId="727F6BB2" w14:textId="77777777" w:rsidR="002F1E7D" w:rsidRPr="00A33C6D" w:rsidRDefault="002F1E7D" w:rsidP="002F1E7D">
      <w:pPr>
        <w:pStyle w:val="Headingb"/>
      </w:pPr>
      <w:r w:rsidRPr="00A33C6D">
        <w:lastRenderedPageBreak/>
        <w:t>Introduction</w:t>
      </w:r>
    </w:p>
    <w:p w14:paraId="1D536EF2" w14:textId="4F84665E" w:rsidR="002F1E7D" w:rsidRPr="00A33C6D" w:rsidRDefault="002F1E7D" w:rsidP="003F4E2A">
      <w:pPr>
        <w:jc w:val="both"/>
      </w:pPr>
      <w:r w:rsidRPr="00A33C6D">
        <w:t>Nous savons gré au Secrétariat d</w:t>
      </w:r>
      <w:r w:rsidR="00447F3A" w:rsidRPr="00A33C6D">
        <w:t>'</w:t>
      </w:r>
      <w:r w:rsidRPr="00A33C6D">
        <w:t>avoir élaboré le rapport annuel (Document C26/16) et le projet de méthode (Document C26/19) et d</w:t>
      </w:r>
      <w:r w:rsidR="00447F3A" w:rsidRPr="00A33C6D">
        <w:t>'</w:t>
      </w:r>
      <w:r w:rsidRPr="00A33C6D">
        <w:t>avoir poursuivi ses efforts pour améliorer le recouvrement des coûts liés aux fiches de notification des réseaux à satellite. En outre, nous saluons les travaux du Groupe de travail du Conseil sur les ressources financières et les ressources humaines (GTC-FHR) à ce sujet.</w:t>
      </w:r>
    </w:p>
    <w:p w14:paraId="24D40751" w14:textId="3BDA2308" w:rsidR="002F1E7D" w:rsidRPr="00A33C6D" w:rsidRDefault="002F1E7D" w:rsidP="003F4E2A">
      <w:pPr>
        <w:jc w:val="both"/>
      </w:pPr>
      <w:r w:rsidRPr="00A33C6D">
        <w:t>Les États Membres constatent une augmentation du nombre et de la complexité des fiches de notification de réseaux à satellite soumises, notamment en ce qui concerne les grandes constellations de satellites non géostationnaires. Cette tendance accroît la charge de travail du Bureau des radiocommunications (BR), réduit la prévisibilité du processus relatif aux fiches de notification et fait peser une pression financière sur le système de recouvrement des coûts pour le traitement de ces fiches. Le rapport annuel montre que les coûts de traitement sont largement supérieurs aux produits et que les produits différés et l</w:t>
      </w:r>
      <w:r w:rsidR="00447F3A" w:rsidRPr="00A33C6D">
        <w:t>'</w:t>
      </w:r>
      <w:r w:rsidRPr="00A33C6D">
        <w:t>arriéré s'accumulent.</w:t>
      </w:r>
    </w:p>
    <w:p w14:paraId="75297A40" w14:textId="5219071B" w:rsidR="002F1E7D" w:rsidRPr="00A33C6D" w:rsidRDefault="002F1E7D" w:rsidP="003F4E2A">
      <w:pPr>
        <w:jc w:val="both"/>
      </w:pPr>
      <w:r w:rsidRPr="00A33C6D">
        <w:t>Dans ce contexte, toute révision de la méthode de recouvrement des coûts doit respecter les principes établis par la Conférence de plénipotentiaires (PP) et le Conseil de l</w:t>
      </w:r>
      <w:r w:rsidR="00447F3A" w:rsidRPr="00A33C6D">
        <w:t>'</w:t>
      </w:r>
      <w:r w:rsidRPr="00A33C6D">
        <w:t>UIT. À ce titre, la Résolution 91 de la PP préconise un recouvrement des coûts sur la base du prépaiement qui couvre les coûts directs et indirects de la fourniture du service, applique une méthode d</w:t>
      </w:r>
      <w:r w:rsidR="00447F3A" w:rsidRPr="00A33C6D">
        <w:t>'</w:t>
      </w:r>
      <w:r w:rsidRPr="00A33C6D">
        <w:t>imputation proportionnelle, tient compte des besoins particuliers des pays en développement et offre à tous les États Membres un niveau adéquat de services gratuits. Quant à la Décision 482 (modifiée en 2025), elle applique ces principes au traitement des fiches de notification des réseaux à satellite et accorde à chaque État Membre une franchise de droits pour une fiche de notification par an.</w:t>
      </w:r>
    </w:p>
    <w:p w14:paraId="5343E28F" w14:textId="77777777" w:rsidR="002F1E7D" w:rsidRPr="00A33C6D" w:rsidRDefault="002F1E7D" w:rsidP="003F4E2A">
      <w:pPr>
        <w:jc w:val="both"/>
      </w:pPr>
      <w:r w:rsidRPr="00A33C6D">
        <w:t>La présente contribution porte sur les aspects opérationnels et financiers du recouvrement des coûts pour le traitement des fiches de notification et contient des propositions visant à améliorer la prévisibilité, la proportionnalité et la cohérence globale du cadre de recouvrement des coûts.</w:t>
      </w:r>
    </w:p>
    <w:p w14:paraId="6E5764C8" w14:textId="62A56585" w:rsidR="002F1E7D" w:rsidRPr="00A33C6D" w:rsidRDefault="002F1E7D" w:rsidP="002F1E7D">
      <w:pPr>
        <w:pStyle w:val="Headingb"/>
      </w:pPr>
      <w:r w:rsidRPr="00A33C6D">
        <w:t>Examen</w:t>
      </w:r>
    </w:p>
    <w:p w14:paraId="29C24EE2" w14:textId="7B77636C" w:rsidR="002F1E7D" w:rsidRPr="00A33C6D" w:rsidRDefault="002F1E7D" w:rsidP="003F4E2A">
      <w:pPr>
        <w:pStyle w:val="Headingb"/>
      </w:pPr>
      <w:r w:rsidRPr="00A33C6D">
        <w:t>1</w:t>
      </w:r>
      <w:r w:rsidRPr="00A33C6D">
        <w:tab/>
        <w:t>Recouvrement des coûts pour le traitement des fiches de notification</w:t>
      </w:r>
    </w:p>
    <w:p w14:paraId="1E590241" w14:textId="154AD9D6" w:rsidR="002F1E7D" w:rsidRPr="00A33C6D" w:rsidRDefault="002F1E7D" w:rsidP="003F4E2A">
      <w:pPr>
        <w:jc w:val="both"/>
      </w:pPr>
      <w:r w:rsidRPr="00A33C6D">
        <w:t>Le rapport annuel met en évidence un déséquilibre important entre les coûts et les produits associés aux fiches de notification des réseaux à satellite, les coûts de traitement étant largement supérieurs aux produits générés grâce au cadre relatif aux droits en vigueur. Même lorsque l'on tient compte des franchises de droits et des produits différés, le manque à gagner reste notable, ce qui indique que le traitement des fiches de notification est en réalité subventionné par le budget ordinaire de l</w:t>
      </w:r>
      <w:r w:rsidR="00447F3A" w:rsidRPr="00A33C6D">
        <w:t>'</w:t>
      </w:r>
      <w:r w:rsidRPr="00A33C6D">
        <w:t>UIT, contrairement aux prescriptions de la Résolution 91 de la PP en matière de recouvrement des coûts. En outre, un nombre considérable de demandes de coordination sont en attente de facturation en raison des contraintes qui pèsent sur les ressources, ce qui souligne un peu plus la nécessité d</w:t>
      </w:r>
      <w:r w:rsidR="00447F3A" w:rsidRPr="00A33C6D">
        <w:t>'</w:t>
      </w:r>
      <w:r w:rsidRPr="00A33C6D">
        <w:t>améliorer à la fois le cadre relatif aux droits et les capacités opérationnelles. Dans ce contexte, les États Membres réaffirment que le recouvrement des coûts devrait porter sur la totalité des coûts directs et sur une part proportionnelle des coûts indirects, selon des méthodes d'imputation claires, et garantir que les droits à acquitter restent attachés aux services fournis et ne servent pas à subventionner d'autres activités de l</w:t>
      </w:r>
      <w:r w:rsidR="00447F3A" w:rsidRPr="00A33C6D">
        <w:t>'</w:t>
      </w:r>
      <w:r w:rsidRPr="00A33C6D">
        <w:t>UIT n'ayant aucun rapport. Si nous voyons dans la proposition d</w:t>
      </w:r>
      <w:r w:rsidR="00447F3A" w:rsidRPr="00A33C6D">
        <w:t>'</w:t>
      </w:r>
      <w:r w:rsidRPr="00A33C6D">
        <w:t xml:space="preserve">adopter une approche axée sur la comptabilité par activités un pas dans la bonne direction pour mieux rendre compte du véritable effort de traitement des fiches de </w:t>
      </w:r>
      <w:r w:rsidRPr="00A33C6D">
        <w:lastRenderedPageBreak/>
        <w:t>notification des réseaux à satellite, nous demeurons préoccupés par le volet imputation des coûts indirects de la méthode proposée, en particulier parce qu'elle ne prouve pas l</w:t>
      </w:r>
      <w:r w:rsidR="00447F3A" w:rsidRPr="00A33C6D">
        <w:t>'</w:t>
      </w:r>
      <w:r w:rsidRPr="00A33C6D">
        <w:t>existence d</w:t>
      </w:r>
      <w:r w:rsidR="00447F3A" w:rsidRPr="00A33C6D">
        <w:t>'</w:t>
      </w:r>
      <w:r w:rsidRPr="00A33C6D">
        <w:t>un lien manifeste et vérifiable avec les activités relatives aux fiches de notification. À cet égard, nous soulignons qu</w:t>
      </w:r>
      <w:r w:rsidR="00447F3A" w:rsidRPr="00A33C6D">
        <w:t>'</w:t>
      </w:r>
      <w:r w:rsidRPr="00A33C6D">
        <w:t>il est important d</w:t>
      </w:r>
      <w:r w:rsidR="00447F3A" w:rsidRPr="00A33C6D">
        <w:t>'</w:t>
      </w:r>
      <w:r w:rsidRPr="00A33C6D">
        <w:t>établir une distinction nette entre les coûts directement imputables au traitement des fiches de notification et les coûts institutionnels généraux, et de veiller à ce que seuls les coûts liés au traitement des fiches de notification, ainsi qu</w:t>
      </w:r>
      <w:r w:rsidR="00447F3A" w:rsidRPr="00A33C6D">
        <w:t>'</w:t>
      </w:r>
      <w:r w:rsidRPr="00A33C6D">
        <w:t>une part proportionnelle appropriée des frais généraux, soient mis en recouvrement au moyen de droits à acquitter pour le traitement des fiches de notification, conformément aux principes énoncés dans la Résolution 91 de la PP.</w:t>
      </w:r>
    </w:p>
    <w:p w14:paraId="57B83C65" w14:textId="2E2E1F79" w:rsidR="002F1E7D" w:rsidRPr="00A33C6D" w:rsidRDefault="002F1E7D" w:rsidP="003F4E2A">
      <w:pPr>
        <w:pStyle w:val="Headingb"/>
      </w:pPr>
      <w:r w:rsidRPr="00A33C6D">
        <w:t>2</w:t>
      </w:r>
      <w:r w:rsidRPr="00A33C6D">
        <w:tab/>
        <w:t>Franchises de droits</w:t>
      </w:r>
    </w:p>
    <w:p w14:paraId="51F1E527" w14:textId="02A11039" w:rsidR="002F1E7D" w:rsidRPr="00A33C6D" w:rsidRDefault="002F1E7D" w:rsidP="003F4E2A">
      <w:pPr>
        <w:jc w:val="both"/>
      </w:pPr>
      <w:r w:rsidRPr="00A33C6D">
        <w:t>La Décision 482 dispose que chaque État Membre a droit à la publication d'une fiche de notification de réseau à satellite par an à titre gratuit (franchise) et permet à l</w:t>
      </w:r>
      <w:r w:rsidR="00447F3A" w:rsidRPr="00A33C6D">
        <w:t>'</w:t>
      </w:r>
      <w:r w:rsidRPr="00A33C6D">
        <w:t>administration notificatrice de déterminer la fiche de notification bénéficiant de cette franchise. Bien que ce mécanisme ait été mis en place pour favoriser un accès équitable, nous remarquons que son application actuelle peut avoir des conséquences indésirables, notamment de possibles utilisations abusives des franchises.</w:t>
      </w:r>
    </w:p>
    <w:p w14:paraId="47F0E9AD" w14:textId="5A1C7B22" w:rsidR="002F1E7D" w:rsidRPr="00A33C6D" w:rsidRDefault="002F1E7D" w:rsidP="003F4E2A">
      <w:pPr>
        <w:jc w:val="both"/>
      </w:pPr>
      <w:r w:rsidRPr="00A33C6D">
        <w:t>À cet égard, nous rappelons que la Résolution 91 de la PP prévoit expressément le maintien d</w:t>
      </w:r>
      <w:r w:rsidR="00447F3A" w:rsidRPr="00A33C6D">
        <w:t>'</w:t>
      </w:r>
      <w:r w:rsidRPr="00A33C6D">
        <w:t>un niveau adéquat de services gratuits, conformément à l</w:t>
      </w:r>
      <w:r w:rsidR="00447F3A" w:rsidRPr="00A33C6D">
        <w:t>'</w:t>
      </w:r>
      <w:r w:rsidRPr="00A33C6D">
        <w:t>objectif que s</w:t>
      </w:r>
      <w:r w:rsidR="00447F3A" w:rsidRPr="00A33C6D">
        <w:t>'</w:t>
      </w:r>
      <w:r w:rsidRPr="00A33C6D">
        <w:t>est fixé l</w:t>
      </w:r>
      <w:r w:rsidR="00447F3A" w:rsidRPr="00A33C6D">
        <w:t>'</w:t>
      </w:r>
      <w:r w:rsidRPr="00A33C6D">
        <w:t>Union s'agissant d</w:t>
      </w:r>
      <w:r w:rsidR="00447F3A" w:rsidRPr="00A33C6D">
        <w:t>'</w:t>
      </w:r>
      <w:r w:rsidRPr="00A33C6D">
        <w:t>assurer un accès équitable à tous les États Membres. Toutefois, nous notons que la méthode proposée dans le Document C26/19 intègre le coût des franchises dans l'assiette globale des droits, ce qui répercute de fait ce coût sur les utilisateurs acquittant des droits. Nous considérons qu</w:t>
      </w:r>
      <w:r w:rsidR="00447F3A" w:rsidRPr="00A33C6D">
        <w:t>'</w:t>
      </w:r>
      <w:r w:rsidRPr="00A33C6D">
        <w:t>une telle approche ne traduit pas manifestement la nature du principe de franchise tel qu</w:t>
      </w:r>
      <w:r w:rsidR="00447F3A" w:rsidRPr="00A33C6D">
        <w:t>'</w:t>
      </w:r>
      <w:r w:rsidRPr="00A33C6D">
        <w:t>établi dans la Résolution 91 de la PP, ni ne démontre un lien de causalité direct entre le coût et les utilisateurs soumis au recouvrement des coûts. Par conséquent, nous sommes d</w:t>
      </w:r>
      <w:r w:rsidR="00447F3A" w:rsidRPr="00A33C6D">
        <w:t>'</w:t>
      </w:r>
      <w:r w:rsidRPr="00A33C6D">
        <w:t>avis que tout aménagement de la franchise de droits devrait se faire par des mesures ciblées et proportionnées, au niveau du cadre applicable aux franchises proprement dit, afin de préserver l</w:t>
      </w:r>
      <w:r w:rsidR="00447F3A" w:rsidRPr="00A33C6D">
        <w:t>'</w:t>
      </w:r>
      <w:r w:rsidRPr="00A33C6D">
        <w:t>équilibre entre le recouvrement des coûts et l</w:t>
      </w:r>
      <w:r w:rsidR="00447F3A" w:rsidRPr="00A33C6D">
        <w:t>'</w:t>
      </w:r>
      <w:r w:rsidRPr="00A33C6D">
        <w:t>accès équitable tel qu</w:t>
      </w:r>
      <w:r w:rsidR="00447F3A" w:rsidRPr="00A33C6D">
        <w:t>'</w:t>
      </w:r>
      <w:r w:rsidRPr="00A33C6D">
        <w:t>énoncé dans la Résolution 91 de la PP.</w:t>
      </w:r>
    </w:p>
    <w:p w14:paraId="004169E5" w14:textId="7A94DA25" w:rsidR="002F1E7D" w:rsidRPr="00A33C6D" w:rsidRDefault="002F1E7D" w:rsidP="003F4E2A">
      <w:pPr>
        <w:pStyle w:val="Headingb"/>
      </w:pPr>
      <w:r w:rsidRPr="00A33C6D">
        <w:t>3</w:t>
      </w:r>
      <w:r w:rsidRPr="00A33C6D">
        <w:tab/>
        <w:t>Coûts indirects</w:t>
      </w:r>
    </w:p>
    <w:p w14:paraId="688813B6" w14:textId="2D0C11BC" w:rsidR="002F1E7D" w:rsidRPr="00A33C6D" w:rsidRDefault="002F1E7D" w:rsidP="003F4E2A">
      <w:pPr>
        <w:jc w:val="both"/>
      </w:pPr>
      <w:r w:rsidRPr="00A33C6D">
        <w:t>Nous rappelons que la Résolution 91 de la PP dispose que le recouvrement des coûts doit être appliqué de manière à assurer un lien clair entre le service fourni et les coûts recouvrés. Dans ce contexte, nous observons que la méthode proposée repose sur des regroupements de coûts et sur des imputations par substitution, notamment en ce qui concerne les facteurs liés au personnel et à l</w:t>
      </w:r>
      <w:r w:rsidR="00447F3A" w:rsidRPr="00A33C6D">
        <w:t>'</w:t>
      </w:r>
      <w:r w:rsidRPr="00A33C6D">
        <w:t>espace, plutôt que sur des facteurs mesurables liés aux activités. Dans ces conditions, le niveau d</w:t>
      </w:r>
      <w:r w:rsidR="00447F3A" w:rsidRPr="00A33C6D">
        <w:t>'</w:t>
      </w:r>
      <w:r w:rsidRPr="00A33C6D">
        <w:t>imputation des coûts ne suffit pas à garantir une imputation appropriée, comme envisagé dans la Résolution 91 de la PP.</w:t>
      </w:r>
    </w:p>
    <w:p w14:paraId="47691CB0" w14:textId="75F0C575" w:rsidR="002F1E7D" w:rsidRPr="00A33C6D" w:rsidRDefault="002F1E7D" w:rsidP="003F4E2A">
      <w:pPr>
        <w:keepLines/>
        <w:jc w:val="both"/>
      </w:pPr>
      <w:r w:rsidRPr="00A33C6D">
        <w:t>En outre, nous notons que la Résolution 91 de la PP souligne que le recouvrement des coûts devrait être appliqué à des produits ou services spécifiques. La proposition de tenir compte d</w:t>
      </w:r>
      <w:r w:rsidR="00447F3A" w:rsidRPr="00A33C6D">
        <w:t>'</w:t>
      </w:r>
      <w:r w:rsidRPr="00A33C6D">
        <w:t>éléments de coûts institutionnels généraux, autres que ceux directement imputables aux activités liées aux fiches de notification des réseaux à satellite, risque d</w:t>
      </w:r>
      <w:r w:rsidR="00447F3A" w:rsidRPr="00A33C6D">
        <w:t>'</w:t>
      </w:r>
      <w:r w:rsidRPr="00A33C6D">
        <w:t>affaiblir le lien entre les droits perçus et le service fourni, et pourrait ne pas être pleinement conforme à ce principe.</w:t>
      </w:r>
    </w:p>
    <w:p w14:paraId="267E5F8F" w14:textId="5275887B" w:rsidR="002F1E7D" w:rsidRPr="00A33C6D" w:rsidRDefault="002F1E7D" w:rsidP="003F4E2A">
      <w:pPr>
        <w:jc w:val="both"/>
      </w:pPr>
      <w:r w:rsidRPr="00A33C6D">
        <w:t>En outre, nous soulignons que le recours à des facteurs d</w:t>
      </w:r>
      <w:r w:rsidR="00447F3A" w:rsidRPr="00A33C6D">
        <w:t>'</w:t>
      </w:r>
      <w:r w:rsidRPr="00A33C6D">
        <w:t>imputation liés au personnel, y</w:t>
      </w:r>
      <w:r w:rsidR="000A67F4" w:rsidRPr="00A33C6D">
        <w:t> </w:t>
      </w:r>
      <w:r w:rsidRPr="00A33C6D">
        <w:t xml:space="preserve">compris en ce qui concerne les activités liées aux fiches de notification, peut avoir des effets </w:t>
      </w:r>
      <w:r w:rsidRPr="00A33C6D">
        <w:lastRenderedPageBreak/>
        <w:t>cumulés sur l</w:t>
      </w:r>
      <w:r w:rsidR="00447F3A" w:rsidRPr="00A33C6D">
        <w:t>'</w:t>
      </w:r>
      <w:r w:rsidRPr="00A33C6D">
        <w:t>imputation des coûts indirects. En pareils cas, l</w:t>
      </w:r>
      <w:r w:rsidR="00447F3A" w:rsidRPr="00A33C6D">
        <w:t>'</w:t>
      </w:r>
      <w:r w:rsidRPr="00A33C6D">
        <w:t>augmentation des effectifs chargés du traitement des fiches de notification peut entraîner une augmentation des coûts indirects dans plusieurs groupes de coûts pris en compte, même si la charge de travail sous-jacente ou l</w:t>
      </w:r>
      <w:r w:rsidR="00447F3A" w:rsidRPr="00A33C6D">
        <w:t>'</w:t>
      </w:r>
      <w:r w:rsidRPr="00A33C6D">
        <w:t>utilisation du système associé aux fiches de notification des réseaux à satellite reste inchangée. Cela soulève des inquiétudes quant à l</w:t>
      </w:r>
      <w:r w:rsidR="00447F3A" w:rsidRPr="00A33C6D">
        <w:t>'</w:t>
      </w:r>
      <w:r w:rsidRPr="00A33C6D">
        <w:t>exactitude et à la proportionnalité des niveaux de recouvrement des coûts qui en découlent.</w:t>
      </w:r>
    </w:p>
    <w:p w14:paraId="5924BFB3" w14:textId="71CC9C26" w:rsidR="002F1E7D" w:rsidRPr="00A33C6D" w:rsidRDefault="002F1E7D" w:rsidP="003F4E2A">
      <w:pPr>
        <w:jc w:val="both"/>
      </w:pPr>
      <w:r w:rsidRPr="00A33C6D">
        <w:t>Si la prise en compte des coûts indirects peut être conforme à la Résolution 91 de la PP, nous considérons que, sous sa forme actuelle, la méthode d</w:t>
      </w:r>
      <w:r w:rsidR="00447F3A" w:rsidRPr="00A33C6D">
        <w:t>'</w:t>
      </w:r>
      <w:r w:rsidRPr="00A33C6D">
        <w:t>imputation des coûts proposée n</w:t>
      </w:r>
      <w:r w:rsidR="00447F3A" w:rsidRPr="00A33C6D">
        <w:t>'</w:t>
      </w:r>
      <w:r w:rsidRPr="00A33C6D">
        <w:t>établit pas un lien de causalité suffisamment manifeste et vérifiable entre les coûts imputés et l'utilisation réelle des services chargés des fiches de notification des réseaux à satellite.</w:t>
      </w:r>
    </w:p>
    <w:p w14:paraId="71DB0C31" w14:textId="3B81C3F0" w:rsidR="002F1E7D" w:rsidRPr="00A33C6D" w:rsidRDefault="002F1E7D" w:rsidP="003F4E2A">
      <w:pPr>
        <w:pStyle w:val="Headingb"/>
      </w:pPr>
      <w:r w:rsidRPr="00A33C6D">
        <w:t>4</w:t>
      </w:r>
      <w:r w:rsidRPr="00A33C6D">
        <w:tab/>
        <w:t>Amélioration de la méthode proposée</w:t>
      </w:r>
    </w:p>
    <w:p w14:paraId="7B6FAFA7" w14:textId="4E5DDD5A" w:rsidR="002F1E7D" w:rsidRPr="00F80E3B" w:rsidRDefault="002F1E7D" w:rsidP="003F4E2A">
      <w:pPr>
        <w:jc w:val="both"/>
        <w:rPr>
          <w:spacing w:val="-2"/>
        </w:rPr>
      </w:pPr>
      <w:r w:rsidRPr="00F80E3B">
        <w:rPr>
          <w:spacing w:val="-2"/>
        </w:rPr>
        <w:t>Nous constatons que les demandes de coordination ne sont pas traitées pendant de longues périodes, qui dépassent largement les délais réglementaires, principalement en raison de l</w:t>
      </w:r>
      <w:r w:rsidR="00447F3A" w:rsidRPr="00F80E3B">
        <w:rPr>
          <w:spacing w:val="-2"/>
        </w:rPr>
        <w:t>'</w:t>
      </w:r>
      <w:r w:rsidRPr="00F80E3B">
        <w:rPr>
          <w:spacing w:val="-2"/>
        </w:rPr>
        <w:t>augmentation de la charge de travail et des contraintes liées aux ressources. Cela entraîne un arriéré croissant de fiches de notification et réduit le temps dont disposent les administrations pour mettre en service les réseaux, ce qui ajoute de l</w:t>
      </w:r>
      <w:r w:rsidR="00447F3A" w:rsidRPr="00F80E3B">
        <w:rPr>
          <w:spacing w:val="-2"/>
        </w:rPr>
        <w:t>'</w:t>
      </w:r>
      <w:r w:rsidRPr="00F80E3B">
        <w:rPr>
          <w:spacing w:val="-2"/>
        </w:rPr>
        <w:t>incertitude sur le plan réglementaire. Dans ce contexte, nous estimons que la méthode de recouvrement des coûts pour le traitement des fiches de notification devrait être complétée par une prévision efficace de la charge de travail et une bonne planification des capacités, de sorte que le niveau des droits aide le Bureau à engager et à retenir les services spécialisés nécessaires et à investir dans des outils et des systèmes permettant d'améliorer l</w:t>
      </w:r>
      <w:r w:rsidR="00447F3A" w:rsidRPr="00F80E3B">
        <w:rPr>
          <w:spacing w:val="-2"/>
        </w:rPr>
        <w:t>'</w:t>
      </w:r>
      <w:r w:rsidRPr="00F80E3B">
        <w:rPr>
          <w:spacing w:val="-2"/>
        </w:rPr>
        <w:t>efficacité. Dans le même temps, nous soulignons qu'il importe de maintenir des niveaux de droits prévisibles et stables, car des aménagements fréquents ou importants peuvent mettre à mal la planification des administrations et des opérateurs. Il nous paraît donc utile de mettre en place des mécanismes d</w:t>
      </w:r>
      <w:r w:rsidR="00447F3A" w:rsidRPr="00F80E3B">
        <w:rPr>
          <w:spacing w:val="-2"/>
        </w:rPr>
        <w:t>'</w:t>
      </w:r>
      <w:r w:rsidRPr="00F80E3B">
        <w:rPr>
          <w:spacing w:val="-2"/>
        </w:rPr>
        <w:t>aménagement structurés et transparents, notamment des approches pluriannuelles visant à lisser les variations et à assurer une plus grande prévisibilité, ainsi que des garanties visant à atténuer les répercussions financières soudaines. Nous notons également que le développement continu des grandes constellations non OSG est l</w:t>
      </w:r>
      <w:r w:rsidR="00447F3A" w:rsidRPr="00F80E3B">
        <w:rPr>
          <w:spacing w:val="-2"/>
        </w:rPr>
        <w:t>'</w:t>
      </w:r>
      <w:r w:rsidRPr="00F80E3B">
        <w:rPr>
          <w:spacing w:val="-2"/>
        </w:rPr>
        <w:t>un des principaux facteurs de l</w:t>
      </w:r>
      <w:r w:rsidR="00447F3A" w:rsidRPr="00F80E3B">
        <w:rPr>
          <w:spacing w:val="-2"/>
        </w:rPr>
        <w:t>'</w:t>
      </w:r>
      <w:r w:rsidRPr="00F80E3B">
        <w:rPr>
          <w:spacing w:val="-2"/>
        </w:rPr>
        <w:t>augmentation de la charge de travail et de la complexité et, à cet égard, nous estimons qu'il pourrait être bon d'améliorer encore la méthode; il s'agirait notamment d'accroître la transparence grâce à des rapports réguliers sur les coûts et la charge de travail, de renforcer les contrôles par l</w:t>
      </w:r>
      <w:r w:rsidR="00447F3A" w:rsidRPr="00F80E3B">
        <w:rPr>
          <w:spacing w:val="-2"/>
        </w:rPr>
        <w:t>'</w:t>
      </w:r>
      <w:r w:rsidRPr="00F80E3B">
        <w:rPr>
          <w:spacing w:val="-2"/>
        </w:rPr>
        <w:t>intermédiaire du Conseil, de mettre en place des indicateurs de performance clairs, notamment concernant les délais de traitement et les niveaux d</w:t>
      </w:r>
      <w:r w:rsidR="00447F3A" w:rsidRPr="00F80E3B">
        <w:rPr>
          <w:spacing w:val="-2"/>
        </w:rPr>
        <w:t>'</w:t>
      </w:r>
      <w:r w:rsidRPr="00F80E3B">
        <w:rPr>
          <w:spacing w:val="-2"/>
        </w:rPr>
        <w:t>arriéré, et de veiller à ce que tout aménagement des droits soit mis en œuvre de manière progressive et proportionnée, compte tenu des besoins des administrations ayant des ressources limitées.</w:t>
      </w:r>
    </w:p>
    <w:p w14:paraId="06B2A39D" w14:textId="7C46A9D2" w:rsidR="002F1E7D" w:rsidRPr="00A33C6D" w:rsidRDefault="002F1E7D" w:rsidP="003F4E2A">
      <w:pPr>
        <w:pStyle w:val="Headingb"/>
      </w:pPr>
      <w:r w:rsidRPr="00A33C6D">
        <w:t>5</w:t>
      </w:r>
      <w:r w:rsidRPr="00A33C6D">
        <w:tab/>
        <w:t>Retards dans le traitement des fiches de notification des réseaux à satellite</w:t>
      </w:r>
    </w:p>
    <w:p w14:paraId="0E3B80F3" w14:textId="72DDCFF8" w:rsidR="002F1E7D" w:rsidRPr="00A33C6D" w:rsidRDefault="002F1E7D" w:rsidP="003F4E2A">
      <w:pPr>
        <w:jc w:val="both"/>
      </w:pPr>
      <w:r w:rsidRPr="00A33C6D">
        <w:t>Au cours de la 33ème réunion du Groupe consultatif des radiocommunications (GCR), plusieurs points relatifs au traitement des fiches de notification des réseaux à satellite ont été soulignés, notamment du fait des incidences croissantes qu'ont les retards en la matière sur les administrations et les opérateurs. Les retards dans la publication et le traitement des fiches de notification sont devenus un problème pratique qui pèse directement sur la capacité des administrations à mener à bien les procédures réglementaires dans les délais fixés à l</w:t>
      </w:r>
      <w:r w:rsidR="00447F3A" w:rsidRPr="00A33C6D">
        <w:t>'</w:t>
      </w:r>
      <w:r w:rsidRPr="00A33C6D">
        <w:t>Article 9.38 du Règlement des radiocommunications (RR), y compris en ce qui concerne le déploiement des réseaux et à la coordination internationale. À cet égard, le GCR a, comme indiqué dans la note de son président au Conseil (</w:t>
      </w:r>
      <w:hyperlink r:id="rId11" w:history="1">
        <w:r w:rsidRPr="00A33C6D">
          <w:rPr>
            <w:rStyle w:val="Hyperlink"/>
            <w:rFonts w:eastAsia="Times New Roman" w:cs="Times New Roman"/>
            <w:szCs w:val="20"/>
          </w:rPr>
          <w:t xml:space="preserve">Circulaire </w:t>
        </w:r>
        <w:r w:rsidR="007A2F83" w:rsidRPr="00A33C6D">
          <w:rPr>
            <w:rStyle w:val="Hyperlink"/>
            <w:rFonts w:eastAsia="Times New Roman" w:cs="Times New Roman"/>
            <w:szCs w:val="20"/>
          </w:rPr>
          <w:t>N°</w:t>
        </w:r>
        <w:r w:rsidRPr="00A33C6D">
          <w:rPr>
            <w:rStyle w:val="Hyperlink"/>
            <w:rFonts w:eastAsia="Times New Roman" w:cs="Times New Roman"/>
            <w:szCs w:val="20"/>
          </w:rPr>
          <w:t xml:space="preserve"> 281</w:t>
        </w:r>
      </w:hyperlink>
      <w:r w:rsidRPr="00A33C6D">
        <w:t xml:space="preserve">), souligné les difficultés </w:t>
      </w:r>
      <w:r w:rsidRPr="00A33C6D">
        <w:lastRenderedPageBreak/>
        <w:t>croissantes rencontrées par le Bureau des radiocommunications en matière de respect des délais de traitement prescrits, ce qui a pour effet de réduire les délais de mise en œuvre et d</w:t>
      </w:r>
      <w:r w:rsidR="00447F3A" w:rsidRPr="00A33C6D">
        <w:t>'</w:t>
      </w:r>
      <w:r w:rsidRPr="00A33C6D">
        <w:t>accroître l</w:t>
      </w:r>
      <w:r w:rsidR="00447F3A" w:rsidRPr="00A33C6D">
        <w:t>'</w:t>
      </w:r>
      <w:r w:rsidRPr="00A33C6D">
        <w:t xml:space="preserve">incertitude réglementaire pour les administrations. Le </w:t>
      </w:r>
      <w:hyperlink r:id="rId12" w:history="1">
        <w:r w:rsidRPr="00A33C6D">
          <w:rPr>
            <w:rStyle w:val="Hyperlink"/>
            <w:rFonts w:eastAsia="Times New Roman" w:cs="Times New Roman"/>
            <w:szCs w:val="20"/>
          </w:rPr>
          <w:t>rapport du Directeur du Bureau des radiocommunications</w:t>
        </w:r>
      </w:hyperlink>
      <w:r w:rsidRPr="00A33C6D">
        <w:t xml:space="preserve"> indique en outre que ces difficultés surviennent dans un contexte de pressions opérationnelles et financières accrues, qui s'expliquent par le manque de ressources humaines et l</w:t>
      </w:r>
      <w:r w:rsidR="00447F3A" w:rsidRPr="00A33C6D">
        <w:t>'</w:t>
      </w:r>
      <w:r w:rsidRPr="00A33C6D">
        <w:t>augmentation du volume et de la complexité des fiches de notification des services spatiaux. Les données disponibles font apparaître une inadéquation évidente entre les exigences réglementaires et la capacité opérationnelle actuelle, puisque les demandes de coordination qui devraient être traitées dans un délai de quatre mois prennent maintenant environ quatorze mois, ce qui témoigne d</w:t>
      </w:r>
      <w:r w:rsidR="00447F3A" w:rsidRPr="00A33C6D">
        <w:t>'</w:t>
      </w:r>
      <w:r w:rsidRPr="00A33C6D">
        <w:t>un déséquilibre considérable entre la charge de travail et les ressources disponibles. Dans ce contexte, la présente contribution vise à mettre en évidence, données et exemples à l</w:t>
      </w:r>
      <w:r w:rsidR="00447F3A" w:rsidRPr="00A33C6D">
        <w:t>'</w:t>
      </w:r>
      <w:r w:rsidRPr="00A33C6D">
        <w:t>appui, les conséquences pratiques et organisationnelles de ces retards, et à demander au Conseil de fournir un appui approprié pour permettre au Bureau de résoudre ces problèmes et d</w:t>
      </w:r>
      <w:r w:rsidR="00447F3A" w:rsidRPr="00A33C6D">
        <w:t>'</w:t>
      </w:r>
      <w:r w:rsidRPr="00A33C6D">
        <w:t>améliorer l</w:t>
      </w:r>
      <w:r w:rsidR="00447F3A" w:rsidRPr="00A33C6D">
        <w:t>'</w:t>
      </w:r>
      <w:r w:rsidRPr="00A33C6D">
        <w:t>efficacité opérationnelle conformément aux exigences réglementaires.</w:t>
      </w:r>
    </w:p>
    <w:p w14:paraId="61B49934" w14:textId="4DB6AA54" w:rsidR="002F1E7D" w:rsidRPr="00A33C6D" w:rsidRDefault="002F1E7D" w:rsidP="003F4E2A">
      <w:pPr>
        <w:jc w:val="both"/>
      </w:pPr>
      <w:r w:rsidRPr="00A33C6D">
        <w:t>Les données disponibles montrent une inadéquation évidente entre les exigences réglementaires énoncées dans le Règlement des radiocommunications et la capacité opérationnelle actuelle du Bureau des radiocommunications. Conformément au numéro</w:t>
      </w:r>
      <w:r w:rsidR="000A67F4" w:rsidRPr="00A33C6D">
        <w:t> </w:t>
      </w:r>
      <w:r w:rsidRPr="00A33C6D">
        <w:t xml:space="preserve">9.38 du RR, les demandes de coordination devraient être traitées dans un délai de quatre mois; toutefois, les délais de traitement effectifs atteignent environ quatorze mois, comme le confirme également la Lettre circulaire </w:t>
      </w:r>
      <w:r w:rsidR="000A1502" w:rsidRPr="00A33C6D">
        <w:t>N°</w:t>
      </w:r>
      <w:r w:rsidRPr="00A33C6D">
        <w:t xml:space="preserve"> 281, ce qui témoigne d</w:t>
      </w:r>
      <w:r w:rsidR="00447F3A" w:rsidRPr="00A33C6D">
        <w:t>'</w:t>
      </w:r>
      <w:r w:rsidRPr="00A33C6D">
        <w:t>un déséquilibre important entre la charge de travail, qui va croissant, et les ressources disponibles.</w:t>
      </w:r>
    </w:p>
    <w:p w14:paraId="691236B5" w14:textId="77777777" w:rsidR="003F4E2A" w:rsidRPr="00A33C6D" w:rsidRDefault="003F4E2A" w:rsidP="003F4E2A">
      <w:pPr>
        <w:pStyle w:val="FigureNo"/>
      </w:pPr>
      <w:r w:rsidRPr="00A33C6D">
        <w:t>Figure 1</w:t>
      </w:r>
    </w:p>
    <w:p w14:paraId="7AC9AB12" w14:textId="77777777" w:rsidR="003F4E2A" w:rsidRPr="00A33C6D" w:rsidRDefault="003F4E2A" w:rsidP="003F4E2A">
      <w:pPr>
        <w:pStyle w:val="Figuretitle"/>
      </w:pPr>
      <w:r w:rsidRPr="00A33C6D">
        <w:t xml:space="preserve">Publication des demandes de coordination (CR/C) pour </w:t>
      </w:r>
      <w:r w:rsidRPr="00A33C6D">
        <w:br/>
        <w:t>les réseaux à satellite (ces 15 derniers mois)</w:t>
      </w:r>
    </w:p>
    <w:p w14:paraId="610D158E" w14:textId="4E00CB6A" w:rsidR="002F1E7D" w:rsidRPr="00A33C6D" w:rsidRDefault="002F1E7D" w:rsidP="008D13A6">
      <w:pPr>
        <w:pStyle w:val="Figurewithlegend"/>
      </w:pPr>
      <w:r w:rsidRPr="00A33C6D">
        <w:drawing>
          <wp:inline distT="0" distB="0" distL="0" distR="0" wp14:anchorId="0F8891C1" wp14:editId="054C5057">
            <wp:extent cx="5353050" cy="267796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1807" cy="2702360"/>
                    </a:xfrm>
                    <a:prstGeom prst="rect">
                      <a:avLst/>
                    </a:prstGeom>
                    <a:noFill/>
                  </pic:spPr>
                </pic:pic>
              </a:graphicData>
            </a:graphic>
          </wp:inline>
        </w:drawing>
      </w:r>
    </w:p>
    <w:p w14:paraId="5E141602" w14:textId="62F41642" w:rsidR="002F1E7D" w:rsidRPr="00A33C6D" w:rsidRDefault="002F1E7D" w:rsidP="008D13A6">
      <w:pPr>
        <w:pStyle w:val="Figurelegend"/>
      </w:pPr>
      <w:r w:rsidRPr="00A33C6D">
        <w:t xml:space="preserve">(Données compilées à partir des statistiques des services spatiaux, </w:t>
      </w:r>
      <w:hyperlink r:id="rId14" w:history="1">
        <w:r w:rsidRPr="00A33C6D">
          <w:rPr>
            <w:rStyle w:val="Hyperlink"/>
            <w:rFonts w:eastAsia="Times New Roman" w:cs="Times New Roman"/>
            <w:szCs w:val="20"/>
          </w:rPr>
          <w:t>voir le site web</w:t>
        </w:r>
      </w:hyperlink>
      <w:r w:rsidRPr="00A33C6D">
        <w:t>)</w:t>
      </w:r>
    </w:p>
    <w:p w14:paraId="439D2DDB" w14:textId="25B4D245" w:rsidR="000A1502" w:rsidRPr="00A33C6D" w:rsidRDefault="002F1E7D" w:rsidP="008D13A6">
      <w:pPr>
        <w:jc w:val="both"/>
      </w:pPr>
      <w:r w:rsidRPr="00A33C6D">
        <w:t>Comme le montre la Figure 1, si le nombre de fiches de notification en cours de traitement reste élevé, on observe une légère diminution grâce aux efforts déployés sur le plan opérationnel; néanmoins, le nombre de demandes reçues, toujours élevé, et le nombre trop faible de fiches de notification publiées empêchent de réduire durablement l</w:t>
      </w:r>
      <w:r w:rsidR="00447F3A" w:rsidRPr="00A33C6D">
        <w:t>'</w:t>
      </w:r>
      <w:r w:rsidRPr="00A33C6D">
        <w:t xml:space="preserve">arriéré. Les </w:t>
      </w:r>
      <w:r w:rsidRPr="00A33C6D">
        <w:lastRenderedPageBreak/>
        <w:t>délais de traitement restent de l</w:t>
      </w:r>
      <w:r w:rsidR="00447F3A" w:rsidRPr="00A33C6D">
        <w:t>'</w:t>
      </w:r>
      <w:r w:rsidRPr="00A33C6D">
        <w:t>ordre de 13 à 17 mois, bien au-delà du délai réglementaire. Ces problèmes s</w:t>
      </w:r>
      <w:r w:rsidR="00447F3A" w:rsidRPr="00A33C6D">
        <w:t>'</w:t>
      </w:r>
      <w:r w:rsidRPr="00A33C6D">
        <w:t>inscrivent dans un contexte de sous-effectifs, de postes vacants et de restrictions budgétaires plus larges, alors que le secteur des satellites continue de gagner rapidement en volume et en complexité sous l</w:t>
      </w:r>
      <w:r w:rsidR="00447F3A" w:rsidRPr="00A33C6D">
        <w:t>'</w:t>
      </w:r>
      <w:r w:rsidRPr="00A33C6D">
        <w:t>effet du développement des systèmes, de nouveaux services et de l</w:t>
      </w:r>
      <w:r w:rsidR="00447F3A" w:rsidRPr="00A33C6D">
        <w:t>'</w:t>
      </w:r>
      <w:r w:rsidRPr="00A33C6D">
        <w:t>intégration accrue avec les réseaux de Terre, ce qui met la capacité opérationnelle du Bureau sous une pression constante.</w:t>
      </w:r>
    </w:p>
    <w:p w14:paraId="7FF5104F" w14:textId="77777777" w:rsidR="002F1E7D" w:rsidRPr="00A33C6D" w:rsidRDefault="002F1E7D" w:rsidP="00923D82">
      <w:pPr>
        <w:pStyle w:val="TableNo"/>
      </w:pPr>
      <w:r w:rsidRPr="00A33C6D">
        <w:t>Tableau 1</w:t>
      </w:r>
    </w:p>
    <w:p w14:paraId="754A13A6" w14:textId="00121776" w:rsidR="002F1E7D" w:rsidRPr="008D13A6" w:rsidRDefault="002F1E7D" w:rsidP="008D13A6">
      <w:pPr>
        <w:pStyle w:val="Tabletitle"/>
        <w:rPr>
          <w:szCs w:val="22"/>
        </w:rPr>
      </w:pPr>
      <w:r w:rsidRPr="00A33C6D">
        <w:t>Réseaux à satellite de l</w:t>
      </w:r>
      <w:r w:rsidR="00447F3A" w:rsidRPr="00A33C6D">
        <w:t>'</w:t>
      </w:r>
      <w:r w:rsidRPr="00A33C6D">
        <w:t>Arabie saoudite concernés par des retards de traitement</w:t>
      </w:r>
      <w:r w:rsidR="008D13A6">
        <w:br/>
      </w:r>
      <w:r w:rsidRPr="008D13A6">
        <w:rPr>
          <w:b w:val="0"/>
          <w:bCs/>
          <w:szCs w:val="22"/>
        </w:rPr>
        <w:t xml:space="preserve">(Données compilées à partir de la base de données du Bureau des </w:t>
      </w:r>
      <w:r w:rsidRPr="008D13A6">
        <w:rPr>
          <w:b w:val="0"/>
          <w:bCs/>
          <w:szCs w:val="22"/>
        </w:rPr>
        <w:br/>
        <w:t>radiocommunications sur les systèmes de réseaux à satellite)</w:t>
      </w:r>
    </w:p>
    <w:p w14:paraId="35E0B1C7" w14:textId="43C54091" w:rsidR="002F1E7D" w:rsidRPr="00A33C6D" w:rsidRDefault="002F1E7D" w:rsidP="008D0D53">
      <w:pPr>
        <w:pStyle w:val="enumlev1"/>
        <w:spacing w:before="240" w:after="120"/>
      </w:pPr>
      <w:r w:rsidRPr="00A33C6D">
        <w:t>A</w:t>
      </w:r>
      <w:r w:rsidR="00730513" w:rsidRPr="00A33C6D">
        <w:t>)</w:t>
      </w:r>
      <w:r w:rsidRPr="00A33C6D">
        <w:tab/>
        <w:t>Fiches de notification publiées</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236"/>
        <w:gridCol w:w="966"/>
        <w:gridCol w:w="1247"/>
        <w:gridCol w:w="665"/>
        <w:gridCol w:w="1330"/>
        <w:gridCol w:w="1055"/>
        <w:gridCol w:w="1055"/>
        <w:gridCol w:w="893"/>
      </w:tblGrid>
      <w:tr w:rsidR="000A1502" w:rsidRPr="00A33C6D" w14:paraId="69D87DD6" w14:textId="77777777" w:rsidTr="00F80E3B">
        <w:trPr>
          <w:trHeight w:val="295"/>
          <w:jc w:val="center"/>
        </w:trPr>
        <w:tc>
          <w:tcPr>
            <w:tcW w:w="619" w:type="pct"/>
            <w:shd w:val="clear" w:color="000000" w:fill="002060"/>
            <w:noWrap/>
            <w:vAlign w:val="center"/>
          </w:tcPr>
          <w:p w14:paraId="0A1DCD77"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Délai de traitement (en mois)</w:t>
            </w:r>
          </w:p>
        </w:tc>
        <w:tc>
          <w:tcPr>
            <w:tcW w:w="641" w:type="pct"/>
            <w:shd w:val="clear" w:color="000000" w:fill="002060"/>
            <w:noWrap/>
            <w:vAlign w:val="center"/>
          </w:tcPr>
          <w:p w14:paraId="346016FD"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Date de publication</w:t>
            </w:r>
          </w:p>
        </w:tc>
        <w:tc>
          <w:tcPr>
            <w:tcW w:w="501" w:type="pct"/>
            <w:shd w:val="clear" w:color="000000" w:fill="002060"/>
            <w:noWrap/>
            <w:vAlign w:val="center"/>
          </w:tcPr>
          <w:p w14:paraId="655EA9B2" w14:textId="77777777" w:rsidR="002F1E7D" w:rsidRPr="00A33C6D" w:rsidRDefault="002F1E7D" w:rsidP="00730513">
            <w:pPr>
              <w:pStyle w:val="Tablehead"/>
              <w:rPr>
                <w:rFonts w:asciiTheme="minorHAnsi" w:hAnsiTheme="minorHAnsi" w:cstheme="minorHAnsi"/>
                <w:sz w:val="20"/>
                <w:szCs w:val="18"/>
                <w:rtl/>
              </w:rPr>
            </w:pPr>
            <w:r w:rsidRPr="00A033C7">
              <w:rPr>
                <w:sz w:val="20"/>
                <w:szCs w:val="18"/>
                <w:lang w:val="es-ES"/>
              </w:rPr>
              <w:t>N</w:t>
            </w:r>
            <w:r w:rsidRPr="00A033C7">
              <w:rPr>
                <w:sz w:val="20"/>
                <w:szCs w:val="18"/>
                <w:vertAlign w:val="superscript"/>
                <w:lang w:val="es-ES"/>
              </w:rPr>
              <w:t>o</w:t>
            </w:r>
            <w:r w:rsidRPr="00A033C7">
              <w:rPr>
                <w:sz w:val="20"/>
                <w:szCs w:val="18"/>
                <w:lang w:val="es-ES"/>
              </w:rPr>
              <w:t xml:space="preserve"> de la BR IFIC</w:t>
            </w:r>
          </w:p>
        </w:tc>
        <w:tc>
          <w:tcPr>
            <w:tcW w:w="647" w:type="pct"/>
            <w:shd w:val="clear" w:color="000000" w:fill="002060"/>
            <w:noWrap/>
            <w:vAlign w:val="center"/>
          </w:tcPr>
          <w:p w14:paraId="7BA0FDEF"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N</w:t>
            </w:r>
            <w:r w:rsidRPr="00A33C6D">
              <w:rPr>
                <w:sz w:val="20"/>
                <w:szCs w:val="18"/>
                <w:vertAlign w:val="superscript"/>
              </w:rPr>
              <w:t>o</w:t>
            </w:r>
            <w:r w:rsidRPr="00A33C6D">
              <w:rPr>
                <w:sz w:val="20"/>
                <w:szCs w:val="18"/>
              </w:rPr>
              <w:t xml:space="preserve"> de publication</w:t>
            </w:r>
          </w:p>
        </w:tc>
        <w:tc>
          <w:tcPr>
            <w:tcW w:w="345" w:type="pct"/>
            <w:shd w:val="clear" w:color="000000" w:fill="002060"/>
            <w:noWrap/>
            <w:vAlign w:val="center"/>
          </w:tcPr>
          <w:p w14:paraId="6A3AA5B8"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Type de fiche</w:t>
            </w:r>
          </w:p>
        </w:tc>
        <w:tc>
          <w:tcPr>
            <w:tcW w:w="690" w:type="pct"/>
            <w:shd w:val="clear" w:color="000000" w:fill="002060"/>
            <w:noWrap/>
            <w:vAlign w:val="center"/>
          </w:tcPr>
          <w:p w14:paraId="66F47343"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Date de réception</w:t>
            </w:r>
          </w:p>
        </w:tc>
        <w:tc>
          <w:tcPr>
            <w:tcW w:w="547" w:type="pct"/>
            <w:shd w:val="clear" w:color="000000" w:fill="002060"/>
            <w:noWrap/>
            <w:vAlign w:val="center"/>
          </w:tcPr>
          <w:p w14:paraId="4AF6AF00" w14:textId="6597053C" w:rsidR="002F1E7D" w:rsidRPr="00A33C6D" w:rsidRDefault="002F1E7D" w:rsidP="00730513">
            <w:pPr>
              <w:pStyle w:val="Tablehead"/>
              <w:rPr>
                <w:rFonts w:asciiTheme="minorHAnsi" w:hAnsiTheme="minorHAnsi" w:cstheme="minorHAnsi"/>
                <w:sz w:val="20"/>
                <w:szCs w:val="18"/>
                <w:rtl/>
              </w:rPr>
            </w:pPr>
            <w:r w:rsidRPr="00A33C6D">
              <w:rPr>
                <w:sz w:val="20"/>
                <w:szCs w:val="18"/>
              </w:rPr>
              <w:t>Type d</w:t>
            </w:r>
            <w:r w:rsidR="00447F3A" w:rsidRPr="00A33C6D">
              <w:rPr>
                <w:sz w:val="20"/>
                <w:szCs w:val="18"/>
              </w:rPr>
              <w:t>'</w:t>
            </w:r>
            <w:r w:rsidRPr="00A33C6D">
              <w:rPr>
                <w:sz w:val="20"/>
                <w:szCs w:val="18"/>
              </w:rPr>
              <w:t>orbite</w:t>
            </w:r>
          </w:p>
        </w:tc>
        <w:tc>
          <w:tcPr>
            <w:tcW w:w="547" w:type="pct"/>
            <w:shd w:val="clear" w:color="000000" w:fill="002060"/>
            <w:noWrap/>
            <w:vAlign w:val="center"/>
          </w:tcPr>
          <w:p w14:paraId="74A46EC9"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Réseau</w:t>
            </w:r>
          </w:p>
        </w:tc>
        <w:tc>
          <w:tcPr>
            <w:tcW w:w="463" w:type="pct"/>
            <w:shd w:val="clear" w:color="000000" w:fill="002060"/>
            <w:noWrap/>
            <w:vAlign w:val="center"/>
          </w:tcPr>
          <w:p w14:paraId="633B026A" w14:textId="77777777" w:rsidR="002F1E7D" w:rsidRPr="00A33C6D" w:rsidRDefault="002F1E7D" w:rsidP="00730513">
            <w:pPr>
              <w:pStyle w:val="Tablehead"/>
              <w:rPr>
                <w:rFonts w:asciiTheme="minorHAnsi" w:hAnsiTheme="minorHAnsi" w:cstheme="minorHAnsi"/>
                <w:sz w:val="20"/>
                <w:szCs w:val="18"/>
                <w:rtl/>
              </w:rPr>
            </w:pPr>
            <w:r w:rsidRPr="00A33C6D">
              <w:rPr>
                <w:sz w:val="20"/>
                <w:szCs w:val="18"/>
              </w:rPr>
              <w:t>N</w:t>
            </w:r>
            <w:r w:rsidRPr="00A33C6D">
              <w:rPr>
                <w:sz w:val="20"/>
                <w:szCs w:val="18"/>
                <w:vertAlign w:val="superscript"/>
              </w:rPr>
              <w:t>o</w:t>
            </w:r>
            <w:r w:rsidRPr="00A33C6D">
              <w:rPr>
                <w:sz w:val="20"/>
                <w:szCs w:val="18"/>
              </w:rPr>
              <w:t xml:space="preserve"> de fiche</w:t>
            </w:r>
          </w:p>
        </w:tc>
      </w:tr>
      <w:tr w:rsidR="000A1502" w:rsidRPr="00A33C6D" w14:paraId="72A914F4" w14:textId="77777777" w:rsidTr="00F80E3B">
        <w:trPr>
          <w:trHeight w:val="295"/>
          <w:jc w:val="center"/>
        </w:trPr>
        <w:tc>
          <w:tcPr>
            <w:tcW w:w="619" w:type="pct"/>
            <w:noWrap/>
            <w:vAlign w:val="center"/>
          </w:tcPr>
          <w:p w14:paraId="31607913"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14,03</w:t>
            </w:r>
          </w:p>
        </w:tc>
        <w:tc>
          <w:tcPr>
            <w:tcW w:w="641" w:type="pct"/>
            <w:noWrap/>
            <w:vAlign w:val="center"/>
          </w:tcPr>
          <w:p w14:paraId="5D118AD1" w14:textId="6F0E73B4" w:rsidR="002F1E7D" w:rsidRPr="00A33C6D" w:rsidRDefault="00730513"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16</w:t>
            </w:r>
            <w:r w:rsidR="002F1E7D" w:rsidRPr="00A33C6D">
              <w:rPr>
                <w:rFonts w:asciiTheme="minorHAnsi" w:hAnsiTheme="minorHAnsi" w:cstheme="minorHAnsi"/>
                <w:sz w:val="20"/>
                <w:szCs w:val="18"/>
              </w:rPr>
              <w:t>-09-</w:t>
            </w:r>
            <w:r w:rsidRPr="00A33C6D">
              <w:rPr>
                <w:rFonts w:asciiTheme="minorHAnsi" w:hAnsiTheme="minorHAnsi" w:cstheme="minorHAnsi"/>
                <w:sz w:val="20"/>
                <w:szCs w:val="18"/>
              </w:rPr>
              <w:t>2025</w:t>
            </w:r>
          </w:p>
        </w:tc>
        <w:tc>
          <w:tcPr>
            <w:tcW w:w="501" w:type="pct"/>
            <w:noWrap/>
            <w:vAlign w:val="center"/>
          </w:tcPr>
          <w:p w14:paraId="0507679E"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3055</w:t>
            </w:r>
          </w:p>
        </w:tc>
        <w:tc>
          <w:tcPr>
            <w:tcW w:w="647" w:type="pct"/>
            <w:noWrap/>
            <w:vAlign w:val="center"/>
          </w:tcPr>
          <w:p w14:paraId="081EDD43"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6292</w:t>
            </w:r>
          </w:p>
        </w:tc>
        <w:tc>
          <w:tcPr>
            <w:tcW w:w="345" w:type="pct"/>
            <w:noWrap/>
            <w:vAlign w:val="center"/>
          </w:tcPr>
          <w:p w14:paraId="231B040C"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CR/C</w:t>
            </w:r>
          </w:p>
        </w:tc>
        <w:tc>
          <w:tcPr>
            <w:tcW w:w="690" w:type="pct"/>
            <w:noWrap/>
            <w:vAlign w:val="center"/>
          </w:tcPr>
          <w:p w14:paraId="5E76F662" w14:textId="0EB87D95" w:rsidR="002F1E7D" w:rsidRPr="00A33C6D" w:rsidRDefault="00447F3A"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22-07-</w:t>
            </w:r>
            <w:r w:rsidR="002F1E7D" w:rsidRPr="00A33C6D">
              <w:rPr>
                <w:rFonts w:asciiTheme="minorHAnsi" w:hAnsiTheme="minorHAnsi" w:cstheme="minorHAnsi"/>
                <w:sz w:val="20"/>
                <w:szCs w:val="18"/>
              </w:rPr>
              <w:t>2024</w:t>
            </w:r>
          </w:p>
        </w:tc>
        <w:tc>
          <w:tcPr>
            <w:tcW w:w="547" w:type="pct"/>
            <w:noWrap/>
            <w:vAlign w:val="center"/>
          </w:tcPr>
          <w:p w14:paraId="14D6E605"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OSG</w:t>
            </w:r>
          </w:p>
        </w:tc>
        <w:tc>
          <w:tcPr>
            <w:tcW w:w="547" w:type="pct"/>
            <w:noWrap/>
            <w:vAlign w:val="center"/>
          </w:tcPr>
          <w:p w14:paraId="13430E2F"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SAUDISAT_45.5E</w:t>
            </w:r>
          </w:p>
        </w:tc>
        <w:tc>
          <w:tcPr>
            <w:tcW w:w="463" w:type="pct"/>
            <w:noWrap/>
            <w:vAlign w:val="center"/>
          </w:tcPr>
          <w:p w14:paraId="0E83D5AD"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124520150</w:t>
            </w:r>
          </w:p>
        </w:tc>
      </w:tr>
      <w:tr w:rsidR="000A1502" w:rsidRPr="00A33C6D" w14:paraId="43B86349" w14:textId="77777777" w:rsidTr="00F80E3B">
        <w:trPr>
          <w:trHeight w:val="295"/>
          <w:jc w:val="center"/>
        </w:trPr>
        <w:tc>
          <w:tcPr>
            <w:tcW w:w="619" w:type="pct"/>
            <w:noWrap/>
            <w:vAlign w:val="center"/>
          </w:tcPr>
          <w:p w14:paraId="5B95BCF0"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14,20</w:t>
            </w:r>
          </w:p>
        </w:tc>
        <w:tc>
          <w:tcPr>
            <w:tcW w:w="641" w:type="pct"/>
            <w:noWrap/>
            <w:vAlign w:val="center"/>
          </w:tcPr>
          <w:p w14:paraId="1A7E3D66" w14:textId="257CA134" w:rsidR="002F1E7D" w:rsidRPr="00A33C6D" w:rsidRDefault="00730513"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30</w:t>
            </w:r>
            <w:r w:rsidR="002F1E7D" w:rsidRPr="00A33C6D">
              <w:rPr>
                <w:rFonts w:asciiTheme="minorHAnsi" w:hAnsiTheme="minorHAnsi" w:cstheme="minorHAnsi"/>
                <w:sz w:val="20"/>
                <w:szCs w:val="18"/>
              </w:rPr>
              <w:t>-09-</w:t>
            </w:r>
            <w:r w:rsidRPr="00A33C6D">
              <w:rPr>
                <w:rFonts w:asciiTheme="minorHAnsi" w:hAnsiTheme="minorHAnsi" w:cstheme="minorHAnsi"/>
                <w:sz w:val="20"/>
                <w:szCs w:val="18"/>
              </w:rPr>
              <w:t>2025</w:t>
            </w:r>
          </w:p>
        </w:tc>
        <w:tc>
          <w:tcPr>
            <w:tcW w:w="501" w:type="pct"/>
            <w:noWrap/>
            <w:vAlign w:val="center"/>
          </w:tcPr>
          <w:p w14:paraId="78062F58"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3056</w:t>
            </w:r>
          </w:p>
        </w:tc>
        <w:tc>
          <w:tcPr>
            <w:tcW w:w="647" w:type="pct"/>
            <w:noWrap/>
            <w:vAlign w:val="center"/>
          </w:tcPr>
          <w:p w14:paraId="20533323"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6299</w:t>
            </w:r>
          </w:p>
        </w:tc>
        <w:tc>
          <w:tcPr>
            <w:tcW w:w="345" w:type="pct"/>
            <w:noWrap/>
            <w:vAlign w:val="center"/>
          </w:tcPr>
          <w:p w14:paraId="32DD9C68"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CR/C</w:t>
            </w:r>
          </w:p>
        </w:tc>
        <w:tc>
          <w:tcPr>
            <w:tcW w:w="690" w:type="pct"/>
            <w:noWrap/>
            <w:vAlign w:val="center"/>
          </w:tcPr>
          <w:p w14:paraId="7AC621B0" w14:textId="210C3552" w:rsidR="002F1E7D" w:rsidRPr="00A33C6D" w:rsidRDefault="00447F3A"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31-07-</w:t>
            </w:r>
            <w:r w:rsidR="002F1E7D" w:rsidRPr="00A33C6D">
              <w:rPr>
                <w:rFonts w:asciiTheme="minorHAnsi" w:hAnsiTheme="minorHAnsi" w:cstheme="minorHAnsi"/>
                <w:sz w:val="20"/>
                <w:szCs w:val="18"/>
              </w:rPr>
              <w:t>2024</w:t>
            </w:r>
          </w:p>
        </w:tc>
        <w:tc>
          <w:tcPr>
            <w:tcW w:w="547" w:type="pct"/>
            <w:noWrap/>
            <w:vAlign w:val="center"/>
          </w:tcPr>
          <w:p w14:paraId="1E0749F6"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OSG</w:t>
            </w:r>
          </w:p>
        </w:tc>
        <w:tc>
          <w:tcPr>
            <w:tcW w:w="547" w:type="pct"/>
            <w:noWrap/>
            <w:vAlign w:val="center"/>
          </w:tcPr>
          <w:p w14:paraId="18AD20EF"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SAUDISAT_51.9E</w:t>
            </w:r>
          </w:p>
        </w:tc>
        <w:tc>
          <w:tcPr>
            <w:tcW w:w="463" w:type="pct"/>
            <w:noWrap/>
            <w:vAlign w:val="center"/>
          </w:tcPr>
          <w:p w14:paraId="44D53E00"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124520158</w:t>
            </w:r>
          </w:p>
        </w:tc>
      </w:tr>
      <w:tr w:rsidR="000A1502" w:rsidRPr="00A33C6D" w14:paraId="4A1DAD4D" w14:textId="77777777" w:rsidTr="00F80E3B">
        <w:trPr>
          <w:trHeight w:val="295"/>
          <w:jc w:val="center"/>
        </w:trPr>
        <w:tc>
          <w:tcPr>
            <w:tcW w:w="619" w:type="pct"/>
            <w:noWrap/>
            <w:vAlign w:val="center"/>
          </w:tcPr>
          <w:p w14:paraId="13C5C6D5"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14,27</w:t>
            </w:r>
          </w:p>
        </w:tc>
        <w:tc>
          <w:tcPr>
            <w:tcW w:w="641" w:type="pct"/>
            <w:noWrap/>
            <w:vAlign w:val="center"/>
          </w:tcPr>
          <w:p w14:paraId="25698EA8" w14:textId="46BA8105" w:rsidR="002F1E7D" w:rsidRPr="00A33C6D" w:rsidRDefault="00730513"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16</w:t>
            </w:r>
            <w:r w:rsidR="002F1E7D" w:rsidRPr="00A33C6D">
              <w:rPr>
                <w:rFonts w:asciiTheme="minorHAnsi" w:hAnsiTheme="minorHAnsi" w:cstheme="minorHAnsi"/>
                <w:sz w:val="20"/>
                <w:szCs w:val="18"/>
              </w:rPr>
              <w:t>-09-</w:t>
            </w:r>
            <w:r w:rsidRPr="00A33C6D">
              <w:rPr>
                <w:rFonts w:asciiTheme="minorHAnsi" w:hAnsiTheme="minorHAnsi" w:cstheme="minorHAnsi"/>
                <w:sz w:val="20"/>
                <w:szCs w:val="18"/>
              </w:rPr>
              <w:t>2025</w:t>
            </w:r>
          </w:p>
        </w:tc>
        <w:tc>
          <w:tcPr>
            <w:tcW w:w="501" w:type="pct"/>
            <w:noWrap/>
            <w:vAlign w:val="center"/>
          </w:tcPr>
          <w:p w14:paraId="5D927C20"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3055</w:t>
            </w:r>
          </w:p>
        </w:tc>
        <w:tc>
          <w:tcPr>
            <w:tcW w:w="647" w:type="pct"/>
            <w:noWrap/>
            <w:vAlign w:val="center"/>
          </w:tcPr>
          <w:p w14:paraId="57B0C133"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6289</w:t>
            </w:r>
          </w:p>
        </w:tc>
        <w:tc>
          <w:tcPr>
            <w:tcW w:w="345" w:type="pct"/>
            <w:noWrap/>
            <w:vAlign w:val="center"/>
          </w:tcPr>
          <w:p w14:paraId="32F098BF"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CR/C</w:t>
            </w:r>
          </w:p>
        </w:tc>
        <w:tc>
          <w:tcPr>
            <w:tcW w:w="690" w:type="pct"/>
            <w:noWrap/>
            <w:vAlign w:val="center"/>
          </w:tcPr>
          <w:p w14:paraId="53209B59" w14:textId="7320B601" w:rsidR="002F1E7D" w:rsidRPr="00A33C6D" w:rsidRDefault="00447F3A"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15-07-</w:t>
            </w:r>
            <w:r w:rsidR="002F1E7D" w:rsidRPr="00A33C6D">
              <w:rPr>
                <w:rFonts w:asciiTheme="minorHAnsi" w:hAnsiTheme="minorHAnsi" w:cstheme="minorHAnsi"/>
                <w:sz w:val="20"/>
                <w:szCs w:val="18"/>
              </w:rPr>
              <w:t>2024</w:t>
            </w:r>
          </w:p>
        </w:tc>
        <w:tc>
          <w:tcPr>
            <w:tcW w:w="547" w:type="pct"/>
            <w:noWrap/>
            <w:vAlign w:val="center"/>
          </w:tcPr>
          <w:p w14:paraId="24F47582" w14:textId="77777777" w:rsidR="002F1E7D" w:rsidRPr="00A33C6D" w:rsidRDefault="002F1E7D" w:rsidP="00923D82">
            <w:pPr>
              <w:pStyle w:val="Tabletext"/>
              <w:jc w:val="center"/>
              <w:rPr>
                <w:rFonts w:asciiTheme="minorHAnsi" w:hAnsiTheme="minorHAnsi" w:cstheme="minorHAnsi"/>
                <w:sz w:val="20"/>
                <w:szCs w:val="18"/>
              </w:rPr>
            </w:pPr>
            <w:r w:rsidRPr="00A33C6D">
              <w:rPr>
                <w:sz w:val="20"/>
                <w:szCs w:val="18"/>
              </w:rPr>
              <w:t>OSG</w:t>
            </w:r>
          </w:p>
        </w:tc>
        <w:tc>
          <w:tcPr>
            <w:tcW w:w="547" w:type="pct"/>
            <w:noWrap/>
            <w:vAlign w:val="center"/>
          </w:tcPr>
          <w:p w14:paraId="514CBD57"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SAUDISAT_7.9E</w:t>
            </w:r>
          </w:p>
        </w:tc>
        <w:tc>
          <w:tcPr>
            <w:tcW w:w="463" w:type="pct"/>
            <w:noWrap/>
            <w:vAlign w:val="center"/>
          </w:tcPr>
          <w:p w14:paraId="08088687" w14:textId="77777777" w:rsidR="002F1E7D" w:rsidRPr="00A33C6D" w:rsidRDefault="002F1E7D" w:rsidP="00923D82">
            <w:pPr>
              <w:pStyle w:val="Tabletext"/>
              <w:jc w:val="center"/>
              <w:rPr>
                <w:rFonts w:asciiTheme="minorHAnsi" w:hAnsiTheme="minorHAnsi" w:cstheme="minorHAnsi"/>
                <w:sz w:val="20"/>
                <w:szCs w:val="18"/>
              </w:rPr>
            </w:pPr>
            <w:r w:rsidRPr="00A33C6D">
              <w:rPr>
                <w:rFonts w:asciiTheme="minorHAnsi" w:hAnsiTheme="minorHAnsi" w:cstheme="minorHAnsi"/>
                <w:sz w:val="20"/>
                <w:szCs w:val="18"/>
              </w:rPr>
              <w:t>124520137</w:t>
            </w:r>
          </w:p>
        </w:tc>
      </w:tr>
    </w:tbl>
    <w:p w14:paraId="2A4EBA22" w14:textId="77777777" w:rsidR="002F1E7D" w:rsidRPr="00A33C6D" w:rsidRDefault="002F1E7D" w:rsidP="008D0D53">
      <w:pPr>
        <w:pStyle w:val="enumlev1"/>
        <w:spacing w:before="240" w:after="120"/>
      </w:pPr>
      <w:r w:rsidRPr="00A33C6D">
        <w:t>B)</w:t>
      </w:r>
      <w:r w:rsidRPr="00A33C6D">
        <w:tab/>
        <w:t>Fiches de notification en cours de traitement*</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267"/>
        <w:gridCol w:w="925"/>
        <w:gridCol w:w="1236"/>
        <w:gridCol w:w="669"/>
        <w:gridCol w:w="1309"/>
        <w:gridCol w:w="1105"/>
        <w:gridCol w:w="1031"/>
        <w:gridCol w:w="893"/>
      </w:tblGrid>
      <w:tr w:rsidR="000A67F4" w:rsidRPr="00A33C6D" w14:paraId="30ED60E6" w14:textId="77777777" w:rsidTr="00F80E3B">
        <w:trPr>
          <w:trHeight w:val="295"/>
          <w:jc w:val="center"/>
        </w:trPr>
        <w:tc>
          <w:tcPr>
            <w:tcW w:w="625" w:type="pct"/>
            <w:shd w:val="clear" w:color="000000" w:fill="002060"/>
            <w:noWrap/>
            <w:vAlign w:val="center"/>
          </w:tcPr>
          <w:p w14:paraId="456799DE" w14:textId="77777777" w:rsidR="00730513" w:rsidRPr="00A33C6D" w:rsidRDefault="00730513" w:rsidP="00730513">
            <w:pPr>
              <w:pStyle w:val="Tablehead"/>
              <w:rPr>
                <w:rFonts w:asciiTheme="minorHAnsi" w:hAnsiTheme="minorHAnsi" w:cstheme="minorHAnsi"/>
                <w:sz w:val="20"/>
                <w:rtl/>
              </w:rPr>
            </w:pPr>
            <w:r w:rsidRPr="00A33C6D">
              <w:rPr>
                <w:sz w:val="20"/>
              </w:rPr>
              <w:t>Délai de traitement (en mois)</w:t>
            </w:r>
          </w:p>
        </w:tc>
        <w:tc>
          <w:tcPr>
            <w:tcW w:w="657" w:type="pct"/>
            <w:shd w:val="clear" w:color="000000" w:fill="002060"/>
            <w:noWrap/>
            <w:vAlign w:val="center"/>
          </w:tcPr>
          <w:p w14:paraId="3286BFDA" w14:textId="77777777" w:rsidR="00730513" w:rsidRPr="00A33C6D" w:rsidRDefault="00730513" w:rsidP="00730513">
            <w:pPr>
              <w:pStyle w:val="Tablehead"/>
              <w:rPr>
                <w:rFonts w:asciiTheme="minorHAnsi" w:hAnsiTheme="minorHAnsi" w:cstheme="minorHAnsi"/>
                <w:sz w:val="20"/>
                <w:rtl/>
              </w:rPr>
            </w:pPr>
            <w:r w:rsidRPr="00A33C6D">
              <w:rPr>
                <w:sz w:val="20"/>
              </w:rPr>
              <w:t>Date de publication</w:t>
            </w:r>
          </w:p>
        </w:tc>
        <w:tc>
          <w:tcPr>
            <w:tcW w:w="480" w:type="pct"/>
            <w:shd w:val="clear" w:color="000000" w:fill="002060"/>
            <w:noWrap/>
            <w:vAlign w:val="center"/>
          </w:tcPr>
          <w:p w14:paraId="767ADEBD" w14:textId="0C4310C8" w:rsidR="00730513" w:rsidRPr="00A33C6D" w:rsidRDefault="00730513" w:rsidP="00730513">
            <w:pPr>
              <w:pStyle w:val="Tablehead"/>
              <w:rPr>
                <w:rFonts w:asciiTheme="minorHAnsi" w:hAnsiTheme="minorHAnsi" w:cstheme="minorHAnsi"/>
                <w:sz w:val="20"/>
                <w:rtl/>
              </w:rPr>
            </w:pPr>
            <w:r w:rsidRPr="00A33C6D">
              <w:rPr>
                <w:sz w:val="20"/>
              </w:rPr>
              <w:t>N</w:t>
            </w:r>
            <w:r w:rsidR="00923D82" w:rsidRPr="00A33C6D">
              <w:rPr>
                <w:sz w:val="20"/>
              </w:rPr>
              <w:t>°</w:t>
            </w:r>
            <w:r w:rsidRPr="00A33C6D">
              <w:rPr>
                <w:sz w:val="20"/>
              </w:rPr>
              <w:t xml:space="preserve"> de la BR IFIC</w:t>
            </w:r>
          </w:p>
        </w:tc>
        <w:tc>
          <w:tcPr>
            <w:tcW w:w="641" w:type="pct"/>
            <w:shd w:val="clear" w:color="000000" w:fill="002060"/>
            <w:noWrap/>
            <w:vAlign w:val="center"/>
          </w:tcPr>
          <w:p w14:paraId="62C002FA" w14:textId="77777777" w:rsidR="00730513" w:rsidRPr="00A33C6D" w:rsidRDefault="00730513" w:rsidP="00730513">
            <w:pPr>
              <w:pStyle w:val="Tablehead"/>
              <w:rPr>
                <w:rFonts w:asciiTheme="minorHAnsi" w:hAnsiTheme="minorHAnsi" w:cstheme="minorHAnsi"/>
                <w:sz w:val="20"/>
                <w:rtl/>
              </w:rPr>
            </w:pPr>
            <w:r w:rsidRPr="00A33C6D">
              <w:rPr>
                <w:sz w:val="20"/>
              </w:rPr>
              <w:t>N</w:t>
            </w:r>
            <w:r w:rsidRPr="00A33C6D">
              <w:rPr>
                <w:sz w:val="20"/>
                <w:vertAlign w:val="superscript"/>
              </w:rPr>
              <w:t>o</w:t>
            </w:r>
            <w:r w:rsidRPr="00A33C6D">
              <w:rPr>
                <w:sz w:val="20"/>
              </w:rPr>
              <w:t xml:space="preserve"> de publication</w:t>
            </w:r>
          </w:p>
        </w:tc>
        <w:tc>
          <w:tcPr>
            <w:tcW w:w="347" w:type="pct"/>
            <w:shd w:val="clear" w:color="000000" w:fill="002060"/>
            <w:noWrap/>
            <w:vAlign w:val="center"/>
          </w:tcPr>
          <w:p w14:paraId="7B3F16A5" w14:textId="77777777" w:rsidR="00730513" w:rsidRPr="00A33C6D" w:rsidRDefault="00730513" w:rsidP="00730513">
            <w:pPr>
              <w:pStyle w:val="Tablehead"/>
              <w:rPr>
                <w:rFonts w:asciiTheme="minorHAnsi" w:hAnsiTheme="minorHAnsi" w:cstheme="minorHAnsi"/>
                <w:sz w:val="20"/>
                <w:rtl/>
              </w:rPr>
            </w:pPr>
            <w:r w:rsidRPr="00A33C6D">
              <w:rPr>
                <w:sz w:val="20"/>
              </w:rPr>
              <w:t>Type de fiche</w:t>
            </w:r>
          </w:p>
        </w:tc>
        <w:tc>
          <w:tcPr>
            <w:tcW w:w="679" w:type="pct"/>
            <w:shd w:val="clear" w:color="000000" w:fill="002060"/>
            <w:noWrap/>
            <w:vAlign w:val="center"/>
          </w:tcPr>
          <w:p w14:paraId="3E54B260" w14:textId="77777777" w:rsidR="00730513" w:rsidRPr="00A33C6D" w:rsidRDefault="00730513" w:rsidP="00730513">
            <w:pPr>
              <w:pStyle w:val="Tablehead"/>
              <w:rPr>
                <w:rFonts w:asciiTheme="minorHAnsi" w:hAnsiTheme="minorHAnsi" w:cstheme="minorHAnsi"/>
                <w:sz w:val="20"/>
                <w:rtl/>
              </w:rPr>
            </w:pPr>
            <w:r w:rsidRPr="00A33C6D">
              <w:rPr>
                <w:sz w:val="20"/>
              </w:rPr>
              <w:t>Date de réception</w:t>
            </w:r>
          </w:p>
        </w:tc>
        <w:tc>
          <w:tcPr>
            <w:tcW w:w="573" w:type="pct"/>
            <w:shd w:val="clear" w:color="000000" w:fill="002060"/>
            <w:noWrap/>
            <w:vAlign w:val="center"/>
          </w:tcPr>
          <w:p w14:paraId="524BDF38" w14:textId="2DCF208D" w:rsidR="00730513" w:rsidRPr="00A33C6D" w:rsidRDefault="00730513" w:rsidP="00730513">
            <w:pPr>
              <w:pStyle w:val="Tablehead"/>
              <w:rPr>
                <w:rFonts w:asciiTheme="minorHAnsi" w:hAnsiTheme="minorHAnsi" w:cstheme="minorHAnsi"/>
                <w:sz w:val="20"/>
                <w:rtl/>
              </w:rPr>
            </w:pPr>
            <w:r w:rsidRPr="00A33C6D">
              <w:rPr>
                <w:sz w:val="20"/>
              </w:rPr>
              <w:t>Type d</w:t>
            </w:r>
            <w:r w:rsidR="00447F3A" w:rsidRPr="00A33C6D">
              <w:rPr>
                <w:sz w:val="20"/>
              </w:rPr>
              <w:t>'</w:t>
            </w:r>
            <w:r w:rsidRPr="00A33C6D">
              <w:rPr>
                <w:sz w:val="20"/>
              </w:rPr>
              <w:t>orbite</w:t>
            </w:r>
          </w:p>
        </w:tc>
        <w:tc>
          <w:tcPr>
            <w:tcW w:w="535" w:type="pct"/>
            <w:shd w:val="clear" w:color="000000" w:fill="002060"/>
            <w:noWrap/>
            <w:vAlign w:val="center"/>
          </w:tcPr>
          <w:p w14:paraId="43BF5916" w14:textId="77777777" w:rsidR="00730513" w:rsidRPr="00A33C6D" w:rsidRDefault="00730513" w:rsidP="00730513">
            <w:pPr>
              <w:pStyle w:val="Tablehead"/>
              <w:rPr>
                <w:rFonts w:asciiTheme="minorHAnsi" w:hAnsiTheme="minorHAnsi" w:cstheme="minorHAnsi"/>
                <w:sz w:val="20"/>
                <w:rtl/>
              </w:rPr>
            </w:pPr>
            <w:r w:rsidRPr="00A33C6D">
              <w:rPr>
                <w:sz w:val="20"/>
              </w:rPr>
              <w:t>Réseau</w:t>
            </w:r>
          </w:p>
        </w:tc>
        <w:tc>
          <w:tcPr>
            <w:tcW w:w="463" w:type="pct"/>
            <w:shd w:val="clear" w:color="000000" w:fill="002060"/>
            <w:noWrap/>
            <w:vAlign w:val="center"/>
          </w:tcPr>
          <w:p w14:paraId="1EC9707E" w14:textId="77777777" w:rsidR="00730513" w:rsidRPr="00A33C6D" w:rsidRDefault="00730513" w:rsidP="00730513">
            <w:pPr>
              <w:pStyle w:val="Tablehead"/>
              <w:rPr>
                <w:rFonts w:asciiTheme="minorHAnsi" w:hAnsiTheme="minorHAnsi" w:cstheme="minorHAnsi"/>
                <w:sz w:val="20"/>
                <w:rtl/>
              </w:rPr>
            </w:pPr>
            <w:r w:rsidRPr="00A33C6D">
              <w:rPr>
                <w:sz w:val="20"/>
              </w:rPr>
              <w:t>N</w:t>
            </w:r>
            <w:r w:rsidRPr="00A33C6D">
              <w:rPr>
                <w:sz w:val="20"/>
                <w:vertAlign w:val="superscript"/>
              </w:rPr>
              <w:t>o</w:t>
            </w:r>
            <w:r w:rsidRPr="00A33C6D">
              <w:rPr>
                <w:sz w:val="20"/>
              </w:rPr>
              <w:t xml:space="preserve"> de fiche</w:t>
            </w:r>
          </w:p>
        </w:tc>
      </w:tr>
      <w:tr w:rsidR="000A1502" w:rsidRPr="00A33C6D" w14:paraId="05B3BD5B" w14:textId="77777777" w:rsidTr="00F80E3B">
        <w:trPr>
          <w:trHeight w:val="295"/>
          <w:jc w:val="center"/>
        </w:trPr>
        <w:tc>
          <w:tcPr>
            <w:tcW w:w="625" w:type="pct"/>
            <w:noWrap/>
            <w:vAlign w:val="center"/>
          </w:tcPr>
          <w:p w14:paraId="1DAB2A34"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4A7ECDC7"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7DA930AB"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5EBD071B"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14C681BC"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1E6BC47E" w14:textId="7C6FDC49"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275DDC48"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56D88D12"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ARABSAT-12F-44.5E</w:t>
            </w:r>
          </w:p>
        </w:tc>
        <w:tc>
          <w:tcPr>
            <w:tcW w:w="463" w:type="pct"/>
            <w:noWrap/>
            <w:vAlign w:val="center"/>
          </w:tcPr>
          <w:p w14:paraId="4CA8E05A"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125520067</w:t>
            </w:r>
          </w:p>
        </w:tc>
      </w:tr>
      <w:tr w:rsidR="000A1502" w:rsidRPr="00A33C6D" w14:paraId="0B5DBEC3" w14:textId="77777777" w:rsidTr="00F80E3B">
        <w:trPr>
          <w:trHeight w:val="295"/>
          <w:jc w:val="center"/>
        </w:trPr>
        <w:tc>
          <w:tcPr>
            <w:tcW w:w="625" w:type="pct"/>
            <w:noWrap/>
            <w:vAlign w:val="center"/>
          </w:tcPr>
          <w:p w14:paraId="5B740BAC"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0DF0A77E"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645656BA"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5F4A021F"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35405653"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003C79AF" w14:textId="142B6B4D"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2B14E5A6"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5BBAD830"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ARABSAT-12G-1E</w:t>
            </w:r>
          </w:p>
        </w:tc>
        <w:tc>
          <w:tcPr>
            <w:tcW w:w="463" w:type="pct"/>
            <w:noWrap/>
            <w:vAlign w:val="center"/>
          </w:tcPr>
          <w:p w14:paraId="2A048B38"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125520066</w:t>
            </w:r>
          </w:p>
        </w:tc>
      </w:tr>
      <w:tr w:rsidR="000A1502" w:rsidRPr="00A33C6D" w14:paraId="24C7CD3F" w14:textId="77777777" w:rsidTr="00F80E3B">
        <w:trPr>
          <w:trHeight w:val="295"/>
          <w:jc w:val="center"/>
        </w:trPr>
        <w:tc>
          <w:tcPr>
            <w:tcW w:w="625" w:type="pct"/>
            <w:noWrap/>
            <w:vAlign w:val="center"/>
          </w:tcPr>
          <w:p w14:paraId="266BE308"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13F1797C"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31CE39C7"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4F8B55D1"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2F681A8E"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47CF7514" w14:textId="1507685B"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7CCB62A5"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219440BD"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ARABSAT-12N-14.7E</w:t>
            </w:r>
          </w:p>
        </w:tc>
        <w:tc>
          <w:tcPr>
            <w:tcW w:w="463" w:type="pct"/>
            <w:noWrap/>
            <w:vAlign w:val="center"/>
          </w:tcPr>
          <w:p w14:paraId="4F84629C"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125520065</w:t>
            </w:r>
          </w:p>
        </w:tc>
      </w:tr>
      <w:tr w:rsidR="000A1502" w:rsidRPr="00A33C6D" w14:paraId="19A513F9" w14:textId="77777777" w:rsidTr="00F80E3B">
        <w:trPr>
          <w:trHeight w:val="295"/>
          <w:jc w:val="center"/>
        </w:trPr>
        <w:tc>
          <w:tcPr>
            <w:tcW w:w="625" w:type="pct"/>
            <w:noWrap/>
            <w:vAlign w:val="center"/>
          </w:tcPr>
          <w:p w14:paraId="2019A3CF"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12ADFF57"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3829567E"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24E7E7DB"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6FB68C5B"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49336A0E" w14:textId="480374D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5478839C"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2E5DE06C"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ARABSAT-12Q-58.5E</w:t>
            </w:r>
          </w:p>
        </w:tc>
        <w:tc>
          <w:tcPr>
            <w:tcW w:w="463" w:type="pct"/>
            <w:noWrap/>
            <w:vAlign w:val="center"/>
          </w:tcPr>
          <w:p w14:paraId="62776686"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125520064</w:t>
            </w:r>
          </w:p>
        </w:tc>
      </w:tr>
      <w:tr w:rsidR="000A1502" w:rsidRPr="00A33C6D" w14:paraId="02E04929" w14:textId="77777777" w:rsidTr="00F80E3B">
        <w:trPr>
          <w:trHeight w:val="295"/>
          <w:jc w:val="center"/>
        </w:trPr>
        <w:tc>
          <w:tcPr>
            <w:tcW w:w="625" w:type="pct"/>
            <w:noWrap/>
            <w:vAlign w:val="center"/>
          </w:tcPr>
          <w:p w14:paraId="6CFC0382"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1B1F7A14"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219B21D1"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576D0C84"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0D8609A2"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6A2C51FB" w14:textId="7E9E6A60"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41520AFC"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037C489B"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ARABSAT-12Y-9W</w:t>
            </w:r>
          </w:p>
        </w:tc>
        <w:tc>
          <w:tcPr>
            <w:tcW w:w="463" w:type="pct"/>
            <w:noWrap/>
            <w:vAlign w:val="center"/>
          </w:tcPr>
          <w:p w14:paraId="51FA1ABB"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125520063</w:t>
            </w:r>
          </w:p>
        </w:tc>
      </w:tr>
      <w:tr w:rsidR="000A1502" w:rsidRPr="00A33C6D" w14:paraId="493FAF07" w14:textId="77777777" w:rsidTr="00F80E3B">
        <w:trPr>
          <w:trHeight w:val="295"/>
          <w:jc w:val="center"/>
        </w:trPr>
        <w:tc>
          <w:tcPr>
            <w:tcW w:w="625" w:type="pct"/>
            <w:noWrap/>
            <w:vAlign w:val="center"/>
          </w:tcPr>
          <w:p w14:paraId="71635979" w14:textId="77777777" w:rsidR="00730513" w:rsidRPr="00A33C6D" w:rsidRDefault="00730513" w:rsidP="008D0D53">
            <w:pPr>
              <w:pStyle w:val="Tabletext"/>
              <w:jc w:val="center"/>
              <w:rPr>
                <w:rFonts w:asciiTheme="minorHAnsi" w:hAnsiTheme="minorHAnsi" w:cstheme="minorHAnsi"/>
                <w:sz w:val="20"/>
              </w:rPr>
            </w:pPr>
            <w:r w:rsidRPr="00A33C6D">
              <w:rPr>
                <w:sz w:val="20"/>
              </w:rPr>
              <w:t>10,8</w:t>
            </w:r>
          </w:p>
        </w:tc>
        <w:tc>
          <w:tcPr>
            <w:tcW w:w="657" w:type="pct"/>
            <w:noWrap/>
            <w:vAlign w:val="center"/>
          </w:tcPr>
          <w:p w14:paraId="0B6C5DEA"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575B943A"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6F525414"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44706965"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27881159" w14:textId="7CC61CF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20-05-2025</w:t>
            </w:r>
          </w:p>
        </w:tc>
        <w:tc>
          <w:tcPr>
            <w:tcW w:w="573" w:type="pct"/>
            <w:noWrap/>
            <w:vAlign w:val="center"/>
          </w:tcPr>
          <w:p w14:paraId="2A0E4C04"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0186F047"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ARABSAT-12P-67.5E</w:t>
            </w:r>
          </w:p>
        </w:tc>
        <w:tc>
          <w:tcPr>
            <w:tcW w:w="463" w:type="pct"/>
            <w:noWrap/>
            <w:vAlign w:val="center"/>
          </w:tcPr>
          <w:p w14:paraId="30BC7776"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125520062</w:t>
            </w:r>
          </w:p>
        </w:tc>
      </w:tr>
      <w:tr w:rsidR="000A1502" w:rsidRPr="00A33C6D" w14:paraId="06949746" w14:textId="77777777" w:rsidTr="00F80E3B">
        <w:trPr>
          <w:trHeight w:val="295"/>
          <w:jc w:val="center"/>
        </w:trPr>
        <w:tc>
          <w:tcPr>
            <w:tcW w:w="625" w:type="pct"/>
            <w:noWrap/>
            <w:vAlign w:val="center"/>
          </w:tcPr>
          <w:p w14:paraId="2B2A779F" w14:textId="77777777" w:rsidR="00730513" w:rsidRPr="00A33C6D" w:rsidRDefault="00730513" w:rsidP="008D0D53">
            <w:pPr>
              <w:pStyle w:val="Tabletext"/>
              <w:jc w:val="center"/>
              <w:rPr>
                <w:rFonts w:asciiTheme="minorHAnsi" w:hAnsiTheme="minorHAnsi" w:cstheme="minorHAnsi"/>
                <w:sz w:val="20"/>
              </w:rPr>
            </w:pPr>
            <w:r w:rsidRPr="00A33C6D">
              <w:rPr>
                <w:sz w:val="20"/>
              </w:rPr>
              <w:t>4,9</w:t>
            </w:r>
          </w:p>
        </w:tc>
        <w:tc>
          <w:tcPr>
            <w:tcW w:w="657" w:type="pct"/>
            <w:noWrap/>
            <w:vAlign w:val="center"/>
          </w:tcPr>
          <w:p w14:paraId="173BE947" w14:textId="77777777" w:rsidR="00730513" w:rsidRPr="00A33C6D" w:rsidRDefault="00730513" w:rsidP="008D0D53">
            <w:pPr>
              <w:pStyle w:val="Tabletext"/>
              <w:jc w:val="center"/>
              <w:rPr>
                <w:rFonts w:asciiTheme="minorHAnsi" w:hAnsiTheme="minorHAnsi" w:cstheme="minorHAnsi"/>
                <w:sz w:val="20"/>
              </w:rPr>
            </w:pPr>
            <w:r w:rsidRPr="00A33C6D">
              <w:rPr>
                <w:sz w:val="20"/>
              </w:rPr>
              <w:t>En cours de traitement</w:t>
            </w:r>
          </w:p>
        </w:tc>
        <w:tc>
          <w:tcPr>
            <w:tcW w:w="480" w:type="pct"/>
            <w:noWrap/>
            <w:vAlign w:val="center"/>
          </w:tcPr>
          <w:p w14:paraId="70710C73"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641" w:type="pct"/>
            <w:noWrap/>
            <w:vAlign w:val="center"/>
          </w:tcPr>
          <w:p w14:paraId="3BF798CE" w14:textId="77777777" w:rsidR="00730513" w:rsidRPr="00A33C6D" w:rsidRDefault="00730513" w:rsidP="008D0D53">
            <w:pPr>
              <w:pStyle w:val="Tabletext"/>
              <w:jc w:val="center"/>
              <w:rPr>
                <w:rFonts w:asciiTheme="minorHAnsi" w:hAnsiTheme="minorHAnsi" w:cstheme="minorHAnsi"/>
                <w:sz w:val="20"/>
              </w:rPr>
            </w:pPr>
            <w:r w:rsidRPr="00A33C6D">
              <w:rPr>
                <w:sz w:val="20"/>
              </w:rPr>
              <w:t>Non publiée</w:t>
            </w:r>
          </w:p>
        </w:tc>
        <w:tc>
          <w:tcPr>
            <w:tcW w:w="347" w:type="pct"/>
            <w:noWrap/>
            <w:vAlign w:val="center"/>
          </w:tcPr>
          <w:p w14:paraId="24ADE896" w14:textId="77777777" w:rsidR="00730513" w:rsidRPr="00A33C6D" w:rsidRDefault="00730513" w:rsidP="008D0D53">
            <w:pPr>
              <w:pStyle w:val="Tabletext"/>
              <w:jc w:val="center"/>
              <w:rPr>
                <w:rFonts w:asciiTheme="minorHAnsi" w:hAnsiTheme="minorHAnsi" w:cstheme="minorHAnsi"/>
                <w:sz w:val="20"/>
              </w:rPr>
            </w:pPr>
            <w:r w:rsidRPr="00A33C6D">
              <w:rPr>
                <w:sz w:val="20"/>
              </w:rPr>
              <w:t>CR/C</w:t>
            </w:r>
          </w:p>
        </w:tc>
        <w:tc>
          <w:tcPr>
            <w:tcW w:w="679" w:type="pct"/>
            <w:noWrap/>
            <w:vAlign w:val="center"/>
          </w:tcPr>
          <w:p w14:paraId="3EC07C7D" w14:textId="502509AB"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13-11-2025</w:t>
            </w:r>
          </w:p>
        </w:tc>
        <w:tc>
          <w:tcPr>
            <w:tcW w:w="573" w:type="pct"/>
            <w:noWrap/>
            <w:vAlign w:val="center"/>
          </w:tcPr>
          <w:p w14:paraId="79749183" w14:textId="77777777" w:rsidR="00730513" w:rsidRPr="00A33C6D" w:rsidRDefault="00730513" w:rsidP="008D0D53">
            <w:pPr>
              <w:pStyle w:val="Tabletext"/>
              <w:jc w:val="center"/>
              <w:rPr>
                <w:rFonts w:asciiTheme="minorHAnsi" w:hAnsiTheme="minorHAnsi" w:cstheme="minorHAnsi"/>
                <w:sz w:val="20"/>
                <w:rtl/>
              </w:rPr>
            </w:pPr>
            <w:r w:rsidRPr="00A33C6D">
              <w:rPr>
                <w:sz w:val="20"/>
              </w:rPr>
              <w:t>OSG</w:t>
            </w:r>
          </w:p>
        </w:tc>
        <w:tc>
          <w:tcPr>
            <w:tcW w:w="535" w:type="pct"/>
            <w:noWrap/>
            <w:vAlign w:val="center"/>
          </w:tcPr>
          <w:p w14:paraId="07FF4116" w14:textId="77777777" w:rsidR="00730513" w:rsidRPr="00A33C6D" w:rsidRDefault="00730513" w:rsidP="008D0D53">
            <w:pPr>
              <w:pStyle w:val="Tabletext"/>
              <w:jc w:val="center"/>
              <w:rPr>
                <w:rFonts w:asciiTheme="minorHAnsi" w:hAnsiTheme="minorHAnsi" w:cstheme="minorHAnsi"/>
                <w:sz w:val="20"/>
                <w:rtl/>
              </w:rPr>
            </w:pPr>
            <w:r w:rsidRPr="00A33C6D">
              <w:rPr>
                <w:rFonts w:asciiTheme="minorHAnsi" w:hAnsiTheme="minorHAnsi" w:cstheme="minorHAnsi"/>
                <w:sz w:val="20"/>
              </w:rPr>
              <w:t>SAUDISAT_19E_A</w:t>
            </w:r>
          </w:p>
        </w:tc>
        <w:tc>
          <w:tcPr>
            <w:tcW w:w="463" w:type="pct"/>
            <w:noWrap/>
            <w:vAlign w:val="center"/>
          </w:tcPr>
          <w:p w14:paraId="66708B15" w14:textId="77777777" w:rsidR="00730513" w:rsidRPr="00A33C6D" w:rsidRDefault="00730513" w:rsidP="008D0D53">
            <w:pPr>
              <w:pStyle w:val="Tabletext"/>
              <w:jc w:val="center"/>
              <w:rPr>
                <w:rFonts w:asciiTheme="minorHAnsi" w:hAnsiTheme="minorHAnsi" w:cstheme="minorHAnsi"/>
                <w:sz w:val="20"/>
              </w:rPr>
            </w:pPr>
            <w:r w:rsidRPr="00A33C6D">
              <w:rPr>
                <w:rFonts w:asciiTheme="minorHAnsi" w:hAnsiTheme="minorHAnsi" w:cstheme="minorHAnsi"/>
                <w:sz w:val="20"/>
              </w:rPr>
              <w:t>125520159</w:t>
            </w:r>
          </w:p>
        </w:tc>
      </w:tr>
    </w:tbl>
    <w:p w14:paraId="20FD5534" w14:textId="42571897" w:rsidR="002F1E7D" w:rsidRPr="00A33C6D" w:rsidRDefault="002F1E7D" w:rsidP="00730513">
      <w:pPr>
        <w:pStyle w:val="Tablelegend"/>
      </w:pPr>
      <w:r w:rsidRPr="00A33C6D">
        <w:t>*</w:t>
      </w:r>
      <w:r w:rsidR="00730513" w:rsidRPr="00A33C6D">
        <w:tab/>
      </w:r>
      <w:r w:rsidRPr="00A33C6D">
        <w:t>Les fiches de notification étant toujours en cours de traitement, le délai de traitement a été calculé jusqu</w:t>
      </w:r>
      <w:r w:rsidR="00447F3A" w:rsidRPr="00A33C6D">
        <w:t>'</w:t>
      </w:r>
      <w:r w:rsidRPr="00A33C6D">
        <w:t>à avril 2026.</w:t>
      </w:r>
    </w:p>
    <w:p w14:paraId="31BA7C11" w14:textId="5EB0CA5F" w:rsidR="002F1E7D" w:rsidRPr="00A33C6D" w:rsidRDefault="002F1E7D" w:rsidP="00F80E3B">
      <w:pPr>
        <w:jc w:val="both"/>
      </w:pPr>
      <w:r w:rsidRPr="00A33C6D">
        <w:lastRenderedPageBreak/>
        <w:t>Le Tableau 1 montre en outre, par des exemples concrets, que les fiches de notification publiées et en cours de traitement subissent des retards importants, ce qui confirme que le problème n'est pas résolu et concerne l</w:t>
      </w:r>
      <w:r w:rsidR="00447F3A" w:rsidRPr="00A33C6D">
        <w:t>'</w:t>
      </w:r>
      <w:r w:rsidRPr="00A33C6D">
        <w:t>ensemble du cycle de traitement. Ces retards ont des conséquences réglementaires directes, notamment en ce qu'ils réduisent le temps dont les administrations et les opérateurs disposent pour mener à bien les procédures de coordination et mettre en service les réseaux dans les délais requis, augmentant ainsi le risque de non-conformité. Des conséquences se font aussi sentir sur le plan de l'exploitation et des investissements, notamment des retards dans les plans de déploiement, une diminution des possibilités de coordination et un accroissement de l</w:t>
      </w:r>
      <w:r w:rsidR="00447F3A" w:rsidRPr="00A33C6D">
        <w:t>'</w:t>
      </w:r>
      <w:r w:rsidRPr="00A33C6D">
        <w:t>incertitude en raison de l</w:t>
      </w:r>
      <w:r w:rsidR="00447F3A" w:rsidRPr="00A33C6D">
        <w:t>'</w:t>
      </w:r>
      <w:r w:rsidRPr="00A33C6D">
        <w:t>évolution des conditions techniques et réglementaires.</w:t>
      </w:r>
    </w:p>
    <w:p w14:paraId="5A36594A" w14:textId="5AA1706D" w:rsidR="002F1E7D" w:rsidRPr="00A33C6D" w:rsidRDefault="002F1E7D" w:rsidP="00F80E3B">
      <w:pPr>
        <w:jc w:val="both"/>
      </w:pPr>
      <w:r w:rsidRPr="00A33C6D">
        <w:t>Sur le plan financier, les produits différés ont atteint des niveaux importants, de nombreuses fiches de notification n</w:t>
      </w:r>
      <w:r w:rsidR="00447F3A" w:rsidRPr="00A33C6D">
        <w:t>'</w:t>
      </w:r>
      <w:r w:rsidRPr="00A33C6D">
        <w:t>étant toujours pas facturées, ce qui a une incidence directe sur les mécanismes de recouvrement des coûts. De plus, ces contraintes peuvent également avoir des conséquences sur la capacité du Bureau à soutenir d</w:t>
      </w:r>
      <w:r w:rsidR="00447F3A" w:rsidRPr="00A33C6D">
        <w:t>'</w:t>
      </w:r>
      <w:r w:rsidRPr="00A33C6D">
        <w:t>autres activités de radiocommunication, y compris les travaux des commissions d</w:t>
      </w:r>
      <w:r w:rsidR="00447F3A" w:rsidRPr="00A33C6D">
        <w:t>'</w:t>
      </w:r>
      <w:r w:rsidRPr="00A33C6D">
        <w:t>études et de renforcement des capacités. Dans l</w:t>
      </w:r>
      <w:r w:rsidR="00447F3A" w:rsidRPr="00A33C6D">
        <w:t>'</w:t>
      </w:r>
      <w:r w:rsidRPr="00A33C6D">
        <w:t>ensemble, cette situation révèle qu'une réponse globale doit être apportée pour faire face à la fois aux problèmes actuels et au fait que la demande des ressources que constituent les orbites et les fréquences devrait continuer d</w:t>
      </w:r>
      <w:r w:rsidR="00447F3A" w:rsidRPr="00A33C6D">
        <w:t>'</w:t>
      </w:r>
      <w:r w:rsidRPr="00A33C6D">
        <w:t>augmenter.</w:t>
      </w:r>
    </w:p>
    <w:p w14:paraId="720C3FCD" w14:textId="77777777" w:rsidR="002F1E7D" w:rsidRPr="00A33C6D" w:rsidRDefault="002F1E7D" w:rsidP="00730513">
      <w:pPr>
        <w:pStyle w:val="Headingb"/>
      </w:pPr>
      <w:r w:rsidRPr="00A33C6D">
        <w:t>Proposition</w:t>
      </w:r>
    </w:p>
    <w:p w14:paraId="5AF88618" w14:textId="2A36B0E7" w:rsidR="002F1E7D" w:rsidRPr="00A33C6D" w:rsidRDefault="002F1E7D" w:rsidP="00F80E3B">
      <w:pPr>
        <w:jc w:val="both"/>
      </w:pPr>
      <w:r w:rsidRPr="00A33C6D">
        <w:t>Compte tenu de ce qui précède, nous proposons que le Conseil:</w:t>
      </w:r>
    </w:p>
    <w:p w14:paraId="0B3D32D8" w14:textId="18D9C26A" w:rsidR="002F1E7D" w:rsidRPr="00A33C6D" w:rsidRDefault="002F1E7D" w:rsidP="00F80E3B">
      <w:pPr>
        <w:pStyle w:val="enumlev1"/>
        <w:jc w:val="both"/>
      </w:pPr>
      <w:r w:rsidRPr="00A33C6D">
        <w:t>1</w:t>
      </w:r>
      <w:r w:rsidR="00730513" w:rsidRPr="00A33C6D">
        <w:t>)</w:t>
      </w:r>
      <w:r w:rsidRPr="00A33C6D">
        <w:tab/>
        <w:t>veille à ce que tous les coûts liés aux fiches de notification des réseaux à satellite soient recouvrés à l'aide des droits à acquitter pour le traitement de ces fiches proprement dits, de sorte que le service soit assuré sans faire appel à d</w:t>
      </w:r>
      <w:r w:rsidR="00447F3A" w:rsidRPr="00A33C6D">
        <w:t>'</w:t>
      </w:r>
      <w:r w:rsidRPr="00A33C6D">
        <w:t>autres ressources de l</w:t>
      </w:r>
      <w:r w:rsidR="00447F3A" w:rsidRPr="00A33C6D">
        <w:t>'</w:t>
      </w:r>
      <w:r w:rsidRPr="00A33C6D">
        <w:t>UIT, conformément à la Résolution 91 de la PP;</w:t>
      </w:r>
    </w:p>
    <w:p w14:paraId="45D44011" w14:textId="37229104" w:rsidR="002F1E7D" w:rsidRPr="00A33C6D" w:rsidRDefault="002F1E7D" w:rsidP="00F80E3B">
      <w:pPr>
        <w:pStyle w:val="enumlev1"/>
        <w:jc w:val="both"/>
      </w:pPr>
      <w:r w:rsidRPr="00A33C6D">
        <w:t>2</w:t>
      </w:r>
      <w:r w:rsidR="00730513" w:rsidRPr="00A33C6D">
        <w:t>)</w:t>
      </w:r>
      <w:r w:rsidRPr="00A33C6D">
        <w:tab/>
        <w:t>veille à ce que les coûts indirects soient imputés de manière claire et proportionnée, selon des méthodes d</w:t>
      </w:r>
      <w:r w:rsidR="00447F3A" w:rsidRPr="00A33C6D">
        <w:t>'</w:t>
      </w:r>
      <w:r w:rsidRPr="00A33C6D">
        <w:t>imputation vérifiables, conformément aux principes énoncés dans la Résolution 91 de la PP;</w:t>
      </w:r>
    </w:p>
    <w:p w14:paraId="7AAA9D78" w14:textId="0964A57C" w:rsidR="002F1E7D" w:rsidRPr="00A33C6D" w:rsidRDefault="002F1E7D" w:rsidP="00F80E3B">
      <w:pPr>
        <w:pStyle w:val="enumlev1"/>
        <w:jc w:val="both"/>
      </w:pPr>
      <w:r w:rsidRPr="00A33C6D">
        <w:t>3</w:t>
      </w:r>
      <w:r w:rsidR="00730513" w:rsidRPr="00A33C6D">
        <w:t>)</w:t>
      </w:r>
      <w:r w:rsidRPr="00A33C6D">
        <w:tab/>
        <w:t>concoure à ce que tout aménagement du cadre applicable à la franchise de droits soit ciblé et proportionné et vise à remédier aux possibles utilisations abusives tout en préservant un accès équitable;</w:t>
      </w:r>
    </w:p>
    <w:p w14:paraId="7E6807DD" w14:textId="0A385C6F" w:rsidR="002F1E7D" w:rsidRPr="00A33C6D" w:rsidRDefault="002F1E7D" w:rsidP="00F80E3B">
      <w:pPr>
        <w:pStyle w:val="enumlev1"/>
        <w:jc w:val="both"/>
      </w:pPr>
      <w:r w:rsidRPr="00A33C6D">
        <w:t>4</w:t>
      </w:r>
      <w:r w:rsidR="00730513" w:rsidRPr="00A33C6D">
        <w:t>)</w:t>
      </w:r>
      <w:r w:rsidRPr="00A33C6D">
        <w:tab/>
        <w:t>invite le Secrétariat à continuer d</w:t>
      </w:r>
      <w:r w:rsidR="00447F3A" w:rsidRPr="00A33C6D">
        <w:t>'</w:t>
      </w:r>
      <w:r w:rsidRPr="00A33C6D">
        <w:t>améliorer la méthode proposée, en associant la comptabilité par activité à une analyse détaillée de la charge de travail, afin d</w:t>
      </w:r>
      <w:r w:rsidR="00447F3A" w:rsidRPr="00A33C6D">
        <w:t>'</w:t>
      </w:r>
      <w:r w:rsidRPr="00A33C6D">
        <w:t>améliorer l</w:t>
      </w:r>
      <w:r w:rsidR="00447F3A" w:rsidRPr="00A33C6D">
        <w:t>'</w:t>
      </w:r>
      <w:r w:rsidRPr="00A33C6D">
        <w:t xml:space="preserve">efficacité et de garantir que les droits à </w:t>
      </w:r>
      <w:r w:rsidR="000A67F4" w:rsidRPr="00A33C6D">
        <w:t>acquitter</w:t>
      </w:r>
      <w:r w:rsidRPr="00A33C6D">
        <w:t xml:space="preserve"> correspondent à l</w:t>
      </w:r>
      <w:r w:rsidR="00447F3A" w:rsidRPr="00A33C6D">
        <w:t>'</w:t>
      </w:r>
      <w:r w:rsidRPr="00A33C6D">
        <w:t>effort de traitement réellement fourni pour les différentes catégories de fiches de notification, notamment par la fourniture au Conseil de données complémentaires améliorées sur la prévision de la demande, les tendances en matière de fiches de notification et l</w:t>
      </w:r>
      <w:r w:rsidR="00447F3A" w:rsidRPr="00A33C6D">
        <w:t>'</w:t>
      </w:r>
      <w:r w:rsidRPr="00A33C6D">
        <w:t>évolution de la charge de travail, en particulier en ce qui concerne les grands systèmes non OSG et les décisions récentes de la CMR;</w:t>
      </w:r>
    </w:p>
    <w:p w14:paraId="7802B27A" w14:textId="3C8AC2D2" w:rsidR="002F1E7D" w:rsidRPr="00A33C6D" w:rsidRDefault="002F1E7D" w:rsidP="00F80E3B">
      <w:pPr>
        <w:pStyle w:val="enumlev1"/>
        <w:jc w:val="both"/>
      </w:pPr>
      <w:r w:rsidRPr="00A33C6D">
        <w:t>5</w:t>
      </w:r>
      <w:r w:rsidR="00730513" w:rsidRPr="00A33C6D">
        <w:t>)</w:t>
      </w:r>
      <w:r w:rsidRPr="00A33C6D">
        <w:tab/>
        <w:t>envisage de prendre des mesures appropriées pour faire face aux incidences croissantes que les retards dans le traitement des fiches de notification des réseaux à satellite ont sur les administrations et pour faire en sorte que celles-ci restent en mesure de respecter les exigences réglementaires énoncées dans le Règlement des radiocommunications;</w:t>
      </w:r>
    </w:p>
    <w:p w14:paraId="1A85E2A4" w14:textId="173E7465" w:rsidR="002F1E7D" w:rsidRPr="00A33C6D" w:rsidRDefault="002F1E7D" w:rsidP="00F80E3B">
      <w:pPr>
        <w:pStyle w:val="enumlev1"/>
        <w:jc w:val="both"/>
      </w:pPr>
      <w:r w:rsidRPr="00A33C6D">
        <w:lastRenderedPageBreak/>
        <w:t>6</w:t>
      </w:r>
      <w:r w:rsidR="00730513" w:rsidRPr="00A33C6D">
        <w:t>)</w:t>
      </w:r>
      <w:r w:rsidRPr="00A33C6D">
        <w:tab/>
        <w:t>appuie les mesures visant à résorber les retards accumulés dans le traitement des fiches de notification des réseaux à satellite et à permettre au BR d</w:t>
      </w:r>
      <w:r w:rsidR="00447F3A" w:rsidRPr="00A33C6D">
        <w:t>'</w:t>
      </w:r>
      <w:r w:rsidRPr="00A33C6D">
        <w:t>améliorer son efficacité opérationnelle, notamment en rétablissant un équilibre entre la charge de travail et sa capacité à traiter les fiches;</w:t>
      </w:r>
    </w:p>
    <w:p w14:paraId="4A02997C" w14:textId="57454839" w:rsidR="006A11AE" w:rsidRDefault="002F1E7D" w:rsidP="00F80E3B">
      <w:pPr>
        <w:pStyle w:val="enumlev1"/>
        <w:jc w:val="both"/>
      </w:pPr>
      <w:r w:rsidRPr="00A33C6D">
        <w:t>7</w:t>
      </w:r>
      <w:r w:rsidR="00730513" w:rsidRPr="00A33C6D">
        <w:t>)</w:t>
      </w:r>
      <w:r w:rsidRPr="00A33C6D">
        <w:tab/>
        <w:t>aide le BR à régler l'arriéré existant et à s</w:t>
      </w:r>
      <w:r w:rsidR="00447F3A" w:rsidRPr="00A33C6D">
        <w:t>'</w:t>
      </w:r>
      <w:r w:rsidRPr="00A33C6D">
        <w:t>approcher d</w:t>
      </w:r>
      <w:r w:rsidR="00447F3A" w:rsidRPr="00A33C6D">
        <w:t>'</w:t>
      </w:r>
      <w:r w:rsidRPr="00A33C6D">
        <w:t>un état de conformité aux exigences réglementaires, ce qui renforcera la stabilité de l</w:t>
      </w:r>
      <w:r w:rsidR="00447F3A" w:rsidRPr="00A33C6D">
        <w:t>'</w:t>
      </w:r>
      <w:r w:rsidRPr="00A33C6D">
        <w:t>environnement réglementaire international et servira les intérêts des États Membres.</w:t>
      </w:r>
    </w:p>
    <w:p w14:paraId="11DDA482" w14:textId="77777777" w:rsidR="00F80E3B" w:rsidRPr="00A33C6D" w:rsidRDefault="00F80E3B" w:rsidP="00F80E3B">
      <w:pPr>
        <w:pStyle w:val="enumlev1"/>
        <w:jc w:val="both"/>
      </w:pPr>
    </w:p>
    <w:p w14:paraId="60C702FC" w14:textId="77777777" w:rsidR="00897553" w:rsidRPr="00A33C6D" w:rsidRDefault="006A11AE" w:rsidP="002D2336">
      <w:pPr>
        <w:jc w:val="center"/>
      </w:pPr>
      <w:r w:rsidRPr="00A33C6D">
        <w:t>______________</w:t>
      </w:r>
    </w:p>
    <w:sectPr w:rsidR="00897553" w:rsidRPr="00A33C6D" w:rsidSect="00D72F49">
      <w:headerReference w:type="even" r:id="rId15"/>
      <w:footerReference w:type="even" r:id="rId16"/>
      <w:footerReference w:type="default" r:id="rId17"/>
      <w:headerReference w:type="first" r:id="rId18"/>
      <w:footerReference w:type="first" r:id="rId1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D78F" w14:textId="77777777" w:rsidR="00A568B3" w:rsidRDefault="00A568B3">
      <w:r>
        <w:separator/>
      </w:r>
    </w:p>
  </w:endnote>
  <w:endnote w:type="continuationSeparator" w:id="0">
    <w:p w14:paraId="690ED88E" w14:textId="77777777" w:rsidR="00A568B3" w:rsidRDefault="00A5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2FFF" w14:textId="2C10DA71" w:rsidR="00732045" w:rsidRPr="00A33C6D" w:rsidRDefault="00A568B3">
    <w:pPr>
      <w:pStyle w:val="Footer"/>
      <w:rPr>
        <w:lang w:val="en-US"/>
      </w:rPr>
    </w:pPr>
    <w:r>
      <w:fldChar w:fldCharType="begin"/>
    </w:r>
    <w:r w:rsidRPr="00A33C6D">
      <w:rPr>
        <w:lang w:val="en-US"/>
      </w:rPr>
      <w:instrText xml:space="preserve"> FILENAME \p \* MERGEFORMAT </w:instrText>
    </w:r>
    <w:r>
      <w:fldChar w:fldCharType="separate"/>
    </w:r>
    <w:r w:rsidR="009915B6">
      <w:rPr>
        <w:lang w:val="en-US"/>
      </w:rPr>
      <w:t>P:\FRA\gDoc\SG\C26\2600944F.docx</w:t>
    </w:r>
    <w:r>
      <w:fldChar w:fldCharType="end"/>
    </w:r>
    <w:r w:rsidR="00732045" w:rsidRPr="00A33C6D">
      <w:rPr>
        <w:lang w:val="en-US"/>
      </w:rPr>
      <w:tab/>
    </w:r>
    <w:r w:rsidR="002F1B76">
      <w:fldChar w:fldCharType="begin"/>
    </w:r>
    <w:r w:rsidR="00732045">
      <w:instrText xml:space="preserve"> savedate \@ dd.MM.yy </w:instrText>
    </w:r>
    <w:r w:rsidR="002F1B76">
      <w:fldChar w:fldCharType="separate"/>
    </w:r>
    <w:r w:rsidR="005C2C9E">
      <w:t>22.04.26</w:t>
    </w:r>
    <w:r w:rsidR="002F1B76">
      <w:fldChar w:fldCharType="end"/>
    </w:r>
    <w:r w:rsidR="00732045" w:rsidRPr="00A33C6D">
      <w:rPr>
        <w:lang w:val="en-US"/>
      </w:rPr>
      <w:tab/>
    </w:r>
    <w:r w:rsidR="002F1B76">
      <w:fldChar w:fldCharType="begin"/>
    </w:r>
    <w:r w:rsidR="00732045">
      <w:instrText xml:space="preserve"> printdate \@ dd.MM.yy </w:instrText>
    </w:r>
    <w:r w:rsidR="002F1B76">
      <w:fldChar w:fldCharType="separate"/>
    </w:r>
    <w:r w:rsidR="009915B6">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1A8F4BD" w14:textId="77777777" w:rsidTr="00E31DCE">
      <w:trPr>
        <w:jc w:val="center"/>
      </w:trPr>
      <w:tc>
        <w:tcPr>
          <w:tcW w:w="1803" w:type="dxa"/>
          <w:vAlign w:val="center"/>
        </w:tcPr>
        <w:p w14:paraId="21EC9F68" w14:textId="171DBAB2" w:rsidR="00A51849" w:rsidRDefault="007A2F83" w:rsidP="00A51849">
          <w:pPr>
            <w:pStyle w:val="Header"/>
            <w:jc w:val="left"/>
            <w:rPr>
              <w:noProof/>
            </w:rPr>
          </w:pPr>
          <w:r>
            <w:rPr>
              <w:noProof/>
            </w:rPr>
            <w:t>2600944</w:t>
          </w:r>
        </w:p>
      </w:tc>
      <w:tc>
        <w:tcPr>
          <w:tcW w:w="8261" w:type="dxa"/>
        </w:tcPr>
        <w:p w14:paraId="0DAC2F8D" w14:textId="43981FD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A2F83">
            <w:rPr>
              <w:bCs/>
            </w:rPr>
            <w:t>98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9C1B93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572F4B6" w14:textId="77777777" w:rsidTr="00E31DCE">
      <w:trPr>
        <w:jc w:val="center"/>
      </w:trPr>
      <w:tc>
        <w:tcPr>
          <w:tcW w:w="1803" w:type="dxa"/>
          <w:vAlign w:val="center"/>
        </w:tcPr>
        <w:p w14:paraId="350D637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5DACB39A" w14:textId="01FD017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A2F83">
            <w:rPr>
              <w:bCs/>
            </w:rPr>
            <w:t>98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622B4D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3A6A" w14:textId="77777777" w:rsidR="00A568B3" w:rsidRDefault="00A568B3">
      <w:r>
        <w:t>____________________</w:t>
      </w:r>
    </w:p>
  </w:footnote>
  <w:footnote w:type="continuationSeparator" w:id="0">
    <w:p w14:paraId="1BB4B799" w14:textId="77777777" w:rsidR="00A568B3" w:rsidRDefault="00A5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C9D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4F0CDD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1D62"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F208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D24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D604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849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228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8C4D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600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86D4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5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0A0180"/>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656446483">
    <w:abstractNumId w:val="8"/>
  </w:num>
  <w:num w:numId="17" w16cid:durableId="1755736760">
    <w:abstractNumId w:val="3"/>
  </w:num>
  <w:num w:numId="18" w16cid:durableId="661201905">
    <w:abstractNumId w:val="2"/>
  </w:num>
  <w:num w:numId="19" w16cid:durableId="1552613739">
    <w:abstractNumId w:val="1"/>
  </w:num>
  <w:num w:numId="20" w16cid:durableId="630213581">
    <w:abstractNumId w:val="0"/>
  </w:num>
  <w:num w:numId="21" w16cid:durableId="304042326">
    <w:abstractNumId w:val="8"/>
  </w:num>
  <w:num w:numId="22" w16cid:durableId="710690801">
    <w:abstractNumId w:val="3"/>
  </w:num>
  <w:num w:numId="23" w16cid:durableId="305673347">
    <w:abstractNumId w:val="2"/>
  </w:num>
  <w:num w:numId="24" w16cid:durableId="799811536">
    <w:abstractNumId w:val="1"/>
  </w:num>
  <w:num w:numId="25" w16cid:durableId="201360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B3"/>
    <w:rsid w:val="00076A2C"/>
    <w:rsid w:val="000A1502"/>
    <w:rsid w:val="000A67F4"/>
    <w:rsid w:val="000C65EB"/>
    <w:rsid w:val="000D0D0A"/>
    <w:rsid w:val="00103163"/>
    <w:rsid w:val="00106B19"/>
    <w:rsid w:val="001133EF"/>
    <w:rsid w:val="00115D93"/>
    <w:rsid w:val="001247A8"/>
    <w:rsid w:val="001328C7"/>
    <w:rsid w:val="001342E0"/>
    <w:rsid w:val="001370B2"/>
    <w:rsid w:val="001378C0"/>
    <w:rsid w:val="001658F9"/>
    <w:rsid w:val="0018694A"/>
    <w:rsid w:val="0019129B"/>
    <w:rsid w:val="001A3287"/>
    <w:rsid w:val="001A6508"/>
    <w:rsid w:val="001D4C31"/>
    <w:rsid w:val="001E4D21"/>
    <w:rsid w:val="001F235C"/>
    <w:rsid w:val="00207CD1"/>
    <w:rsid w:val="00226657"/>
    <w:rsid w:val="002477A2"/>
    <w:rsid w:val="00263A51"/>
    <w:rsid w:val="00267E02"/>
    <w:rsid w:val="00271321"/>
    <w:rsid w:val="00277DEA"/>
    <w:rsid w:val="002A3A06"/>
    <w:rsid w:val="002A5D44"/>
    <w:rsid w:val="002C3F32"/>
    <w:rsid w:val="002C4E3D"/>
    <w:rsid w:val="002D2336"/>
    <w:rsid w:val="002E0BC4"/>
    <w:rsid w:val="002F1B76"/>
    <w:rsid w:val="002F1E7D"/>
    <w:rsid w:val="0033568E"/>
    <w:rsid w:val="00355FF5"/>
    <w:rsid w:val="00361350"/>
    <w:rsid w:val="003C3FAE"/>
    <w:rsid w:val="003F4E2A"/>
    <w:rsid w:val="004038CB"/>
    <w:rsid w:val="0040546F"/>
    <w:rsid w:val="00406867"/>
    <w:rsid w:val="004177BD"/>
    <w:rsid w:val="0042404A"/>
    <w:rsid w:val="0044618F"/>
    <w:rsid w:val="00447F3A"/>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2C9E"/>
    <w:rsid w:val="005C3890"/>
    <w:rsid w:val="005F7BFE"/>
    <w:rsid w:val="00600017"/>
    <w:rsid w:val="00602682"/>
    <w:rsid w:val="006235CA"/>
    <w:rsid w:val="0062366E"/>
    <w:rsid w:val="006643AB"/>
    <w:rsid w:val="006A11AE"/>
    <w:rsid w:val="006B224B"/>
    <w:rsid w:val="006F0A53"/>
    <w:rsid w:val="0071402E"/>
    <w:rsid w:val="007210CD"/>
    <w:rsid w:val="00730513"/>
    <w:rsid w:val="00732045"/>
    <w:rsid w:val="0073275D"/>
    <w:rsid w:val="007369DB"/>
    <w:rsid w:val="0077110E"/>
    <w:rsid w:val="007956C2"/>
    <w:rsid w:val="00796BDB"/>
    <w:rsid w:val="007A187E"/>
    <w:rsid w:val="007A2F83"/>
    <w:rsid w:val="007C72C2"/>
    <w:rsid w:val="007D4436"/>
    <w:rsid w:val="007F257A"/>
    <w:rsid w:val="007F3665"/>
    <w:rsid w:val="00800037"/>
    <w:rsid w:val="0082299A"/>
    <w:rsid w:val="0083391C"/>
    <w:rsid w:val="0084546D"/>
    <w:rsid w:val="00861D73"/>
    <w:rsid w:val="008815CD"/>
    <w:rsid w:val="00882919"/>
    <w:rsid w:val="00897553"/>
    <w:rsid w:val="008A4E87"/>
    <w:rsid w:val="008D0D53"/>
    <w:rsid w:val="008D13A6"/>
    <w:rsid w:val="008D76E6"/>
    <w:rsid w:val="008F32F7"/>
    <w:rsid w:val="0092392D"/>
    <w:rsid w:val="00923D82"/>
    <w:rsid w:val="0093234A"/>
    <w:rsid w:val="00956A78"/>
    <w:rsid w:val="0097363B"/>
    <w:rsid w:val="00973F53"/>
    <w:rsid w:val="0098348E"/>
    <w:rsid w:val="009915B6"/>
    <w:rsid w:val="009A6BAA"/>
    <w:rsid w:val="009A76A8"/>
    <w:rsid w:val="009C1B6F"/>
    <w:rsid w:val="009C307F"/>
    <w:rsid w:val="009C353C"/>
    <w:rsid w:val="009D5955"/>
    <w:rsid w:val="009F0FB8"/>
    <w:rsid w:val="00A01F4F"/>
    <w:rsid w:val="00A033C7"/>
    <w:rsid w:val="00A109AF"/>
    <w:rsid w:val="00A125FB"/>
    <w:rsid w:val="00A2113E"/>
    <w:rsid w:val="00A23A51"/>
    <w:rsid w:val="00A24607"/>
    <w:rsid w:val="00A25CD3"/>
    <w:rsid w:val="00A33C6D"/>
    <w:rsid w:val="00A51849"/>
    <w:rsid w:val="00A568B3"/>
    <w:rsid w:val="00A709FE"/>
    <w:rsid w:val="00A73C60"/>
    <w:rsid w:val="00A82767"/>
    <w:rsid w:val="00A95E5E"/>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E7CF4"/>
    <w:rsid w:val="00BF4B60"/>
    <w:rsid w:val="00C049D7"/>
    <w:rsid w:val="00C04BE3"/>
    <w:rsid w:val="00C10021"/>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913DE"/>
    <w:rsid w:val="00DA08C3"/>
    <w:rsid w:val="00DB5A3E"/>
    <w:rsid w:val="00DC22AA"/>
    <w:rsid w:val="00DD1A99"/>
    <w:rsid w:val="00DE62C6"/>
    <w:rsid w:val="00DF74DD"/>
    <w:rsid w:val="00E25AD0"/>
    <w:rsid w:val="00E4428F"/>
    <w:rsid w:val="00E4448E"/>
    <w:rsid w:val="00E47427"/>
    <w:rsid w:val="00E9332E"/>
    <w:rsid w:val="00E93668"/>
    <w:rsid w:val="00E95647"/>
    <w:rsid w:val="00E97AD3"/>
    <w:rsid w:val="00EB6350"/>
    <w:rsid w:val="00ED799B"/>
    <w:rsid w:val="00F15B57"/>
    <w:rsid w:val="00F177C2"/>
    <w:rsid w:val="00F35EF4"/>
    <w:rsid w:val="00F37FE5"/>
    <w:rsid w:val="00F427DB"/>
    <w:rsid w:val="00F80E3B"/>
    <w:rsid w:val="00FA5EB1"/>
    <w:rsid w:val="00FA7439"/>
    <w:rsid w:val="00FC4EC0"/>
    <w:rsid w:val="00FC6D7D"/>
    <w:rsid w:val="00FF0181"/>
    <w:rsid w:val="00FF27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3EC2E"/>
  <w15:docId w15:val="{D64AD789-F6CE-44A2-AB38-6FA36354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F4E2A"/>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8D13A6"/>
    <w:pPr>
      <w:keepNext/>
      <w:keepLines/>
      <w:spacing w:before="480" w:after="120"/>
      <w:jc w:val="center"/>
    </w:pPr>
    <w:rPr>
      <w:caps/>
      <w:sz w:val="22"/>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3F4E2A"/>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3F4E2A"/>
    <w:pPr>
      <w:keepNext/>
      <w:keepLines/>
      <w:spacing w:before="480" w:after="120"/>
      <w:jc w:val="center"/>
    </w:pPr>
    <w:rPr>
      <w:caps/>
      <w:sz w:val="22"/>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Figurewithlegend">
    <w:name w:val="Figure_with_legend"/>
    <w:basedOn w:val="Figure"/>
    <w:rsid w:val="008D13A6"/>
    <w:pPr>
      <w:spacing w:after="0"/>
    </w:pPr>
    <w:rPr>
      <w:noProof/>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fr"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en/council/Documents/basic-texts/RES-091-F.pdf" TargetMode="External"/><Relationship Id="rId12" Type="http://schemas.openxmlformats.org/officeDocument/2006/relationships/hyperlink" Target="https://www.itu.int/md/R23-RAG-C-0058/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00-CA-CIR-0281/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md/S26-CL-C-0019/f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6-CL-C-0016/fr" TargetMode="External"/><Relationship Id="rId14" Type="http://schemas.openxmlformats.org/officeDocument/2006/relationships/hyperlink" Target="https://www.itu.int/en/ITU-R/space/Pages/Statistics.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8</Pages>
  <Words>3289</Words>
  <Characters>18735</Characters>
  <Application>Microsoft Office Word</Application>
  <DocSecurity>0</DocSecurity>
  <Lines>468</Lines>
  <Paragraphs>242</Paragraphs>
  <ScaleCrop>false</ScaleCrop>
  <HeadingPairs>
    <vt:vector size="2" baseType="variant">
      <vt:variant>
        <vt:lpstr>Title</vt:lpstr>
      </vt:variant>
      <vt:variant>
        <vt:i4>1</vt:i4>
      </vt:variant>
    </vt:vector>
  </HeadingPairs>
  <TitlesOfParts>
    <vt:vector size="1" baseType="lpstr">
      <vt:lpstr>Améliorer le recouvrement des coûts pour le traitement des fiches de notification des réseaux à satellite et remédier aux retards de traitement accumulés par le bureau des radiocommunications</vt:lpstr>
    </vt:vector>
  </TitlesOfParts>
  <Manager>Secrétariat général - Pool</Manager>
  <Company>Union internationale des télécommunications (UIT)</Company>
  <LinksUpToDate>false</LinksUpToDate>
  <CharactersWithSpaces>21782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Améliorer le recouvrement des coûts pour le traitement des fiches de notification des réseaux à satellite et remédier aux retards de traitement accumulés par le bureau des radiocommunications</dc:title>
  <dc:subject>Conseil 2026 de l'UIT</dc:subject>
  <cp:keywords>C26; C2026; Council 2026; PP26</cp:keywords>
  <dc:description/>
  <cp:lastPrinted>2000-07-18T08:55:00Z</cp:lastPrinted>
  <dcterms:created xsi:type="dcterms:W3CDTF">2026-04-27T15:15:00Z</dcterms:created>
  <dcterms:modified xsi:type="dcterms:W3CDTF">2026-04-27T15:20:00Z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