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3984A52" w14:textId="77777777" w:rsidTr="00954C49">
        <w:trPr>
          <w:cantSplit/>
          <w:trHeight w:val="23"/>
        </w:trPr>
        <w:tc>
          <w:tcPr>
            <w:tcW w:w="3969" w:type="dxa"/>
            <w:vMerge w:val="restart"/>
            <w:tcMar>
              <w:left w:w="0" w:type="dxa"/>
            </w:tcMar>
          </w:tcPr>
          <w:p w14:paraId="7B3EDC5A" w14:textId="7C3E75AA"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5E4D30">
              <w:rPr>
                <w:b/>
              </w:rPr>
              <w:t>ADM 1</w:t>
            </w:r>
          </w:p>
        </w:tc>
        <w:tc>
          <w:tcPr>
            <w:tcW w:w="5245" w:type="dxa"/>
          </w:tcPr>
          <w:p w14:paraId="35986CF2" w14:textId="52B15805"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A849E3">
              <w:rPr>
                <w:b/>
              </w:rPr>
              <w:t>98</w:t>
            </w:r>
            <w:r w:rsidRPr="00C0458D">
              <w:rPr>
                <w:b/>
              </w:rPr>
              <w:t>-E</w:t>
            </w:r>
          </w:p>
        </w:tc>
      </w:tr>
      <w:tr w:rsidR="00AD3606" w:rsidRPr="00C0458D" w14:paraId="3CF03AAD" w14:textId="77777777" w:rsidTr="00954C49">
        <w:trPr>
          <w:cantSplit/>
        </w:trPr>
        <w:tc>
          <w:tcPr>
            <w:tcW w:w="3969" w:type="dxa"/>
            <w:vMerge/>
          </w:tcPr>
          <w:p w14:paraId="7467ED6C"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719B968C" w:rsidR="00AD3606" w:rsidRPr="00C0458D" w:rsidRDefault="00A849E3" w:rsidP="00954C49">
            <w:pPr>
              <w:tabs>
                <w:tab w:val="left" w:pos="851"/>
              </w:tabs>
              <w:spacing w:before="0"/>
              <w:jc w:val="right"/>
              <w:rPr>
                <w:b/>
              </w:rPr>
            </w:pPr>
            <w:r>
              <w:rPr>
                <w:b/>
              </w:rPr>
              <w:t>14 April 2026</w:t>
            </w:r>
          </w:p>
        </w:tc>
      </w:tr>
      <w:tr w:rsidR="00AD3606" w:rsidRPr="00C0458D" w14:paraId="647F4C7A" w14:textId="77777777" w:rsidTr="00954C49">
        <w:trPr>
          <w:cantSplit/>
          <w:trHeight w:val="23"/>
        </w:trPr>
        <w:tc>
          <w:tcPr>
            <w:tcW w:w="3969" w:type="dxa"/>
            <w:vMerge/>
          </w:tcPr>
          <w:p w14:paraId="6707CE1F"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A0DF624" w14:textId="77777777" w:rsidTr="00954C49">
        <w:trPr>
          <w:cantSplit/>
          <w:trHeight w:val="23"/>
        </w:trPr>
        <w:tc>
          <w:tcPr>
            <w:tcW w:w="3969" w:type="dxa"/>
          </w:tcPr>
          <w:p w14:paraId="02A5CA74" w14:textId="77777777" w:rsidR="00472BAD" w:rsidRPr="00C0458D" w:rsidRDefault="00472BAD" w:rsidP="00954C49">
            <w:pPr>
              <w:tabs>
                <w:tab w:val="left" w:pos="851"/>
              </w:tabs>
              <w:spacing w:line="240" w:lineRule="atLeast"/>
              <w:rPr>
                <w:b/>
              </w:rPr>
            </w:pPr>
          </w:p>
        </w:tc>
        <w:tc>
          <w:tcPr>
            <w:tcW w:w="5245" w:type="dxa"/>
          </w:tcPr>
          <w:p w14:paraId="2D54675C" w14:textId="77777777" w:rsidR="00472BAD" w:rsidRPr="00C0458D" w:rsidRDefault="00472BAD" w:rsidP="00954C49">
            <w:pPr>
              <w:tabs>
                <w:tab w:val="left" w:pos="851"/>
              </w:tabs>
              <w:spacing w:before="0" w:line="240" w:lineRule="atLeast"/>
              <w:jc w:val="right"/>
              <w:rPr>
                <w:b/>
              </w:rPr>
            </w:pPr>
          </w:p>
        </w:tc>
      </w:tr>
      <w:tr w:rsidR="00AD3606" w:rsidRPr="00C0458D" w14:paraId="6D437DFB" w14:textId="77777777" w:rsidTr="00954C49">
        <w:trPr>
          <w:cantSplit/>
        </w:trPr>
        <w:tc>
          <w:tcPr>
            <w:tcW w:w="9214" w:type="dxa"/>
            <w:gridSpan w:val="2"/>
            <w:tcMar>
              <w:left w:w="0" w:type="dxa"/>
            </w:tcMar>
          </w:tcPr>
          <w:p w14:paraId="24A872A9" w14:textId="62196086" w:rsidR="00AD3606" w:rsidRPr="007E7C39" w:rsidRDefault="003845D3" w:rsidP="007E7C39">
            <w:pPr>
              <w:pStyle w:val="Source"/>
              <w:framePr w:hSpace="0" w:wrap="auto" w:vAnchor="margin" w:hAnchor="text" w:xAlign="left" w:yAlign="inline"/>
            </w:pPr>
            <w:bookmarkStart w:id="8" w:name="dsource" w:colFirst="0" w:colLast="0"/>
            <w:bookmarkEnd w:id="7"/>
            <w:r w:rsidRPr="007E7C39">
              <w:t xml:space="preserve">Contribution by </w:t>
            </w:r>
            <w:r w:rsidR="005E4D30" w:rsidRPr="007E7C39">
              <w:t>Saudi Arabia (Kingdom of)</w:t>
            </w:r>
            <w:r w:rsidR="007E7C39" w:rsidRPr="007E7C39">
              <w:t xml:space="preserve"> and </w:t>
            </w:r>
            <w:r w:rsidR="007E7C39" w:rsidRPr="007E7C39">
              <w:t>Morocco (Kingdom of)</w:t>
            </w:r>
          </w:p>
        </w:tc>
      </w:tr>
      <w:tr w:rsidR="00AD3606" w:rsidRPr="00C0458D" w14:paraId="5DA031E7" w14:textId="77777777" w:rsidTr="00954C49">
        <w:trPr>
          <w:cantSplit/>
        </w:trPr>
        <w:tc>
          <w:tcPr>
            <w:tcW w:w="9214" w:type="dxa"/>
            <w:gridSpan w:val="2"/>
            <w:tcMar>
              <w:left w:w="0" w:type="dxa"/>
            </w:tcMar>
          </w:tcPr>
          <w:p w14:paraId="5144F60D" w14:textId="28E3F0BB" w:rsidR="00AD3606" w:rsidRPr="00176F47" w:rsidRDefault="005527FC" w:rsidP="007E7C39">
            <w:pPr>
              <w:pStyle w:val="Subtitle"/>
              <w:framePr w:hSpace="0" w:wrap="auto" w:hAnchor="text" w:xAlign="left" w:yAlign="inline"/>
            </w:pPr>
            <w:bookmarkStart w:id="9" w:name="dtitle1" w:colFirst="0" w:colLast="0"/>
            <w:bookmarkEnd w:id="8"/>
            <w:r>
              <w:t>ENHANCING SATELLITE NETWORK FILING (SNF) COST RECOVERY AND ADDRESSING PROCESSING DELAYS IN THE RADIOCOMMUNICATION BUREAU</w:t>
            </w:r>
          </w:p>
        </w:tc>
      </w:tr>
      <w:tr w:rsidR="00AD3606" w:rsidRPr="00C0458D"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C0458D" w:rsidRDefault="00F16BAB" w:rsidP="00954C49">
            <w:pPr>
              <w:spacing w:before="160"/>
              <w:rPr>
                <w:b/>
                <w:bCs/>
                <w:sz w:val="26"/>
                <w:szCs w:val="26"/>
              </w:rPr>
            </w:pPr>
            <w:r w:rsidRPr="00C0458D">
              <w:rPr>
                <w:b/>
                <w:bCs/>
                <w:sz w:val="26"/>
                <w:szCs w:val="26"/>
              </w:rPr>
              <w:t>Purpose</w:t>
            </w:r>
          </w:p>
          <w:p w14:paraId="57E94452" w14:textId="1DE07D52" w:rsidR="00B9164C" w:rsidRPr="00B9164C" w:rsidRDefault="00B9164C" w:rsidP="000D2A78">
            <w:pPr>
              <w:jc w:val="both"/>
              <w:rPr>
                <w:lang w:val="en-US"/>
              </w:rPr>
            </w:pPr>
            <w:r w:rsidRPr="00B9164C">
              <w:rPr>
                <w:lang w:val="en-US"/>
              </w:rPr>
              <w:t xml:space="preserve">This contribution aims to review and strengthen the current satellite network filing (SNF) cost-recovery framework </w:t>
            </w:r>
            <w:proofErr w:type="gramStart"/>
            <w:r w:rsidRPr="00B9164C">
              <w:rPr>
                <w:lang w:val="en-US"/>
              </w:rPr>
              <w:t>in light of</w:t>
            </w:r>
            <w:proofErr w:type="gramEnd"/>
            <w:r w:rsidRPr="00B9164C">
              <w:rPr>
                <w:lang w:val="en-US"/>
              </w:rPr>
              <w:t xml:space="preserve"> increasing workload, financial imbalances, and operational challenges faced by the </w:t>
            </w:r>
            <w:r w:rsidRPr="0047240D">
              <w:rPr>
                <w:lang w:val="en-US"/>
              </w:rPr>
              <w:t>Radiocommunication Bureau</w:t>
            </w:r>
            <w:r w:rsidR="0047240D" w:rsidRPr="0047240D">
              <w:rPr>
                <w:lang w:val="en-US"/>
              </w:rPr>
              <w:t xml:space="preserve"> (BR)</w:t>
            </w:r>
            <w:r w:rsidRPr="0047240D">
              <w:rPr>
                <w:lang w:val="en-US"/>
              </w:rPr>
              <w:t>.</w:t>
            </w:r>
            <w:r w:rsidRPr="00B9164C">
              <w:rPr>
                <w:lang w:val="en-US"/>
              </w:rPr>
              <w:t xml:space="preserve"> It seeks to ensure that the methodology aligns with the principles of </w:t>
            </w:r>
            <w:r w:rsidR="005527FC">
              <w:rPr>
                <w:lang w:val="en-US"/>
              </w:rPr>
              <w:t>PP Resolution 91</w:t>
            </w:r>
            <w:r w:rsidR="0047240D" w:rsidRPr="00335F98">
              <w:t xml:space="preserve"> </w:t>
            </w:r>
            <w:r w:rsidRPr="0047240D">
              <w:rPr>
                <w:lang w:val="en-US"/>
              </w:rPr>
              <w:t xml:space="preserve">and </w:t>
            </w:r>
            <w:r w:rsidRPr="00AB7E18">
              <w:rPr>
                <w:lang w:val="en-US"/>
              </w:rPr>
              <w:t>Decision 482 (Modified 2025),</w:t>
            </w:r>
            <w:r w:rsidRPr="00B9164C">
              <w:rPr>
                <w:lang w:val="en-US"/>
              </w:rPr>
              <w:t xml:space="preserve"> while improving proportionality, predictability, and efficiency.</w:t>
            </w:r>
          </w:p>
          <w:p w14:paraId="6066D138" w14:textId="2AEEE02C" w:rsidR="00AD3606" w:rsidRPr="00B9164C" w:rsidRDefault="00B9164C" w:rsidP="000D2A78">
            <w:pPr>
              <w:jc w:val="both"/>
              <w:rPr>
                <w:lang w:val="en-US"/>
              </w:rPr>
            </w:pPr>
            <w:r w:rsidRPr="00B9164C">
              <w:rPr>
                <w:lang w:val="en-US"/>
              </w:rPr>
              <w:t>In addition, it highlights the growing issue of delays in processing satellite network filings and their regulatory, operational, and financial implications for Member States, and proposes measures to restore balance between workload and available resources.</w:t>
            </w:r>
          </w:p>
          <w:p w14:paraId="63754448"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4C9706D" w14:textId="5925FCA7" w:rsidR="00722551" w:rsidRDefault="00B9164C" w:rsidP="00954C49">
            <w:r w:rsidRPr="00B9164C">
              <w:t xml:space="preserve">The Council is invited to </w:t>
            </w:r>
            <w:r w:rsidRPr="001A45E2">
              <w:rPr>
                <w:b/>
                <w:bCs/>
              </w:rPr>
              <w:t>consider</w:t>
            </w:r>
            <w:r w:rsidRPr="00B9164C">
              <w:t xml:space="preserve"> the views and proposals contained in this contribution.</w:t>
            </w:r>
          </w:p>
          <w:p w14:paraId="08F2A353" w14:textId="77777777" w:rsidR="00C0458D" w:rsidRDefault="00C0458D" w:rsidP="00954C49">
            <w:r>
              <w:t>_______________</w:t>
            </w:r>
          </w:p>
          <w:p w14:paraId="5F705648" w14:textId="77777777" w:rsidR="00AD3606" w:rsidRPr="00C0458D" w:rsidRDefault="00AD3606" w:rsidP="00954C49">
            <w:pPr>
              <w:spacing w:before="160"/>
              <w:rPr>
                <w:b/>
                <w:bCs/>
                <w:sz w:val="26"/>
                <w:szCs w:val="26"/>
              </w:rPr>
            </w:pPr>
            <w:r w:rsidRPr="00C0458D">
              <w:rPr>
                <w:b/>
                <w:bCs/>
                <w:sz w:val="26"/>
                <w:szCs w:val="26"/>
              </w:rPr>
              <w:t>References</w:t>
            </w:r>
          </w:p>
          <w:p w14:paraId="73AB02A7" w14:textId="337CC66A" w:rsidR="00AD3606" w:rsidRPr="001A45E2" w:rsidRDefault="001A45E2" w:rsidP="00954C49">
            <w:pPr>
              <w:spacing w:after="160"/>
              <w:rPr>
                <w:i/>
                <w:iCs/>
                <w:sz w:val="22"/>
                <w:szCs w:val="22"/>
              </w:rPr>
            </w:pPr>
            <w:r w:rsidRPr="001A45E2">
              <w:rPr>
                <w:i/>
                <w:iCs/>
                <w:sz w:val="22"/>
                <w:szCs w:val="22"/>
              </w:rPr>
              <w:t xml:space="preserve">Resolution </w:t>
            </w:r>
            <w:hyperlink r:id="rId9" w:history="1">
              <w:r w:rsidR="005527FC" w:rsidRPr="001A45E2">
                <w:rPr>
                  <w:rStyle w:val="Hyperlink"/>
                  <w:i/>
                  <w:iCs/>
                  <w:sz w:val="22"/>
                  <w:szCs w:val="22"/>
                </w:rPr>
                <w:t>91</w:t>
              </w:r>
              <w:r w:rsidR="0047240D" w:rsidRPr="001A45E2">
                <w:rPr>
                  <w:rStyle w:val="Hyperlink"/>
                  <w:i/>
                  <w:iCs/>
                  <w:sz w:val="22"/>
                  <w:szCs w:val="22"/>
                </w:rPr>
                <w:t>(Rev. Guadalajara, 2010)</w:t>
              </w:r>
            </w:hyperlink>
            <w:r w:rsidRPr="001A45E2">
              <w:rPr>
                <w:i/>
                <w:iCs/>
                <w:sz w:val="22"/>
                <w:szCs w:val="22"/>
              </w:rPr>
              <w:t xml:space="preserve"> </w:t>
            </w:r>
            <w:r w:rsidRPr="001A45E2">
              <w:rPr>
                <w:i/>
                <w:iCs/>
                <w:sz w:val="22"/>
                <w:szCs w:val="22"/>
              </w:rPr>
              <w:t>of the Plenipotentiary Conference</w:t>
            </w:r>
            <w:r w:rsidR="0018402B" w:rsidRPr="001A45E2">
              <w:rPr>
                <w:i/>
                <w:iCs/>
                <w:sz w:val="22"/>
                <w:szCs w:val="22"/>
              </w:rPr>
              <w:t>;</w:t>
            </w:r>
            <w:r w:rsidRPr="001A45E2">
              <w:rPr>
                <w:i/>
                <w:iCs/>
                <w:sz w:val="22"/>
                <w:szCs w:val="22"/>
              </w:rPr>
              <w:t xml:space="preserve"> </w:t>
            </w:r>
            <w:r w:rsidRPr="001A45E2">
              <w:rPr>
                <w:i/>
                <w:iCs/>
                <w:sz w:val="22"/>
                <w:szCs w:val="22"/>
              </w:rPr>
              <w:t xml:space="preserve">Council Decision </w:t>
            </w:r>
            <w:hyperlink r:id="rId10" w:history="1">
              <w:r w:rsidR="007F26FB" w:rsidRPr="001A45E2">
                <w:rPr>
                  <w:rStyle w:val="Hyperlink"/>
                  <w:i/>
                  <w:iCs/>
                  <w:sz w:val="22"/>
                  <w:szCs w:val="22"/>
                </w:rPr>
                <w:t xml:space="preserve">482 </w:t>
              </w:r>
              <w:r w:rsidR="000D2A78" w:rsidRPr="001A45E2">
                <w:rPr>
                  <w:rStyle w:val="Hyperlink"/>
                  <w:i/>
                  <w:iCs/>
                  <w:sz w:val="22"/>
                  <w:szCs w:val="22"/>
                </w:rPr>
                <w:t>(</w:t>
              </w:r>
              <w:proofErr w:type="spellStart"/>
              <w:r w:rsidR="0018402B" w:rsidRPr="001A45E2">
                <w:rPr>
                  <w:rStyle w:val="Hyperlink"/>
                  <w:i/>
                  <w:iCs/>
                  <w:sz w:val="22"/>
                  <w:szCs w:val="22"/>
                </w:rPr>
                <w:t>CO1</w:t>
              </w:r>
              <w:proofErr w:type="spellEnd"/>
              <w:r w:rsidR="0018402B" w:rsidRPr="001A45E2">
                <w:rPr>
                  <w:rStyle w:val="Hyperlink"/>
                  <w:i/>
                  <w:iCs/>
                  <w:sz w:val="22"/>
                  <w:szCs w:val="22"/>
                </w:rPr>
                <w:t xml:space="preserve">, last amended </w:t>
              </w:r>
              <w:proofErr w:type="spellStart"/>
              <w:r w:rsidR="0018402B" w:rsidRPr="001A45E2">
                <w:rPr>
                  <w:rStyle w:val="Hyperlink"/>
                  <w:i/>
                  <w:iCs/>
                  <w:sz w:val="22"/>
                  <w:szCs w:val="22"/>
                </w:rPr>
                <w:t>C25</w:t>
              </w:r>
              <w:proofErr w:type="spellEnd"/>
              <w:r w:rsidR="007F26FB" w:rsidRPr="001A45E2">
                <w:rPr>
                  <w:rStyle w:val="Hyperlink"/>
                  <w:i/>
                  <w:iCs/>
                  <w:sz w:val="22"/>
                  <w:szCs w:val="22"/>
                </w:rPr>
                <w:t>)</w:t>
              </w:r>
            </w:hyperlink>
            <w:r w:rsidR="0018402B" w:rsidRPr="001A45E2">
              <w:rPr>
                <w:i/>
                <w:iCs/>
                <w:sz w:val="22"/>
                <w:szCs w:val="22"/>
              </w:rPr>
              <w:t>;</w:t>
            </w:r>
            <w:r w:rsidRPr="001A45E2">
              <w:rPr>
                <w:i/>
                <w:iCs/>
                <w:sz w:val="22"/>
                <w:szCs w:val="22"/>
              </w:rPr>
              <w:t xml:space="preserve"> </w:t>
            </w:r>
            <w:r w:rsidRPr="001A45E2">
              <w:rPr>
                <w:i/>
                <w:iCs/>
                <w:sz w:val="22"/>
                <w:szCs w:val="22"/>
              </w:rPr>
              <w:t xml:space="preserve">Council Documents </w:t>
            </w:r>
            <w:hyperlink r:id="rId11" w:history="1">
              <w:proofErr w:type="spellStart"/>
              <w:r w:rsidR="007F26FB" w:rsidRPr="001A45E2">
                <w:rPr>
                  <w:rStyle w:val="Hyperlink"/>
                  <w:i/>
                  <w:iCs/>
                  <w:sz w:val="22"/>
                  <w:szCs w:val="22"/>
                </w:rPr>
                <w:t>C26</w:t>
              </w:r>
              <w:proofErr w:type="spellEnd"/>
              <w:r w:rsidR="007F26FB" w:rsidRPr="001A45E2">
                <w:rPr>
                  <w:rStyle w:val="Hyperlink"/>
                  <w:i/>
                  <w:iCs/>
                  <w:sz w:val="22"/>
                  <w:szCs w:val="22"/>
                </w:rPr>
                <w:t>/16</w:t>
              </w:r>
            </w:hyperlink>
            <w:r w:rsidR="0018402B" w:rsidRPr="001A45E2">
              <w:rPr>
                <w:i/>
                <w:iCs/>
                <w:sz w:val="22"/>
                <w:szCs w:val="22"/>
              </w:rPr>
              <w:t xml:space="preserve"> </w:t>
            </w:r>
            <w:r w:rsidRPr="001A45E2">
              <w:rPr>
                <w:i/>
                <w:iCs/>
                <w:sz w:val="22"/>
                <w:szCs w:val="22"/>
              </w:rPr>
              <w:t xml:space="preserve">and </w:t>
            </w:r>
            <w:hyperlink r:id="rId12" w:tgtFrame="_blank" w:history="1">
              <w:proofErr w:type="spellStart"/>
              <w:r w:rsidR="0018402B" w:rsidRPr="001A45E2">
                <w:rPr>
                  <w:rStyle w:val="Hyperlink"/>
                  <w:i/>
                  <w:iCs/>
                  <w:sz w:val="22"/>
                  <w:szCs w:val="22"/>
                </w:rPr>
                <w:t>C26</w:t>
              </w:r>
              <w:proofErr w:type="spellEnd"/>
              <w:r w:rsidR="0018402B" w:rsidRPr="001A45E2">
                <w:rPr>
                  <w:rStyle w:val="Hyperlink"/>
                  <w:i/>
                  <w:iCs/>
                  <w:sz w:val="22"/>
                  <w:szCs w:val="22"/>
                </w:rPr>
                <w:t>/19</w:t>
              </w:r>
            </w:hyperlink>
          </w:p>
        </w:tc>
      </w:tr>
    </w:tbl>
    <w:p w14:paraId="2A3CB862"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7A43FE"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4B8F678D" w14:textId="0B8122DB" w:rsidR="00A514A4" w:rsidRPr="00AB7E18" w:rsidRDefault="001A1AA9" w:rsidP="001A45E2">
      <w:pPr>
        <w:pStyle w:val="Headingb"/>
      </w:pPr>
      <w:r w:rsidRPr="00AB7E18">
        <w:lastRenderedPageBreak/>
        <w:t>Introduction</w:t>
      </w:r>
    </w:p>
    <w:p w14:paraId="4A158B05" w14:textId="355C9A54" w:rsidR="00837489" w:rsidRPr="00AB7E18" w:rsidRDefault="00837489" w:rsidP="001A45E2">
      <w:pPr>
        <w:jc w:val="both"/>
      </w:pPr>
      <w:r w:rsidRPr="00AB7E18">
        <w:t xml:space="preserve">We appreciate the Secretariat for the preparation of the annual </w:t>
      </w:r>
      <w:r w:rsidR="001A45E2" w:rsidRPr="00AB7E18">
        <w:t xml:space="preserve">Report </w:t>
      </w:r>
      <w:hyperlink r:id="rId13" w:history="1">
        <w:proofErr w:type="spellStart"/>
        <w:r w:rsidRPr="001A45E2">
          <w:rPr>
            <w:rStyle w:val="Hyperlink"/>
          </w:rPr>
          <w:t>C26</w:t>
        </w:r>
        <w:proofErr w:type="spellEnd"/>
        <w:r w:rsidRPr="001A45E2">
          <w:rPr>
            <w:rStyle w:val="Hyperlink"/>
          </w:rPr>
          <w:t>/16</w:t>
        </w:r>
      </w:hyperlink>
      <w:r w:rsidRPr="00AB7E18">
        <w:t xml:space="preserve"> and the draft methodology </w:t>
      </w:r>
      <w:hyperlink r:id="rId14" w:history="1">
        <w:proofErr w:type="spellStart"/>
        <w:r w:rsidRPr="001A45E2">
          <w:rPr>
            <w:rStyle w:val="Hyperlink"/>
          </w:rPr>
          <w:t>C26</w:t>
        </w:r>
        <w:proofErr w:type="spellEnd"/>
        <w:r w:rsidRPr="001A45E2">
          <w:rPr>
            <w:rStyle w:val="Hyperlink"/>
          </w:rPr>
          <w:t>/19</w:t>
        </w:r>
      </w:hyperlink>
      <w:r w:rsidRPr="00AB7E18">
        <w:t xml:space="preserve"> and for its continued efforts to improve satellite network filing (SNF) cost recovery. </w:t>
      </w:r>
      <w:r w:rsidR="00B8597E" w:rsidRPr="00AB7E18">
        <w:t>W</w:t>
      </w:r>
      <w:r w:rsidRPr="00AB7E18">
        <w:t xml:space="preserve">e also acknowledge the work of the Council Working Group on </w:t>
      </w:r>
      <w:r w:rsidR="00D33826" w:rsidRPr="00D33826">
        <w:t>f</w:t>
      </w:r>
      <w:r w:rsidRPr="00AB7E18">
        <w:t xml:space="preserve">inancial and </w:t>
      </w:r>
      <w:r w:rsidR="00D33826" w:rsidRPr="00D33826">
        <w:t>h</w:t>
      </w:r>
      <w:r w:rsidRPr="00AB7E18">
        <w:t xml:space="preserve">uman </w:t>
      </w:r>
      <w:r w:rsidR="00D33826" w:rsidRPr="00D33826">
        <w:t>r</w:t>
      </w:r>
      <w:r w:rsidRPr="00AB7E18">
        <w:t>esources (CWG</w:t>
      </w:r>
      <w:r w:rsidRPr="00AB7E18">
        <w:rPr>
          <w:rFonts w:ascii="Cambria Math" w:hAnsi="Cambria Math" w:cs="Cambria Math"/>
        </w:rPr>
        <w:t>‑</w:t>
      </w:r>
      <w:r w:rsidRPr="00AB7E18">
        <w:t>FHR) on this topic</w:t>
      </w:r>
    </w:p>
    <w:p w14:paraId="4334F3F4" w14:textId="50C79FC4" w:rsidR="00B8597E" w:rsidRPr="00AB7E18" w:rsidRDefault="00B8597E" w:rsidP="001A45E2">
      <w:pPr>
        <w:jc w:val="both"/>
      </w:pPr>
      <w:r w:rsidRPr="00AB7E18">
        <w:t>Member States are seeing a surge in the number and complexity of SNF submissions, particularly large non</w:t>
      </w:r>
      <w:r w:rsidRPr="00AB7E18">
        <w:rPr>
          <w:rFonts w:ascii="Cambria Math" w:hAnsi="Cambria Math" w:cs="Cambria Math"/>
        </w:rPr>
        <w:t>‑</w:t>
      </w:r>
      <w:r w:rsidRPr="00AB7E18">
        <w:t>geostationary constellations. These trends have increased the workload of the Radiocommunication Bureau (BR), reduced the predictability of the filing process and created financial pressure on the SNF cost</w:t>
      </w:r>
      <w:r w:rsidRPr="00AB7E18">
        <w:rPr>
          <w:rFonts w:ascii="Cambria Math" w:hAnsi="Cambria Math" w:cs="Cambria Math"/>
        </w:rPr>
        <w:t>‑</w:t>
      </w:r>
      <w:r w:rsidRPr="00AB7E18">
        <w:t>recovery system. The annual report shows that processing costs significantly exceed revenues and that delayed revenues and backlogs are growing</w:t>
      </w:r>
      <w:r w:rsidR="0047240D" w:rsidRPr="00AB7E18">
        <w:t>.</w:t>
      </w:r>
    </w:p>
    <w:p w14:paraId="3641D3F8" w14:textId="0CBEABF6" w:rsidR="00B8597E" w:rsidRPr="00AB7E18" w:rsidRDefault="00B8597E" w:rsidP="001A45E2">
      <w:pPr>
        <w:jc w:val="both"/>
      </w:pPr>
      <w:r w:rsidRPr="00AB7E18">
        <w:t>In this context, any revision to the cost</w:t>
      </w:r>
      <w:r w:rsidRPr="00AB7E18">
        <w:rPr>
          <w:rFonts w:ascii="Cambria Math" w:hAnsi="Cambria Math" w:cs="Cambria Math"/>
        </w:rPr>
        <w:t>‑</w:t>
      </w:r>
      <w:r w:rsidRPr="00AB7E18">
        <w:t xml:space="preserve">recovery methodology must adhere to the principles established by the </w:t>
      </w:r>
      <w:r w:rsidR="0047240D" w:rsidRPr="00AB7E18">
        <w:t xml:space="preserve">ITU </w:t>
      </w:r>
      <w:r w:rsidRPr="00AB7E18">
        <w:t>Plenipotentiary Conference</w:t>
      </w:r>
      <w:r w:rsidR="0018402B">
        <w:t xml:space="preserve"> (PP)</w:t>
      </w:r>
      <w:r w:rsidRPr="00AB7E18">
        <w:t xml:space="preserve"> and Council. </w:t>
      </w:r>
      <w:r w:rsidR="005527FC" w:rsidRPr="00AB7E18">
        <w:t>PP Resolution 91</w:t>
      </w:r>
      <w:r w:rsidRPr="00AB7E18">
        <w:t xml:space="preserve"> calls for cost recovery on a prepaid basis that covers the direct and indirect costs of providing the service, applies a proportional allocation methodology, </w:t>
      </w:r>
      <w:proofErr w:type="gramStart"/>
      <w:r w:rsidRPr="00AB7E18">
        <w:t>takes into account</w:t>
      </w:r>
      <w:proofErr w:type="gramEnd"/>
      <w:r w:rsidRPr="00AB7E18">
        <w:t xml:space="preserve"> the special needs of developing countries and offers all Member States an adequate level of service free of charge. Decision 482 (Modified 2025) implements these principles for SNF and grants each Member State one free satellite network filing per year.</w:t>
      </w:r>
    </w:p>
    <w:p w14:paraId="7A84165C" w14:textId="0D30282A" w:rsidR="00B8597E" w:rsidRPr="00AB7E18" w:rsidRDefault="00B8597E" w:rsidP="001A45E2">
      <w:pPr>
        <w:jc w:val="both"/>
      </w:pPr>
      <w:r w:rsidRPr="00AB7E18">
        <w:t>This contribution addresses the operational and financial aspects of SNF cost recovery and puts forward proposals aimed at enhancing predictability, proportionality, and overall consistency of the cost-recovery framework.</w:t>
      </w:r>
    </w:p>
    <w:p w14:paraId="50142391" w14:textId="7422D13F" w:rsidR="001A1AA9" w:rsidRPr="00AB7E18" w:rsidRDefault="001A1AA9" w:rsidP="001A45E2">
      <w:pPr>
        <w:pStyle w:val="Headingb"/>
      </w:pPr>
      <w:r w:rsidRPr="00AB7E18">
        <w:t>Discussion</w:t>
      </w:r>
    </w:p>
    <w:p w14:paraId="4803EF15" w14:textId="10BAF087" w:rsidR="003C56A5" w:rsidRPr="00400191" w:rsidRDefault="00400191" w:rsidP="00400191">
      <w:pPr>
        <w:pStyle w:val="Headingb"/>
      </w:pPr>
      <w:r w:rsidRPr="00AB7E18">
        <w:t>1</w:t>
      </w:r>
      <w:r w:rsidRPr="00AB7E18">
        <w:tab/>
      </w:r>
      <w:proofErr w:type="spellStart"/>
      <w:r w:rsidR="00B8597E" w:rsidRPr="00400191">
        <w:t>SNF</w:t>
      </w:r>
      <w:proofErr w:type="spellEnd"/>
      <w:r w:rsidR="00B8597E" w:rsidRPr="00400191">
        <w:t xml:space="preserve"> cost recovery</w:t>
      </w:r>
    </w:p>
    <w:p w14:paraId="3F331DBD" w14:textId="321A47CC" w:rsidR="002B083C" w:rsidRPr="00AB7E18" w:rsidRDefault="003C56A5" w:rsidP="00400191">
      <w:pPr>
        <w:jc w:val="both"/>
      </w:pPr>
      <w:r w:rsidRPr="00AB7E18">
        <w:t xml:space="preserve">The annual report highlights a significant gap between the costs and revenues associated with satellite network filings (SNF), with processing costs substantially exceeding the revenues generated under the current fee framework. Even after accounting for free entitlements and deferred revenues, a notable shortfall remains, indicating that SNF processing is effectively subsidised by the ITU regular budget, contrary to the cost-recovery mandate in </w:t>
      </w:r>
      <w:r w:rsidR="005527FC" w:rsidRPr="00AB7E18">
        <w:t>PP Resolution 91</w:t>
      </w:r>
      <w:r w:rsidRPr="00AB7E18">
        <w:t xml:space="preserve">. In addition, a considerable number of coordination requests remain pending invoicing due to resource constraints, further underscoring the need to improve both the fee framework and operational capacity. In this context, Member States reaffirm that cost recovery should cover all direct costs and a proportionate share of indirect costs, based on clearly attributable methodologies, while ensuring that fees remain linked to the services provided and do not subsidise unrelated ITU activities. While we note the proposed introduction of an activity-based costing approach as a positive step towards better reflecting the actual processing effort associated with satellite network filings, we remain concerned regarding the allocation of indirect costs in the proposed methodology, particularly where a clear and demonstrable link to SNF activities is not established. In this regard, we emphasize the importance of clearly distinguishing between costs directly attributable to SNF and broader institutional costs, ensuring that only SNF-related costs, together with an appropriate and proportionate share of overhead, are recovered through SNF fees, in line with the principles of </w:t>
      </w:r>
      <w:r w:rsidR="005527FC" w:rsidRPr="00AB7E18">
        <w:t>PP Resolution 91</w:t>
      </w:r>
      <w:r w:rsidRPr="00AB7E18">
        <w:t>.</w:t>
      </w:r>
    </w:p>
    <w:p w14:paraId="76E5A2B5" w14:textId="7BBC581E" w:rsidR="00B9286D" w:rsidRPr="00400191" w:rsidRDefault="00400191" w:rsidP="00400191">
      <w:pPr>
        <w:pStyle w:val="Headingb"/>
      </w:pPr>
      <w:r w:rsidRPr="00AB7E18">
        <w:lastRenderedPageBreak/>
        <w:t>2</w:t>
      </w:r>
      <w:r w:rsidRPr="00AB7E18">
        <w:tab/>
      </w:r>
      <w:r w:rsidR="00B8597E" w:rsidRPr="00400191">
        <w:t xml:space="preserve">Free </w:t>
      </w:r>
      <w:r w:rsidR="00AE0A0E" w:rsidRPr="00400191">
        <w:t>entitlements</w:t>
      </w:r>
    </w:p>
    <w:p w14:paraId="4C4F164A" w14:textId="38FF0DA9" w:rsidR="00B9286D"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bookmarkStart w:id="11" w:name="_Hlk227083699"/>
      <w:r w:rsidRPr="00AB7E18">
        <w:rPr>
          <w:rFonts w:asciiTheme="minorHAnsi" w:hAnsiTheme="minorHAnsi" w:cstheme="minorHAnsi"/>
          <w:szCs w:val="24"/>
        </w:rPr>
        <w:t xml:space="preserve">Decision 482 provides that each Member State is entitled to one satellite network filing (SNF) per year without charge (free entitlement) and allows the notifying administration to determine which filing benefits from this entitlement. While this mechanism was introduced to support equitable access, we note that its current implementation may give rise to unintended consequences, including the potential misuse of free entitlements. </w:t>
      </w:r>
    </w:p>
    <w:p w14:paraId="0BFF4258" w14:textId="298C7CC2" w:rsidR="00B8597E"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r w:rsidRPr="00AB7E18">
        <w:rPr>
          <w:rFonts w:asciiTheme="minorHAnsi" w:hAnsiTheme="minorHAnsi" w:cstheme="minorHAnsi"/>
          <w:szCs w:val="24"/>
        </w:rPr>
        <w:t xml:space="preserve">In this regard, we recall that </w:t>
      </w:r>
      <w:r w:rsidR="005527FC" w:rsidRPr="00AB7E18">
        <w:rPr>
          <w:rFonts w:asciiTheme="minorHAnsi" w:hAnsiTheme="minorHAnsi" w:cstheme="minorHAnsi"/>
          <w:szCs w:val="24"/>
        </w:rPr>
        <w:t>PP Resolution 91</w:t>
      </w:r>
      <w:r w:rsidRPr="00AB7E18">
        <w:rPr>
          <w:rFonts w:asciiTheme="minorHAnsi" w:hAnsiTheme="minorHAnsi" w:cstheme="minorHAnsi"/>
          <w:szCs w:val="24"/>
        </w:rPr>
        <w:t xml:space="preserve"> explicitly provides for maintaining an adequate level of service free of charge, reflecting the Union’s objective of ensuring equitable access for all Member States. We note, however, that the proposed methodology</w:t>
      </w:r>
      <w:r w:rsidR="00DA6B9B" w:rsidRPr="00AB7E18">
        <w:rPr>
          <w:rFonts w:asciiTheme="minorHAnsi" w:hAnsiTheme="minorHAnsi" w:cstheme="minorHAnsi"/>
          <w:szCs w:val="24"/>
        </w:rPr>
        <w:t xml:space="preserve"> in C26/19</w:t>
      </w:r>
      <w:r w:rsidRPr="00AB7E18">
        <w:rPr>
          <w:rFonts w:asciiTheme="minorHAnsi" w:hAnsiTheme="minorHAnsi" w:cstheme="minorHAnsi"/>
          <w:szCs w:val="24"/>
        </w:rPr>
        <w:t xml:space="preserve"> incorporates the cost of free entitlements within the overall fee base, effectively redistributing this cost to fee-paying users. We consider that such an approach does not clearly reflect the policy nature of free entitlement as established under </w:t>
      </w:r>
      <w:r w:rsidR="005527FC" w:rsidRPr="00AB7E18">
        <w:rPr>
          <w:rFonts w:asciiTheme="minorHAnsi" w:hAnsiTheme="minorHAnsi" w:cstheme="minorHAnsi"/>
          <w:szCs w:val="24"/>
        </w:rPr>
        <w:t>PP Resolution 91</w:t>
      </w:r>
      <w:r w:rsidRPr="00AB7E18">
        <w:rPr>
          <w:rFonts w:asciiTheme="minorHAnsi" w:hAnsiTheme="minorHAnsi" w:cstheme="minorHAnsi"/>
          <w:szCs w:val="24"/>
        </w:rPr>
        <w:t xml:space="preserve">, nor does it demonstrate a direct causal link between the cost and the users subject to cost recovery. Accordingly, we are of the view that any adjustments related to free entitlement should be addressed through targeted and proportionate measures within the entitlement framework itself, </w:t>
      </w:r>
      <w:proofErr w:type="gramStart"/>
      <w:r w:rsidRPr="00AB7E18">
        <w:rPr>
          <w:rFonts w:asciiTheme="minorHAnsi" w:hAnsiTheme="minorHAnsi" w:cstheme="minorHAnsi"/>
          <w:szCs w:val="24"/>
        </w:rPr>
        <w:t>in order to</w:t>
      </w:r>
      <w:proofErr w:type="gramEnd"/>
      <w:r w:rsidRPr="00AB7E18">
        <w:rPr>
          <w:rFonts w:asciiTheme="minorHAnsi" w:hAnsiTheme="minorHAnsi" w:cstheme="minorHAnsi"/>
          <w:szCs w:val="24"/>
        </w:rPr>
        <w:t xml:space="preserve"> preserve the balance between cost recovery and equitable access as set out in </w:t>
      </w:r>
      <w:r w:rsidR="005527FC" w:rsidRPr="00AB7E18">
        <w:rPr>
          <w:rFonts w:asciiTheme="minorHAnsi" w:hAnsiTheme="minorHAnsi" w:cstheme="minorHAnsi"/>
          <w:szCs w:val="24"/>
        </w:rPr>
        <w:t>PP Resolution 91</w:t>
      </w:r>
      <w:r w:rsidRPr="00AB7E18">
        <w:rPr>
          <w:rFonts w:asciiTheme="minorHAnsi" w:hAnsiTheme="minorHAnsi" w:cstheme="minorHAnsi"/>
          <w:szCs w:val="24"/>
        </w:rPr>
        <w:t>.</w:t>
      </w:r>
      <w:bookmarkEnd w:id="11"/>
    </w:p>
    <w:p w14:paraId="1D115D7C" w14:textId="038D74DB" w:rsidR="00B8597E" w:rsidRPr="00400191" w:rsidRDefault="00400191" w:rsidP="00400191">
      <w:pPr>
        <w:pStyle w:val="Headingb"/>
      </w:pPr>
      <w:r w:rsidRPr="00AB7E18">
        <w:t>3</w:t>
      </w:r>
      <w:r w:rsidRPr="00AB7E18">
        <w:tab/>
      </w:r>
      <w:r w:rsidR="00B8597E" w:rsidRPr="00400191">
        <w:t>Indirect costs</w:t>
      </w:r>
    </w:p>
    <w:p w14:paraId="254CFC26" w14:textId="788896FA" w:rsidR="00B9286D"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AB7E18">
        <w:rPr>
          <w:rFonts w:asciiTheme="minorHAnsi" w:hAnsiTheme="minorHAnsi" w:cstheme="minorHAnsi"/>
          <w:szCs w:val="24"/>
        </w:rPr>
        <w:t>We</w:t>
      </w:r>
      <w:r w:rsidRPr="00AB7E18">
        <w:rPr>
          <w:rFonts w:asciiTheme="minorHAnsi" w:hAnsiTheme="minorHAnsi" w:cstheme="minorHAnsi"/>
          <w:szCs w:val="24"/>
          <w:lang w:val="en-US"/>
        </w:rPr>
        <w:t xml:space="preserve"> recall that </w:t>
      </w:r>
      <w:r w:rsidR="005527FC" w:rsidRPr="00AB7E18">
        <w:rPr>
          <w:rFonts w:asciiTheme="minorHAnsi" w:hAnsiTheme="minorHAnsi" w:cstheme="minorHAnsi"/>
          <w:szCs w:val="24"/>
          <w:lang w:val="en-US"/>
        </w:rPr>
        <w:t>PP Resolution 91</w:t>
      </w:r>
      <w:r w:rsidRPr="00AB7E18">
        <w:rPr>
          <w:rFonts w:asciiTheme="minorHAnsi" w:hAnsiTheme="minorHAnsi" w:cstheme="minorHAnsi"/>
          <w:szCs w:val="24"/>
          <w:lang w:val="en-US"/>
        </w:rPr>
        <w:t xml:space="preserve"> establishes that cost recovery should be applied in a manner that ensures a clear link between the service provided and the costs recovered. In this context, we note that the proposed methodology relies on aggregated cost pools and proxy-based allocations</w:t>
      </w:r>
      <w:r w:rsidR="002278FD" w:rsidRPr="00AB7E18">
        <w:rPr>
          <w:rFonts w:asciiTheme="minorHAnsi" w:hAnsiTheme="minorHAnsi" w:cstheme="minorHAnsi"/>
          <w:szCs w:val="24"/>
          <w:lang w:val="en-US"/>
        </w:rPr>
        <w:t xml:space="preserve">, </w:t>
      </w:r>
      <w:r w:rsidRPr="00AB7E18">
        <w:rPr>
          <w:rFonts w:asciiTheme="minorHAnsi" w:hAnsiTheme="minorHAnsi" w:cstheme="minorHAnsi"/>
          <w:szCs w:val="24"/>
          <w:lang w:val="en-US"/>
        </w:rPr>
        <w:t>particularly staff-related and space-based drivers</w:t>
      </w:r>
      <w:r w:rsidR="002278FD" w:rsidRPr="00AB7E18">
        <w:rPr>
          <w:rFonts w:asciiTheme="minorHAnsi" w:hAnsiTheme="minorHAnsi" w:cstheme="minorHAnsi"/>
          <w:szCs w:val="24"/>
          <w:lang w:val="en-US"/>
        </w:rPr>
        <w:t xml:space="preserve">, </w:t>
      </w:r>
      <w:r w:rsidRPr="00AB7E18">
        <w:rPr>
          <w:rFonts w:asciiTheme="minorHAnsi" w:hAnsiTheme="minorHAnsi" w:cstheme="minorHAnsi"/>
          <w:szCs w:val="24"/>
          <w:lang w:val="en-US"/>
        </w:rPr>
        <w:t xml:space="preserve">rather than on measurable activity-level drivers. As such, it does not sufficiently demonstrate the level of cost attribution required to ensure appropriate allocation, as envisaged under </w:t>
      </w:r>
      <w:r w:rsidR="005527FC" w:rsidRPr="00AB7E18">
        <w:rPr>
          <w:rFonts w:asciiTheme="minorHAnsi" w:hAnsiTheme="minorHAnsi" w:cstheme="minorHAnsi"/>
          <w:szCs w:val="24"/>
          <w:lang w:val="en-US"/>
        </w:rPr>
        <w:t>PP Resolution 91</w:t>
      </w:r>
      <w:r w:rsidRPr="00AB7E18">
        <w:rPr>
          <w:rFonts w:asciiTheme="minorHAnsi" w:hAnsiTheme="minorHAnsi" w:cstheme="minorHAnsi"/>
          <w:szCs w:val="24"/>
          <w:lang w:val="en-US"/>
        </w:rPr>
        <w:t>.</w:t>
      </w:r>
    </w:p>
    <w:p w14:paraId="15720EA8" w14:textId="2B14FC24" w:rsidR="00B9286D"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AB7E18">
        <w:rPr>
          <w:rFonts w:asciiTheme="minorHAnsi" w:hAnsiTheme="minorHAnsi" w:cstheme="minorHAnsi"/>
          <w:szCs w:val="24"/>
          <w:lang w:val="en-US"/>
        </w:rPr>
        <w:t xml:space="preserve">Furthermore, </w:t>
      </w:r>
      <w:r w:rsidR="002278FD" w:rsidRPr="00AB7E18">
        <w:rPr>
          <w:rFonts w:asciiTheme="minorHAnsi" w:hAnsiTheme="minorHAnsi" w:cstheme="minorHAnsi"/>
          <w:szCs w:val="24"/>
          <w:lang w:val="en-US"/>
        </w:rPr>
        <w:t xml:space="preserve">we </w:t>
      </w:r>
      <w:r w:rsidRPr="00AB7E18">
        <w:rPr>
          <w:rFonts w:asciiTheme="minorHAnsi" w:hAnsiTheme="minorHAnsi" w:cstheme="minorHAnsi"/>
          <w:szCs w:val="24"/>
          <w:lang w:val="en-US"/>
        </w:rPr>
        <w:t xml:space="preserve">note that </w:t>
      </w:r>
      <w:r w:rsidR="005527FC" w:rsidRPr="00AB7E18">
        <w:rPr>
          <w:rFonts w:asciiTheme="minorHAnsi" w:hAnsiTheme="minorHAnsi" w:cstheme="minorHAnsi"/>
          <w:szCs w:val="24"/>
          <w:lang w:val="en-US"/>
        </w:rPr>
        <w:t>PP Resolution 91</w:t>
      </w:r>
      <w:r w:rsidRPr="00AB7E18">
        <w:rPr>
          <w:rFonts w:asciiTheme="minorHAnsi" w:hAnsiTheme="minorHAnsi" w:cstheme="minorHAnsi"/>
          <w:szCs w:val="24"/>
          <w:lang w:val="en-US"/>
        </w:rPr>
        <w:t xml:space="preserve"> emphasizes that cost recovery should be applied to specific products or services. The proposed inclusion of broad institutional cost elements, beyond those directly attributable to satellite network filing activities, risks weakening the link between the fee and the service </w:t>
      </w:r>
      <w:proofErr w:type="gramStart"/>
      <w:r w:rsidRPr="00AB7E18">
        <w:rPr>
          <w:rFonts w:asciiTheme="minorHAnsi" w:hAnsiTheme="minorHAnsi" w:cstheme="minorHAnsi"/>
          <w:szCs w:val="24"/>
          <w:lang w:val="en-US"/>
        </w:rPr>
        <w:t>provided, and</w:t>
      </w:r>
      <w:proofErr w:type="gramEnd"/>
      <w:r w:rsidRPr="00AB7E18">
        <w:rPr>
          <w:rFonts w:asciiTheme="minorHAnsi" w:hAnsiTheme="minorHAnsi" w:cstheme="minorHAnsi"/>
          <w:szCs w:val="24"/>
          <w:lang w:val="en-US"/>
        </w:rPr>
        <w:t xml:space="preserve"> may not fully align with this principle.</w:t>
      </w:r>
    </w:p>
    <w:p w14:paraId="53A8F622" w14:textId="5F4DA21C" w:rsidR="00B9286D"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AB7E18">
        <w:rPr>
          <w:rFonts w:asciiTheme="minorHAnsi" w:hAnsiTheme="minorHAnsi" w:cstheme="minorHAnsi"/>
          <w:szCs w:val="24"/>
          <w:lang w:val="en-US"/>
        </w:rPr>
        <w:t xml:space="preserve">In addition, </w:t>
      </w:r>
      <w:r w:rsidR="002278FD" w:rsidRPr="00AB7E18">
        <w:rPr>
          <w:rFonts w:asciiTheme="minorHAnsi" w:hAnsiTheme="minorHAnsi" w:cstheme="minorHAnsi"/>
          <w:szCs w:val="24"/>
          <w:lang w:val="en-US"/>
        </w:rPr>
        <w:t>we</w:t>
      </w:r>
      <w:r w:rsidRPr="00AB7E18">
        <w:rPr>
          <w:rFonts w:asciiTheme="minorHAnsi" w:hAnsiTheme="minorHAnsi" w:cstheme="minorHAnsi"/>
          <w:szCs w:val="24"/>
          <w:lang w:val="en-US"/>
        </w:rPr>
        <w:t xml:space="preserve"> note that the reliance on staff-related allocation drivers, including those linked to SNF activities, may introduce compounding effects in the attribution of indirect costs. In such cases, increases in SNF-related staffing levels may lead to a compounded increase in allocated indirect costs across multiple cost pools, even where the underlying workload or system usage associated with satellite network filings remains unchanged. This raises concerns regarding the accuracy and proportionality of the resulting cost recovery levels.</w:t>
      </w:r>
    </w:p>
    <w:p w14:paraId="6DB82C00" w14:textId="5F19CCB7" w:rsidR="00B8597E" w:rsidRPr="00AB7E18" w:rsidRDefault="00B9286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AB7E18">
        <w:rPr>
          <w:rFonts w:asciiTheme="minorHAnsi" w:hAnsiTheme="minorHAnsi" w:cstheme="minorHAnsi"/>
          <w:szCs w:val="24"/>
          <w:lang w:val="en-US"/>
        </w:rPr>
        <w:t xml:space="preserve">While the inclusion of indirect costs may be consistent with </w:t>
      </w:r>
      <w:r w:rsidR="005527FC" w:rsidRPr="00AB7E18">
        <w:rPr>
          <w:rFonts w:asciiTheme="minorHAnsi" w:hAnsiTheme="minorHAnsi" w:cstheme="minorHAnsi"/>
          <w:szCs w:val="24"/>
          <w:lang w:val="en-US"/>
        </w:rPr>
        <w:t>PP Resolution 91</w:t>
      </w:r>
      <w:r w:rsidRPr="00AB7E18">
        <w:rPr>
          <w:rFonts w:asciiTheme="minorHAnsi" w:hAnsiTheme="minorHAnsi" w:cstheme="minorHAnsi"/>
          <w:szCs w:val="24"/>
          <w:lang w:val="en-US"/>
        </w:rPr>
        <w:t xml:space="preserve">, </w:t>
      </w:r>
      <w:r w:rsidR="002278FD" w:rsidRPr="00AB7E18">
        <w:rPr>
          <w:rFonts w:asciiTheme="minorHAnsi" w:hAnsiTheme="minorHAnsi" w:cstheme="minorHAnsi"/>
          <w:szCs w:val="24"/>
          <w:lang w:val="en-US"/>
        </w:rPr>
        <w:t>we</w:t>
      </w:r>
      <w:r w:rsidRPr="00AB7E18">
        <w:rPr>
          <w:rFonts w:asciiTheme="minorHAnsi" w:hAnsiTheme="minorHAnsi" w:cstheme="minorHAnsi"/>
          <w:szCs w:val="24"/>
          <w:lang w:val="en-US"/>
        </w:rPr>
        <w:t xml:space="preserve"> consider that, in its current form, the proposed allocation methodology does not sufficiently establish a clear and demonstrable causal link between the costs attributed and the actual consumption of satellite network filing services.</w:t>
      </w:r>
    </w:p>
    <w:p w14:paraId="7079DBD6" w14:textId="64C8B612" w:rsidR="00B8597E" w:rsidRPr="00400191" w:rsidRDefault="00400191" w:rsidP="00400191">
      <w:pPr>
        <w:pStyle w:val="Headingb"/>
      </w:pPr>
      <w:r w:rsidRPr="00AB7E18">
        <w:t>4</w:t>
      </w:r>
      <w:r w:rsidRPr="00AB7E18">
        <w:tab/>
      </w:r>
      <w:r w:rsidR="00B8597E" w:rsidRPr="00400191">
        <w:t>Enhancements to the proposed methodology</w:t>
      </w:r>
    </w:p>
    <w:p w14:paraId="4C70C944" w14:textId="14DDA983" w:rsidR="002278FD" w:rsidRPr="00AB7E18" w:rsidRDefault="002278FD" w:rsidP="002B083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r w:rsidRPr="00AB7E18">
        <w:rPr>
          <w:rFonts w:asciiTheme="minorHAnsi" w:hAnsiTheme="minorHAnsi" w:cstheme="minorHAnsi"/>
          <w:szCs w:val="24"/>
        </w:rPr>
        <w:t xml:space="preserve">We note that coordination requests remain unprocessed for extended periods, significantly exceeding the regulatory timelines, primarily due to increasing workload and resource constraints. This has led to a growing backlog of filings and reduced the time available for administrations to bring networks into use, thereby increasing regulatory uncertainty. In this context, we consider that the SNF cost-recovery methodology should be complemented by </w:t>
      </w:r>
      <w:r w:rsidRPr="00AB7E18">
        <w:rPr>
          <w:rFonts w:asciiTheme="minorHAnsi" w:hAnsiTheme="minorHAnsi" w:cstheme="minorHAnsi"/>
          <w:szCs w:val="24"/>
        </w:rPr>
        <w:lastRenderedPageBreak/>
        <w:t xml:space="preserve">effective workload forecasting and capacity planning, ensuring that fee levels support the Bureau in recruiting and retaining the necessary expertise and in investing in tools and systems to improve efficiency. At the same time, we emphasise the importance of maintaining predictable and stable fee levels, as frequent or significant adjustments may undermine planning for administrations and operators. We therefore see value in introducing structured and transparent adjustment mechanisms, including multi-year approaches to smooth variations and provide greater predictability, as well as safeguards to mitigate sudden financial impacts. We also note that the continued growth of large </w:t>
      </w:r>
      <w:r w:rsidR="00D06F87">
        <w:rPr>
          <w:rFonts w:asciiTheme="minorHAnsi" w:hAnsiTheme="minorHAnsi" w:cstheme="minorHAnsi"/>
          <w:szCs w:val="24"/>
        </w:rPr>
        <w:t>non-</w:t>
      </w:r>
      <w:r w:rsidRPr="00AB7E18">
        <w:rPr>
          <w:rFonts w:asciiTheme="minorHAnsi" w:hAnsiTheme="minorHAnsi" w:cstheme="minorHAnsi"/>
          <w:szCs w:val="24"/>
        </w:rPr>
        <w:t>GSO constellations is a key driver of increased workload and complexity, and in this regard, we consider that additional improvements to the methodology could be beneficial, including enhancing transparency through regular reporting on costs and workload, strengthening oversight through the Council</w:t>
      </w:r>
      <w:r w:rsidR="004E2E4F" w:rsidRPr="00AB7E18">
        <w:rPr>
          <w:rFonts w:asciiTheme="minorHAnsi" w:hAnsiTheme="minorHAnsi" w:cstheme="minorHAnsi"/>
          <w:szCs w:val="24"/>
        </w:rPr>
        <w:t xml:space="preserve">, </w:t>
      </w:r>
      <w:r w:rsidRPr="00AB7E18">
        <w:rPr>
          <w:rFonts w:asciiTheme="minorHAnsi" w:hAnsiTheme="minorHAnsi" w:cstheme="minorHAnsi"/>
          <w:szCs w:val="24"/>
        </w:rPr>
        <w:t>introducing clear performance indicators such as processing times and backlog levels, and ensuring that any fee adjustments are implemented in a gradual and proportionate manner, taking into account the needs of administrations with limited resources.</w:t>
      </w:r>
    </w:p>
    <w:p w14:paraId="04A889FA" w14:textId="02FDB971" w:rsidR="00B8597E" w:rsidRPr="00400191" w:rsidRDefault="00400191" w:rsidP="00400191">
      <w:pPr>
        <w:pStyle w:val="Headingb"/>
      </w:pPr>
      <w:r w:rsidRPr="00AB7E18">
        <w:t>5</w:t>
      </w:r>
      <w:r w:rsidRPr="00AB7E18">
        <w:tab/>
      </w:r>
      <w:r w:rsidR="00B8597E" w:rsidRPr="00400191">
        <w:t>Delays in processing satellite network filings</w:t>
      </w:r>
    </w:p>
    <w:p w14:paraId="5AD6CA14" w14:textId="16EC04E8" w:rsidR="003E6DC1" w:rsidRPr="00AB7E18" w:rsidRDefault="004E2E4F" w:rsidP="00D06F87">
      <w:pPr>
        <w:jc w:val="both"/>
        <w:rPr>
          <w:lang w:bidi="ar-EG"/>
        </w:rPr>
      </w:pPr>
      <w:r w:rsidRPr="00AB7E18">
        <w:rPr>
          <w:lang w:bidi="ar-EG"/>
        </w:rPr>
        <w:t>During the 33</w:t>
      </w:r>
      <w:r w:rsidRPr="00D06F87">
        <w:rPr>
          <w:vertAlign w:val="superscript"/>
          <w:lang w:bidi="ar-EG"/>
        </w:rPr>
        <w:t>rd</w:t>
      </w:r>
      <w:r w:rsidRPr="00AB7E18">
        <w:rPr>
          <w:lang w:bidi="ar-EG"/>
        </w:rPr>
        <w:t xml:space="preserve"> meeting of the Radiocommunication Advisory Group (RAG), several issues related to the processing of satellite network filings were highlighted, particularly </w:t>
      </w:r>
      <w:proofErr w:type="gramStart"/>
      <w:r w:rsidRPr="00AB7E18">
        <w:rPr>
          <w:lang w:bidi="ar-EG"/>
        </w:rPr>
        <w:t>in light of</w:t>
      </w:r>
      <w:proofErr w:type="gramEnd"/>
      <w:r w:rsidRPr="00AB7E18">
        <w:rPr>
          <w:lang w:bidi="ar-EG"/>
        </w:rPr>
        <w:t xml:space="preserve"> the growing impact of delays on administrations and operators. Delays in the publication and processing of filings have become a practical challenge, directly affecting the ability of administrations to complete regulatory procedures within the timeframes set out in Article 9.38 of the Radio Regulations, including those related to network deployment and international coordination. In this regard, the RAG, as reflected in the Chair’s note to the Council (</w:t>
      </w:r>
      <w:hyperlink r:id="rId15" w:history="1">
        <w:r w:rsidRPr="00AB7E18">
          <w:rPr>
            <w:rStyle w:val="Hyperlink"/>
            <w:rFonts w:asciiTheme="minorHAnsi" w:hAnsiTheme="minorHAnsi" w:cstheme="minorHAnsi"/>
            <w:szCs w:val="24"/>
            <w:lang w:bidi="ar-EG"/>
          </w:rPr>
          <w:t>Circular No. 281</w:t>
        </w:r>
      </w:hyperlink>
      <w:r w:rsidRPr="00AB7E18">
        <w:rPr>
          <w:lang w:bidi="ar-EG"/>
        </w:rPr>
        <w:t xml:space="preserve">), underscored the increasing difficulty faced by the Radiocommunication Bureau in meeting the prescribed processing timelines, resulting in reduced implementation periods and increased regulatory uncertainty for administrations. The </w:t>
      </w:r>
      <w:hyperlink r:id="rId16" w:history="1">
        <w:r w:rsidRPr="00AB7E18">
          <w:rPr>
            <w:rStyle w:val="Hyperlink"/>
            <w:rFonts w:asciiTheme="minorHAnsi" w:hAnsiTheme="minorHAnsi" w:cstheme="minorHAnsi"/>
            <w:szCs w:val="24"/>
            <w:lang w:bidi="ar-EG"/>
          </w:rPr>
          <w:t>report of the Director of the Radiocommunication Bureau</w:t>
        </w:r>
      </w:hyperlink>
      <w:r w:rsidRPr="00AB7E18">
        <w:rPr>
          <w:lang w:bidi="ar-EG"/>
        </w:rPr>
        <w:t xml:space="preserve"> further indicates that these challenges arise amid growing operational and financial pressures, driven by limited human resources and the increasing volume and complexity of space service filings. Available data demonstrates a clear gap between regulatory requirements and current operational capacity, as coordination requests that should be processed within four months are now taking approximately fourteen months, reflecting a significant imbalance between workload and available resources. In this context, this contribution aims to highlight the practical and organizational implications of these delays, supported by data and examples, and to call for appropriate support from the Council to enable the Bureau to address these challenges and improve operational efficiency in line with regulatory requirements.</w:t>
      </w:r>
    </w:p>
    <w:p w14:paraId="2B15559B" w14:textId="19D54417" w:rsidR="00320FA4" w:rsidRPr="00AB7E18" w:rsidRDefault="003E6DC1" w:rsidP="00D06F87">
      <w:pPr>
        <w:jc w:val="both"/>
        <w:rPr>
          <w:lang w:bidi="ar-EG"/>
        </w:rPr>
      </w:pPr>
      <w:r w:rsidRPr="00AB7E18">
        <w:rPr>
          <w:lang w:bidi="ar-EG"/>
        </w:rPr>
        <w:t xml:space="preserve">Available data indicates a clear gap between the regulatory requirements set out in the Radio Regulations and the current operational capacity of the Radiocommunication Bureau. Under </w:t>
      </w:r>
      <w:r w:rsidR="004B1DD3">
        <w:rPr>
          <w:lang w:bidi="ar-EG"/>
        </w:rPr>
        <w:t xml:space="preserve">RR No. </w:t>
      </w:r>
      <w:r w:rsidRPr="00AB7E18">
        <w:rPr>
          <w:lang w:bidi="ar-EG"/>
        </w:rPr>
        <w:t xml:space="preserve">9.38, coordination requests should be processed within four months; however, actual processing times have reached approximately fourteen months, as also confirmed in Circular Letter No. 281, reflecting a significant imbalance between increasing workload and available resources. </w:t>
      </w:r>
    </w:p>
    <w:p w14:paraId="4DCAE0BB" w14:textId="77777777" w:rsidR="00400191" w:rsidRPr="00AB7E18" w:rsidRDefault="00400191" w:rsidP="00400191">
      <w:pPr>
        <w:pStyle w:val="FigureNo"/>
        <w:rPr>
          <w:lang w:bidi="ar-EG"/>
        </w:rPr>
      </w:pPr>
      <w:r w:rsidRPr="00AB7E18">
        <w:rPr>
          <w:lang w:bidi="ar-EG"/>
        </w:rPr>
        <w:lastRenderedPageBreak/>
        <w:t>Figure 1</w:t>
      </w:r>
    </w:p>
    <w:p w14:paraId="7B1C464A" w14:textId="460EB8B5" w:rsidR="00400191" w:rsidRPr="00AB7E18" w:rsidRDefault="00400191" w:rsidP="00400191">
      <w:pPr>
        <w:pStyle w:val="Figuretitle"/>
        <w:rPr>
          <w:lang w:bidi="ar-EG"/>
        </w:rPr>
      </w:pPr>
      <w:r w:rsidRPr="00AB7E18">
        <w:rPr>
          <w:lang w:bidi="ar-EG"/>
        </w:rPr>
        <w:t xml:space="preserve">Publication of Coordination Requests (CR/C) for </w:t>
      </w:r>
      <w:r w:rsidRPr="00AB7E18">
        <w:rPr>
          <w:lang w:bidi="ar-EG"/>
        </w:rPr>
        <w:t xml:space="preserve">satellite networks </w:t>
      </w:r>
      <w:r w:rsidRPr="00AB7E18">
        <w:rPr>
          <w:lang w:bidi="ar-EG"/>
        </w:rPr>
        <w:t>(</w:t>
      </w:r>
      <w:r w:rsidRPr="00AB7E18">
        <w:rPr>
          <w:lang w:bidi="ar-EG"/>
        </w:rPr>
        <w:t xml:space="preserve">last </w:t>
      </w:r>
      <w:r w:rsidRPr="00AB7E18">
        <w:rPr>
          <w:lang w:bidi="ar-EG"/>
        </w:rPr>
        <w:t xml:space="preserve">15 </w:t>
      </w:r>
      <w:r w:rsidRPr="00AB7E18">
        <w:rPr>
          <w:lang w:bidi="ar-EG"/>
        </w:rPr>
        <w:t>months</w:t>
      </w:r>
      <w:r w:rsidRPr="00AB7E18">
        <w:rPr>
          <w:lang w:bidi="ar-EG"/>
        </w:rPr>
        <w:t>)</w:t>
      </w:r>
    </w:p>
    <w:p w14:paraId="68F7E161" w14:textId="06C18C5B" w:rsidR="003E6DC1" w:rsidRPr="000B062D" w:rsidRDefault="003E6DC1" w:rsidP="000B062D">
      <w:pPr>
        <w:pStyle w:val="Figurewithlegend"/>
      </w:pPr>
      <w:r w:rsidRPr="000B062D">
        <w:drawing>
          <wp:inline distT="0" distB="0" distL="0" distR="0" wp14:anchorId="665DCA99" wp14:editId="788A87E9">
            <wp:extent cx="5353050" cy="267796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1807" cy="2702360"/>
                    </a:xfrm>
                    <a:prstGeom prst="rect">
                      <a:avLst/>
                    </a:prstGeom>
                    <a:noFill/>
                  </pic:spPr>
                </pic:pic>
              </a:graphicData>
            </a:graphic>
          </wp:inline>
        </w:drawing>
      </w:r>
    </w:p>
    <w:p w14:paraId="0333BA80" w14:textId="2384D6F3" w:rsidR="003E6DC1" w:rsidRPr="00AB7E18" w:rsidRDefault="00320FA4" w:rsidP="000B062D">
      <w:pPr>
        <w:pStyle w:val="Figurelegend"/>
        <w:rPr>
          <w:lang w:bidi="ar-EG"/>
        </w:rPr>
      </w:pPr>
      <w:r w:rsidRPr="00AB7E18">
        <w:rPr>
          <w:lang w:bidi="ar-EG"/>
        </w:rPr>
        <w:t xml:space="preserve">(Data compiled from Space Services Statistics, </w:t>
      </w:r>
      <w:hyperlink r:id="rId18" w:history="1">
        <w:r w:rsidRPr="00AB7E18">
          <w:rPr>
            <w:rStyle w:val="Hyperlink"/>
            <w:rFonts w:asciiTheme="minorHAnsi" w:hAnsiTheme="minorHAnsi" w:cstheme="minorHAnsi"/>
            <w:szCs w:val="24"/>
            <w:lang w:bidi="ar-EG"/>
          </w:rPr>
          <w:t>see website</w:t>
        </w:r>
      </w:hyperlink>
      <w:r w:rsidRPr="00AB7E18">
        <w:rPr>
          <w:lang w:bidi="ar-EG"/>
        </w:rPr>
        <w:t>)</w:t>
      </w:r>
    </w:p>
    <w:p w14:paraId="38AFFB3A" w14:textId="77777777" w:rsidR="00667647" w:rsidRPr="00AB7E18" w:rsidRDefault="003E6DC1" w:rsidP="000B062D">
      <w:pPr>
        <w:jc w:val="both"/>
        <w:rPr>
          <w:lang w:bidi="ar-EG"/>
        </w:rPr>
      </w:pPr>
      <w:r w:rsidRPr="00AB7E18">
        <w:rPr>
          <w:lang w:bidi="ar-EG"/>
        </w:rPr>
        <w:t xml:space="preserve">As illustrated in Figure 1, while the number of filings under processing remains high, some reduction has been observed due to operational efforts; nevertheless, the continued high volume of incoming requests and the insufficient number of published filings have prevented a sustained reduction in the backlog. Processing times remain in the range of 13 to 17 months, well above the regulatory limit. These challenges arise in the context of staffing constraints and unfilled vacancies, alongside broader budgetary limitations, while the satellite sector continues to grow rapidly in volume and complexity, driven by expanding systems, new services, and increased integration with terrestrial networks, placing continuous pressure on the Bureau’s operational capacity. </w:t>
      </w:r>
    </w:p>
    <w:p w14:paraId="2DD20497" w14:textId="3436E305" w:rsidR="00320FA4" w:rsidRPr="00AB7E18" w:rsidRDefault="00320FA4" w:rsidP="000B062D">
      <w:pPr>
        <w:pStyle w:val="TableNo"/>
        <w:rPr>
          <w:lang w:bidi="ar-EG"/>
        </w:rPr>
      </w:pPr>
      <w:r w:rsidRPr="00AB7E18">
        <w:t>Table 1</w:t>
      </w:r>
    </w:p>
    <w:p w14:paraId="54AE4F9F" w14:textId="3BB83F24" w:rsidR="00320FA4" w:rsidRPr="00AB7E18" w:rsidRDefault="00320FA4" w:rsidP="000B062D">
      <w:pPr>
        <w:pStyle w:val="Tabletitle"/>
        <w:rPr>
          <w:rFonts w:asciiTheme="minorHAnsi" w:hAnsiTheme="minorHAnsi" w:cstheme="minorHAnsi"/>
          <w:szCs w:val="24"/>
        </w:rPr>
      </w:pPr>
      <w:r w:rsidRPr="00AB7E18">
        <w:t>Saudi Arabian satellite networks affected by processing delays</w:t>
      </w:r>
      <w:r w:rsidR="000B062D">
        <w:br/>
      </w:r>
      <w:r w:rsidRPr="000B062D">
        <w:rPr>
          <w:rFonts w:asciiTheme="minorHAnsi" w:hAnsiTheme="minorHAnsi" w:cstheme="minorHAnsi"/>
          <w:b w:val="0"/>
          <w:bCs/>
          <w:szCs w:val="24"/>
        </w:rPr>
        <w:t>(Data compiled from the Satellite Network Systems (</w:t>
      </w:r>
      <w:proofErr w:type="spellStart"/>
      <w:r w:rsidRPr="000B062D">
        <w:rPr>
          <w:rFonts w:asciiTheme="minorHAnsi" w:hAnsiTheme="minorHAnsi" w:cstheme="minorHAnsi"/>
          <w:b w:val="0"/>
          <w:bCs/>
          <w:szCs w:val="24"/>
        </w:rPr>
        <w:t>SNS</w:t>
      </w:r>
      <w:proofErr w:type="spellEnd"/>
      <w:r w:rsidRPr="000B062D">
        <w:rPr>
          <w:rFonts w:asciiTheme="minorHAnsi" w:hAnsiTheme="minorHAnsi" w:cstheme="minorHAnsi"/>
          <w:b w:val="0"/>
          <w:bCs/>
          <w:szCs w:val="24"/>
        </w:rPr>
        <w:t xml:space="preserve">) database of </w:t>
      </w:r>
      <w:r w:rsidR="004A1D5A">
        <w:rPr>
          <w:rFonts w:asciiTheme="minorHAnsi" w:hAnsiTheme="minorHAnsi" w:cstheme="minorHAnsi"/>
          <w:b w:val="0"/>
          <w:bCs/>
          <w:szCs w:val="24"/>
        </w:rPr>
        <w:br/>
      </w:r>
      <w:r w:rsidRPr="000B062D">
        <w:rPr>
          <w:rFonts w:asciiTheme="minorHAnsi" w:hAnsiTheme="minorHAnsi" w:cstheme="minorHAnsi"/>
          <w:b w:val="0"/>
          <w:bCs/>
          <w:szCs w:val="24"/>
        </w:rPr>
        <w:t>the Radiocommunication Bureau)</w:t>
      </w:r>
    </w:p>
    <w:p w14:paraId="31DC2045" w14:textId="7ECDB20E" w:rsidR="00320FA4" w:rsidRPr="00400191" w:rsidRDefault="00400191" w:rsidP="000B062D">
      <w:pPr>
        <w:pStyle w:val="Headingb"/>
        <w:spacing w:after="120"/>
      </w:pPr>
      <w:r w:rsidRPr="00AB7E18">
        <w:t>A)</w:t>
      </w:r>
      <w:r w:rsidRPr="00AB7E18">
        <w:tab/>
      </w:r>
      <w:r w:rsidR="00320FA4" w:rsidRPr="00400191">
        <w:t>Published files</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61"/>
        <w:gridCol w:w="1123"/>
        <w:gridCol w:w="856"/>
        <w:gridCol w:w="1058"/>
        <w:gridCol w:w="831"/>
        <w:gridCol w:w="1008"/>
        <w:gridCol w:w="900"/>
        <w:gridCol w:w="1161"/>
        <w:gridCol w:w="1041"/>
      </w:tblGrid>
      <w:tr w:rsidR="000B062D" w:rsidRPr="00514505" w14:paraId="2B18AE79" w14:textId="77777777" w:rsidTr="00D06F87">
        <w:trPr>
          <w:trHeight w:val="295"/>
          <w:jc w:val="center"/>
        </w:trPr>
        <w:tc>
          <w:tcPr>
            <w:tcW w:w="861" w:type="pct"/>
            <w:shd w:val="clear" w:color="000000" w:fill="002060"/>
            <w:noWrap/>
            <w:vAlign w:val="center"/>
          </w:tcPr>
          <w:p w14:paraId="28B38E01" w14:textId="17C1077C" w:rsidR="00320FA4" w:rsidRPr="00514505" w:rsidRDefault="00320FA4" w:rsidP="000B062D">
            <w:pPr>
              <w:pStyle w:val="Tablehead"/>
              <w:rPr>
                <w:sz w:val="20"/>
                <w:rtl/>
              </w:rPr>
            </w:pPr>
            <w:r w:rsidRPr="00514505">
              <w:rPr>
                <w:sz w:val="20"/>
              </w:rPr>
              <w:t xml:space="preserve">Processing </w:t>
            </w:r>
            <w:r w:rsidR="000B062D" w:rsidRPr="00514505">
              <w:rPr>
                <w:sz w:val="20"/>
              </w:rPr>
              <w:t xml:space="preserve">time </w:t>
            </w:r>
            <w:r w:rsidRPr="00514505">
              <w:rPr>
                <w:sz w:val="20"/>
              </w:rPr>
              <w:t>(months)</w:t>
            </w:r>
          </w:p>
        </w:tc>
        <w:tc>
          <w:tcPr>
            <w:tcW w:w="582" w:type="pct"/>
            <w:shd w:val="clear" w:color="000000" w:fill="002060"/>
            <w:noWrap/>
            <w:vAlign w:val="center"/>
          </w:tcPr>
          <w:p w14:paraId="0B5B838C" w14:textId="1E601A46" w:rsidR="00320FA4" w:rsidRPr="00514505" w:rsidRDefault="00320FA4" w:rsidP="000B062D">
            <w:pPr>
              <w:pStyle w:val="Tablehead"/>
              <w:rPr>
                <w:sz w:val="20"/>
                <w:rtl/>
              </w:rPr>
            </w:pPr>
            <w:r w:rsidRPr="00514505">
              <w:rPr>
                <w:sz w:val="20"/>
              </w:rPr>
              <w:t xml:space="preserve">Publication </w:t>
            </w:r>
            <w:r w:rsidR="000B062D" w:rsidRPr="00514505">
              <w:rPr>
                <w:sz w:val="20"/>
              </w:rPr>
              <w:t>date</w:t>
            </w:r>
          </w:p>
        </w:tc>
        <w:tc>
          <w:tcPr>
            <w:tcW w:w="444" w:type="pct"/>
            <w:shd w:val="clear" w:color="000000" w:fill="002060"/>
            <w:noWrap/>
            <w:vAlign w:val="center"/>
          </w:tcPr>
          <w:p w14:paraId="50D25AC4" w14:textId="2BF84B9B" w:rsidR="00320FA4" w:rsidRPr="00514505" w:rsidRDefault="00320FA4" w:rsidP="000B062D">
            <w:pPr>
              <w:pStyle w:val="Tablehead"/>
              <w:rPr>
                <w:sz w:val="20"/>
                <w:rtl/>
              </w:rPr>
            </w:pPr>
            <w:r w:rsidRPr="00514505">
              <w:rPr>
                <w:sz w:val="20"/>
              </w:rPr>
              <w:t>BR IFIC No.</w:t>
            </w:r>
          </w:p>
        </w:tc>
        <w:tc>
          <w:tcPr>
            <w:tcW w:w="549" w:type="pct"/>
            <w:shd w:val="clear" w:color="000000" w:fill="002060"/>
            <w:noWrap/>
            <w:vAlign w:val="center"/>
          </w:tcPr>
          <w:p w14:paraId="30F0E0EE" w14:textId="10163D38" w:rsidR="00320FA4" w:rsidRPr="00514505" w:rsidRDefault="00320FA4" w:rsidP="000B062D">
            <w:pPr>
              <w:pStyle w:val="Tablehead"/>
              <w:rPr>
                <w:sz w:val="20"/>
                <w:rtl/>
              </w:rPr>
            </w:pPr>
            <w:r w:rsidRPr="00514505">
              <w:rPr>
                <w:sz w:val="20"/>
              </w:rPr>
              <w:t>Publication No.</w:t>
            </w:r>
          </w:p>
        </w:tc>
        <w:tc>
          <w:tcPr>
            <w:tcW w:w="431" w:type="pct"/>
            <w:shd w:val="clear" w:color="000000" w:fill="002060"/>
            <w:noWrap/>
            <w:vAlign w:val="center"/>
          </w:tcPr>
          <w:p w14:paraId="23F1C821" w14:textId="7BBBF3D8" w:rsidR="00320FA4" w:rsidRPr="00514505" w:rsidRDefault="00320FA4" w:rsidP="000B062D">
            <w:pPr>
              <w:pStyle w:val="Tablehead"/>
              <w:rPr>
                <w:sz w:val="20"/>
                <w:rtl/>
              </w:rPr>
            </w:pPr>
            <w:r w:rsidRPr="00514505">
              <w:rPr>
                <w:sz w:val="20"/>
              </w:rPr>
              <w:t xml:space="preserve">Filing </w:t>
            </w:r>
            <w:r w:rsidR="000B062D" w:rsidRPr="00514505">
              <w:rPr>
                <w:sz w:val="20"/>
              </w:rPr>
              <w:t>type</w:t>
            </w:r>
          </w:p>
        </w:tc>
        <w:tc>
          <w:tcPr>
            <w:tcW w:w="523" w:type="pct"/>
            <w:shd w:val="clear" w:color="000000" w:fill="002060"/>
            <w:noWrap/>
            <w:vAlign w:val="center"/>
          </w:tcPr>
          <w:p w14:paraId="0D976046" w14:textId="6BFECBC8" w:rsidR="00320FA4" w:rsidRPr="00514505" w:rsidRDefault="00320FA4" w:rsidP="000B062D">
            <w:pPr>
              <w:pStyle w:val="Tablehead"/>
              <w:rPr>
                <w:sz w:val="20"/>
                <w:rtl/>
              </w:rPr>
            </w:pPr>
            <w:r w:rsidRPr="00514505">
              <w:rPr>
                <w:sz w:val="20"/>
              </w:rPr>
              <w:t xml:space="preserve">Date </w:t>
            </w:r>
            <w:r w:rsidR="000B062D" w:rsidRPr="00514505">
              <w:rPr>
                <w:sz w:val="20"/>
              </w:rPr>
              <w:t>received</w:t>
            </w:r>
          </w:p>
        </w:tc>
        <w:tc>
          <w:tcPr>
            <w:tcW w:w="467" w:type="pct"/>
            <w:shd w:val="clear" w:color="000000" w:fill="002060"/>
            <w:noWrap/>
            <w:vAlign w:val="center"/>
          </w:tcPr>
          <w:p w14:paraId="03551F72" w14:textId="0B9397ED" w:rsidR="00320FA4" w:rsidRPr="00514505" w:rsidRDefault="00320FA4" w:rsidP="000B062D">
            <w:pPr>
              <w:pStyle w:val="Tablehead"/>
              <w:rPr>
                <w:sz w:val="20"/>
                <w:rtl/>
              </w:rPr>
            </w:pPr>
            <w:r w:rsidRPr="00514505">
              <w:rPr>
                <w:sz w:val="20"/>
              </w:rPr>
              <w:t xml:space="preserve">Orbit </w:t>
            </w:r>
            <w:r w:rsidR="000B062D" w:rsidRPr="00514505">
              <w:rPr>
                <w:sz w:val="20"/>
              </w:rPr>
              <w:t>type</w:t>
            </w:r>
          </w:p>
        </w:tc>
        <w:tc>
          <w:tcPr>
            <w:tcW w:w="602" w:type="pct"/>
            <w:shd w:val="clear" w:color="000000" w:fill="002060"/>
            <w:noWrap/>
            <w:vAlign w:val="center"/>
          </w:tcPr>
          <w:p w14:paraId="73A40CDC" w14:textId="3194519D" w:rsidR="00320FA4" w:rsidRPr="00514505" w:rsidRDefault="00320FA4" w:rsidP="000B062D">
            <w:pPr>
              <w:pStyle w:val="Tablehead"/>
              <w:rPr>
                <w:sz w:val="20"/>
                <w:rtl/>
              </w:rPr>
            </w:pPr>
            <w:r w:rsidRPr="00514505">
              <w:rPr>
                <w:sz w:val="20"/>
              </w:rPr>
              <w:t>Network</w:t>
            </w:r>
          </w:p>
        </w:tc>
        <w:tc>
          <w:tcPr>
            <w:tcW w:w="540" w:type="pct"/>
            <w:shd w:val="clear" w:color="000000" w:fill="002060"/>
            <w:noWrap/>
            <w:vAlign w:val="center"/>
          </w:tcPr>
          <w:p w14:paraId="778E59D1" w14:textId="16CBD6A2" w:rsidR="00320FA4" w:rsidRPr="00514505" w:rsidRDefault="00320FA4" w:rsidP="000B062D">
            <w:pPr>
              <w:pStyle w:val="Tablehead"/>
              <w:rPr>
                <w:sz w:val="20"/>
                <w:rtl/>
              </w:rPr>
            </w:pPr>
            <w:r w:rsidRPr="00514505">
              <w:rPr>
                <w:sz w:val="20"/>
              </w:rPr>
              <w:t>Filing No.</w:t>
            </w:r>
          </w:p>
        </w:tc>
      </w:tr>
      <w:tr w:rsidR="000B062D" w:rsidRPr="00514505" w14:paraId="3B5E0B73" w14:textId="77777777" w:rsidTr="00D06F87">
        <w:trPr>
          <w:trHeight w:val="295"/>
          <w:jc w:val="center"/>
        </w:trPr>
        <w:tc>
          <w:tcPr>
            <w:tcW w:w="861" w:type="pct"/>
            <w:noWrap/>
            <w:vAlign w:val="center"/>
          </w:tcPr>
          <w:p w14:paraId="44C1DFFB" w14:textId="5A53CC54" w:rsidR="00FB2C9B" w:rsidRPr="00514505" w:rsidRDefault="00FB2C9B" w:rsidP="00514505">
            <w:pPr>
              <w:pStyle w:val="Tabletext"/>
              <w:jc w:val="center"/>
              <w:rPr>
                <w:sz w:val="20"/>
              </w:rPr>
            </w:pPr>
            <w:r w:rsidRPr="00514505">
              <w:rPr>
                <w:sz w:val="20"/>
              </w:rPr>
              <w:t>14.03</w:t>
            </w:r>
          </w:p>
        </w:tc>
        <w:tc>
          <w:tcPr>
            <w:tcW w:w="582" w:type="pct"/>
            <w:noWrap/>
            <w:vAlign w:val="center"/>
          </w:tcPr>
          <w:p w14:paraId="5CBA7D51" w14:textId="5A9C2389" w:rsidR="00FB2C9B" w:rsidRPr="00514505" w:rsidRDefault="00FB2C9B" w:rsidP="00514505">
            <w:pPr>
              <w:pStyle w:val="Tabletext"/>
              <w:jc w:val="center"/>
              <w:rPr>
                <w:sz w:val="20"/>
              </w:rPr>
            </w:pPr>
            <w:r w:rsidRPr="00514505">
              <w:rPr>
                <w:sz w:val="20"/>
              </w:rPr>
              <w:t>2025-09-16</w:t>
            </w:r>
          </w:p>
        </w:tc>
        <w:tc>
          <w:tcPr>
            <w:tcW w:w="444" w:type="pct"/>
            <w:noWrap/>
            <w:vAlign w:val="center"/>
          </w:tcPr>
          <w:p w14:paraId="79668428" w14:textId="54BA551D" w:rsidR="00FB2C9B" w:rsidRPr="00514505" w:rsidRDefault="00FB2C9B" w:rsidP="00514505">
            <w:pPr>
              <w:pStyle w:val="Tabletext"/>
              <w:jc w:val="center"/>
              <w:rPr>
                <w:sz w:val="20"/>
              </w:rPr>
            </w:pPr>
            <w:r w:rsidRPr="00514505">
              <w:rPr>
                <w:sz w:val="20"/>
              </w:rPr>
              <w:t>3055</w:t>
            </w:r>
          </w:p>
        </w:tc>
        <w:tc>
          <w:tcPr>
            <w:tcW w:w="549" w:type="pct"/>
            <w:noWrap/>
            <w:vAlign w:val="center"/>
          </w:tcPr>
          <w:p w14:paraId="6CE8FCC6" w14:textId="67154AFE" w:rsidR="00FB2C9B" w:rsidRPr="00514505" w:rsidRDefault="00FB2C9B" w:rsidP="00514505">
            <w:pPr>
              <w:pStyle w:val="Tabletext"/>
              <w:jc w:val="center"/>
              <w:rPr>
                <w:sz w:val="20"/>
              </w:rPr>
            </w:pPr>
            <w:r w:rsidRPr="00514505">
              <w:rPr>
                <w:sz w:val="20"/>
              </w:rPr>
              <w:t>6292</w:t>
            </w:r>
          </w:p>
        </w:tc>
        <w:tc>
          <w:tcPr>
            <w:tcW w:w="431" w:type="pct"/>
            <w:noWrap/>
            <w:vAlign w:val="center"/>
          </w:tcPr>
          <w:p w14:paraId="413616B7" w14:textId="38B048EE" w:rsidR="00FB2C9B" w:rsidRPr="00514505" w:rsidRDefault="00FB2C9B" w:rsidP="00514505">
            <w:pPr>
              <w:pStyle w:val="Tabletext"/>
              <w:jc w:val="center"/>
              <w:rPr>
                <w:sz w:val="20"/>
              </w:rPr>
            </w:pPr>
            <w:r w:rsidRPr="00514505">
              <w:rPr>
                <w:sz w:val="20"/>
              </w:rPr>
              <w:t>CR/C</w:t>
            </w:r>
          </w:p>
        </w:tc>
        <w:tc>
          <w:tcPr>
            <w:tcW w:w="523" w:type="pct"/>
            <w:noWrap/>
            <w:vAlign w:val="center"/>
          </w:tcPr>
          <w:p w14:paraId="53123BC7" w14:textId="540E4368" w:rsidR="00FB2C9B" w:rsidRPr="00514505" w:rsidRDefault="00FB2C9B" w:rsidP="00514505">
            <w:pPr>
              <w:pStyle w:val="Tabletext"/>
              <w:jc w:val="center"/>
              <w:rPr>
                <w:sz w:val="20"/>
              </w:rPr>
            </w:pPr>
            <w:r w:rsidRPr="00514505">
              <w:rPr>
                <w:sz w:val="20"/>
              </w:rPr>
              <w:t>2024-07-22</w:t>
            </w:r>
          </w:p>
        </w:tc>
        <w:tc>
          <w:tcPr>
            <w:tcW w:w="467" w:type="pct"/>
            <w:noWrap/>
            <w:vAlign w:val="center"/>
          </w:tcPr>
          <w:p w14:paraId="7D8C1E33" w14:textId="1A915BCB" w:rsidR="00FB2C9B" w:rsidRPr="00514505" w:rsidRDefault="00FB2C9B" w:rsidP="00514505">
            <w:pPr>
              <w:pStyle w:val="Tabletext"/>
              <w:jc w:val="center"/>
              <w:rPr>
                <w:sz w:val="20"/>
              </w:rPr>
            </w:pPr>
            <w:r w:rsidRPr="00514505">
              <w:rPr>
                <w:sz w:val="20"/>
              </w:rPr>
              <w:t>GSO</w:t>
            </w:r>
          </w:p>
        </w:tc>
        <w:tc>
          <w:tcPr>
            <w:tcW w:w="602" w:type="pct"/>
            <w:noWrap/>
            <w:vAlign w:val="center"/>
          </w:tcPr>
          <w:p w14:paraId="036F93BA" w14:textId="477FB4D1" w:rsidR="00FB2C9B" w:rsidRPr="00514505" w:rsidRDefault="00FB2C9B" w:rsidP="000B062D">
            <w:pPr>
              <w:pStyle w:val="Tabletext"/>
              <w:rPr>
                <w:sz w:val="20"/>
              </w:rPr>
            </w:pPr>
            <w:proofErr w:type="spellStart"/>
            <w:r w:rsidRPr="00514505">
              <w:rPr>
                <w:sz w:val="20"/>
              </w:rPr>
              <w:t>SAUDISAT_45.5E</w:t>
            </w:r>
            <w:proofErr w:type="spellEnd"/>
          </w:p>
        </w:tc>
        <w:tc>
          <w:tcPr>
            <w:tcW w:w="540" w:type="pct"/>
            <w:noWrap/>
            <w:vAlign w:val="center"/>
          </w:tcPr>
          <w:p w14:paraId="6A82EA29" w14:textId="7ABF21CB" w:rsidR="00FB2C9B" w:rsidRPr="00514505" w:rsidRDefault="00FB2C9B" w:rsidP="000B062D">
            <w:pPr>
              <w:pStyle w:val="Tabletext"/>
              <w:rPr>
                <w:sz w:val="20"/>
              </w:rPr>
            </w:pPr>
            <w:r w:rsidRPr="00514505">
              <w:rPr>
                <w:sz w:val="20"/>
              </w:rPr>
              <w:t>124520150</w:t>
            </w:r>
          </w:p>
        </w:tc>
      </w:tr>
      <w:tr w:rsidR="000B062D" w:rsidRPr="00514505" w14:paraId="23FD3F24" w14:textId="77777777" w:rsidTr="00D06F87">
        <w:trPr>
          <w:trHeight w:val="295"/>
          <w:jc w:val="center"/>
        </w:trPr>
        <w:tc>
          <w:tcPr>
            <w:tcW w:w="861" w:type="pct"/>
            <w:noWrap/>
            <w:vAlign w:val="center"/>
          </w:tcPr>
          <w:p w14:paraId="18EDBC89" w14:textId="5BD28FE0" w:rsidR="00FB2C9B" w:rsidRPr="00514505" w:rsidRDefault="00FB2C9B" w:rsidP="00514505">
            <w:pPr>
              <w:pStyle w:val="Tabletext"/>
              <w:jc w:val="center"/>
              <w:rPr>
                <w:sz w:val="20"/>
              </w:rPr>
            </w:pPr>
            <w:r w:rsidRPr="00514505">
              <w:rPr>
                <w:sz w:val="20"/>
              </w:rPr>
              <w:t>14.20</w:t>
            </w:r>
          </w:p>
        </w:tc>
        <w:tc>
          <w:tcPr>
            <w:tcW w:w="582" w:type="pct"/>
            <w:noWrap/>
            <w:vAlign w:val="center"/>
          </w:tcPr>
          <w:p w14:paraId="73668EBC" w14:textId="330C30F6" w:rsidR="00FB2C9B" w:rsidRPr="00514505" w:rsidRDefault="00FB2C9B" w:rsidP="00514505">
            <w:pPr>
              <w:pStyle w:val="Tabletext"/>
              <w:jc w:val="center"/>
              <w:rPr>
                <w:sz w:val="20"/>
              </w:rPr>
            </w:pPr>
            <w:r w:rsidRPr="00514505">
              <w:rPr>
                <w:sz w:val="20"/>
              </w:rPr>
              <w:t>2025-09-30</w:t>
            </w:r>
          </w:p>
        </w:tc>
        <w:tc>
          <w:tcPr>
            <w:tcW w:w="444" w:type="pct"/>
            <w:noWrap/>
            <w:vAlign w:val="center"/>
          </w:tcPr>
          <w:p w14:paraId="407EC0A0" w14:textId="0B602117" w:rsidR="00FB2C9B" w:rsidRPr="00514505" w:rsidRDefault="00FB2C9B" w:rsidP="00514505">
            <w:pPr>
              <w:pStyle w:val="Tabletext"/>
              <w:jc w:val="center"/>
              <w:rPr>
                <w:sz w:val="20"/>
              </w:rPr>
            </w:pPr>
            <w:r w:rsidRPr="00514505">
              <w:rPr>
                <w:sz w:val="20"/>
              </w:rPr>
              <w:t>3056</w:t>
            </w:r>
          </w:p>
        </w:tc>
        <w:tc>
          <w:tcPr>
            <w:tcW w:w="549" w:type="pct"/>
            <w:noWrap/>
            <w:vAlign w:val="center"/>
          </w:tcPr>
          <w:p w14:paraId="59B09D8E" w14:textId="36EAE19E" w:rsidR="00FB2C9B" w:rsidRPr="00514505" w:rsidRDefault="00FB2C9B" w:rsidP="00514505">
            <w:pPr>
              <w:pStyle w:val="Tabletext"/>
              <w:jc w:val="center"/>
              <w:rPr>
                <w:sz w:val="20"/>
              </w:rPr>
            </w:pPr>
            <w:r w:rsidRPr="00514505">
              <w:rPr>
                <w:sz w:val="20"/>
              </w:rPr>
              <w:t>6299</w:t>
            </w:r>
          </w:p>
        </w:tc>
        <w:tc>
          <w:tcPr>
            <w:tcW w:w="431" w:type="pct"/>
            <w:noWrap/>
            <w:vAlign w:val="center"/>
          </w:tcPr>
          <w:p w14:paraId="67992BD9" w14:textId="5DEA9FDC" w:rsidR="00FB2C9B" w:rsidRPr="00514505" w:rsidRDefault="00FB2C9B" w:rsidP="00514505">
            <w:pPr>
              <w:pStyle w:val="Tabletext"/>
              <w:jc w:val="center"/>
              <w:rPr>
                <w:sz w:val="20"/>
              </w:rPr>
            </w:pPr>
            <w:r w:rsidRPr="00514505">
              <w:rPr>
                <w:sz w:val="20"/>
              </w:rPr>
              <w:t>CR/C</w:t>
            </w:r>
          </w:p>
        </w:tc>
        <w:tc>
          <w:tcPr>
            <w:tcW w:w="523" w:type="pct"/>
            <w:noWrap/>
            <w:vAlign w:val="center"/>
          </w:tcPr>
          <w:p w14:paraId="7A3406CF" w14:textId="423CC1E6" w:rsidR="00FB2C9B" w:rsidRPr="00514505" w:rsidRDefault="00FB2C9B" w:rsidP="00514505">
            <w:pPr>
              <w:pStyle w:val="Tabletext"/>
              <w:jc w:val="center"/>
              <w:rPr>
                <w:sz w:val="20"/>
              </w:rPr>
            </w:pPr>
            <w:r w:rsidRPr="00514505">
              <w:rPr>
                <w:sz w:val="20"/>
              </w:rPr>
              <w:t>2024-07-31</w:t>
            </w:r>
          </w:p>
        </w:tc>
        <w:tc>
          <w:tcPr>
            <w:tcW w:w="467" w:type="pct"/>
            <w:noWrap/>
            <w:vAlign w:val="center"/>
          </w:tcPr>
          <w:p w14:paraId="38F63161" w14:textId="557B400E" w:rsidR="00FB2C9B" w:rsidRPr="00514505" w:rsidRDefault="00FB2C9B" w:rsidP="00514505">
            <w:pPr>
              <w:pStyle w:val="Tabletext"/>
              <w:jc w:val="center"/>
              <w:rPr>
                <w:sz w:val="20"/>
              </w:rPr>
            </w:pPr>
            <w:r w:rsidRPr="00514505">
              <w:rPr>
                <w:sz w:val="20"/>
              </w:rPr>
              <w:t>GSO</w:t>
            </w:r>
          </w:p>
        </w:tc>
        <w:tc>
          <w:tcPr>
            <w:tcW w:w="602" w:type="pct"/>
            <w:noWrap/>
            <w:vAlign w:val="center"/>
          </w:tcPr>
          <w:p w14:paraId="57D12B95" w14:textId="094895FD" w:rsidR="00FB2C9B" w:rsidRPr="00514505" w:rsidRDefault="00FB2C9B" w:rsidP="000B062D">
            <w:pPr>
              <w:pStyle w:val="Tabletext"/>
              <w:rPr>
                <w:sz w:val="20"/>
              </w:rPr>
            </w:pPr>
            <w:proofErr w:type="spellStart"/>
            <w:r w:rsidRPr="00514505">
              <w:rPr>
                <w:sz w:val="20"/>
              </w:rPr>
              <w:t>SAUDISAT_51.9E</w:t>
            </w:r>
            <w:proofErr w:type="spellEnd"/>
          </w:p>
        </w:tc>
        <w:tc>
          <w:tcPr>
            <w:tcW w:w="540" w:type="pct"/>
            <w:noWrap/>
            <w:vAlign w:val="center"/>
          </w:tcPr>
          <w:p w14:paraId="0E81C8B3" w14:textId="1180759D" w:rsidR="00FB2C9B" w:rsidRPr="00514505" w:rsidRDefault="00FB2C9B" w:rsidP="000B062D">
            <w:pPr>
              <w:pStyle w:val="Tabletext"/>
              <w:rPr>
                <w:sz w:val="20"/>
              </w:rPr>
            </w:pPr>
            <w:r w:rsidRPr="00514505">
              <w:rPr>
                <w:sz w:val="20"/>
              </w:rPr>
              <w:t>124520158</w:t>
            </w:r>
          </w:p>
        </w:tc>
      </w:tr>
      <w:tr w:rsidR="000B062D" w:rsidRPr="00514505" w14:paraId="5713C615" w14:textId="77777777" w:rsidTr="00D06F87">
        <w:trPr>
          <w:trHeight w:val="295"/>
          <w:jc w:val="center"/>
        </w:trPr>
        <w:tc>
          <w:tcPr>
            <w:tcW w:w="861" w:type="pct"/>
            <w:noWrap/>
            <w:vAlign w:val="center"/>
          </w:tcPr>
          <w:p w14:paraId="7A3B63C7" w14:textId="37E66AA7" w:rsidR="00FB2C9B" w:rsidRPr="00514505" w:rsidRDefault="00FB2C9B" w:rsidP="00514505">
            <w:pPr>
              <w:pStyle w:val="Tabletext"/>
              <w:jc w:val="center"/>
              <w:rPr>
                <w:sz w:val="20"/>
              </w:rPr>
            </w:pPr>
            <w:r w:rsidRPr="00514505">
              <w:rPr>
                <w:sz w:val="20"/>
              </w:rPr>
              <w:t>14.27</w:t>
            </w:r>
          </w:p>
        </w:tc>
        <w:tc>
          <w:tcPr>
            <w:tcW w:w="582" w:type="pct"/>
            <w:noWrap/>
            <w:vAlign w:val="center"/>
          </w:tcPr>
          <w:p w14:paraId="536FBA0F" w14:textId="75BF204F" w:rsidR="00FB2C9B" w:rsidRPr="00514505" w:rsidRDefault="00FB2C9B" w:rsidP="00514505">
            <w:pPr>
              <w:pStyle w:val="Tabletext"/>
              <w:jc w:val="center"/>
              <w:rPr>
                <w:sz w:val="20"/>
              </w:rPr>
            </w:pPr>
            <w:r w:rsidRPr="00514505">
              <w:rPr>
                <w:sz w:val="20"/>
              </w:rPr>
              <w:t>2025-09-16</w:t>
            </w:r>
          </w:p>
        </w:tc>
        <w:tc>
          <w:tcPr>
            <w:tcW w:w="444" w:type="pct"/>
            <w:noWrap/>
            <w:vAlign w:val="center"/>
          </w:tcPr>
          <w:p w14:paraId="0041B987" w14:textId="01E223E2" w:rsidR="00FB2C9B" w:rsidRPr="00514505" w:rsidRDefault="00FB2C9B" w:rsidP="00514505">
            <w:pPr>
              <w:pStyle w:val="Tabletext"/>
              <w:jc w:val="center"/>
              <w:rPr>
                <w:sz w:val="20"/>
              </w:rPr>
            </w:pPr>
            <w:r w:rsidRPr="00514505">
              <w:rPr>
                <w:sz w:val="20"/>
              </w:rPr>
              <w:t>3055</w:t>
            </w:r>
          </w:p>
        </w:tc>
        <w:tc>
          <w:tcPr>
            <w:tcW w:w="549" w:type="pct"/>
            <w:noWrap/>
            <w:vAlign w:val="center"/>
          </w:tcPr>
          <w:p w14:paraId="74772EFB" w14:textId="6BDE4117" w:rsidR="00FB2C9B" w:rsidRPr="00514505" w:rsidRDefault="00FB2C9B" w:rsidP="00514505">
            <w:pPr>
              <w:pStyle w:val="Tabletext"/>
              <w:jc w:val="center"/>
              <w:rPr>
                <w:sz w:val="20"/>
              </w:rPr>
            </w:pPr>
            <w:r w:rsidRPr="00514505">
              <w:rPr>
                <w:sz w:val="20"/>
              </w:rPr>
              <w:t>6289</w:t>
            </w:r>
          </w:p>
        </w:tc>
        <w:tc>
          <w:tcPr>
            <w:tcW w:w="431" w:type="pct"/>
            <w:noWrap/>
            <w:vAlign w:val="center"/>
          </w:tcPr>
          <w:p w14:paraId="1B524335" w14:textId="0D03AD1E" w:rsidR="00FB2C9B" w:rsidRPr="00514505" w:rsidRDefault="00FB2C9B" w:rsidP="00514505">
            <w:pPr>
              <w:pStyle w:val="Tabletext"/>
              <w:jc w:val="center"/>
              <w:rPr>
                <w:sz w:val="20"/>
              </w:rPr>
            </w:pPr>
            <w:r w:rsidRPr="00514505">
              <w:rPr>
                <w:sz w:val="20"/>
              </w:rPr>
              <w:t>CR/C</w:t>
            </w:r>
          </w:p>
        </w:tc>
        <w:tc>
          <w:tcPr>
            <w:tcW w:w="523" w:type="pct"/>
            <w:noWrap/>
            <w:vAlign w:val="center"/>
          </w:tcPr>
          <w:p w14:paraId="3DE8F908" w14:textId="2FE77B95" w:rsidR="00FB2C9B" w:rsidRPr="00514505" w:rsidRDefault="00FB2C9B" w:rsidP="00514505">
            <w:pPr>
              <w:pStyle w:val="Tabletext"/>
              <w:jc w:val="center"/>
              <w:rPr>
                <w:sz w:val="20"/>
              </w:rPr>
            </w:pPr>
            <w:r w:rsidRPr="00514505">
              <w:rPr>
                <w:sz w:val="20"/>
              </w:rPr>
              <w:t>2024-07-15</w:t>
            </w:r>
          </w:p>
        </w:tc>
        <w:tc>
          <w:tcPr>
            <w:tcW w:w="467" w:type="pct"/>
            <w:noWrap/>
            <w:vAlign w:val="center"/>
          </w:tcPr>
          <w:p w14:paraId="2DA68B43" w14:textId="74553399" w:rsidR="00FB2C9B" w:rsidRPr="00514505" w:rsidRDefault="00FB2C9B" w:rsidP="00514505">
            <w:pPr>
              <w:pStyle w:val="Tabletext"/>
              <w:jc w:val="center"/>
              <w:rPr>
                <w:sz w:val="20"/>
              </w:rPr>
            </w:pPr>
            <w:r w:rsidRPr="00514505">
              <w:rPr>
                <w:sz w:val="20"/>
              </w:rPr>
              <w:t>GSO</w:t>
            </w:r>
          </w:p>
        </w:tc>
        <w:tc>
          <w:tcPr>
            <w:tcW w:w="602" w:type="pct"/>
            <w:noWrap/>
            <w:vAlign w:val="center"/>
          </w:tcPr>
          <w:p w14:paraId="69395DA2" w14:textId="40AEB924" w:rsidR="00FB2C9B" w:rsidRPr="00514505" w:rsidRDefault="00FB2C9B" w:rsidP="000B062D">
            <w:pPr>
              <w:pStyle w:val="Tabletext"/>
              <w:rPr>
                <w:sz w:val="20"/>
              </w:rPr>
            </w:pPr>
            <w:proofErr w:type="spellStart"/>
            <w:r w:rsidRPr="00514505">
              <w:rPr>
                <w:sz w:val="20"/>
              </w:rPr>
              <w:t>SAUDISAT_7.9E</w:t>
            </w:r>
            <w:proofErr w:type="spellEnd"/>
          </w:p>
        </w:tc>
        <w:tc>
          <w:tcPr>
            <w:tcW w:w="540" w:type="pct"/>
            <w:noWrap/>
            <w:vAlign w:val="center"/>
          </w:tcPr>
          <w:p w14:paraId="58C9F6F4" w14:textId="082CCE19" w:rsidR="00FB2C9B" w:rsidRPr="00514505" w:rsidRDefault="00FB2C9B" w:rsidP="000B062D">
            <w:pPr>
              <w:pStyle w:val="Tabletext"/>
              <w:rPr>
                <w:sz w:val="20"/>
              </w:rPr>
            </w:pPr>
            <w:r w:rsidRPr="00514505">
              <w:rPr>
                <w:sz w:val="20"/>
              </w:rPr>
              <w:t>124520137</w:t>
            </w:r>
          </w:p>
        </w:tc>
      </w:tr>
    </w:tbl>
    <w:p w14:paraId="21658695" w14:textId="77777777" w:rsidR="00667647" w:rsidRPr="00AB7E18" w:rsidRDefault="00667647" w:rsidP="00514505">
      <w:pPr>
        <w:pStyle w:val="Tablefin"/>
      </w:pPr>
    </w:p>
    <w:p w14:paraId="0CB120B4" w14:textId="409A1DC7" w:rsidR="00320FA4" w:rsidRPr="00400191" w:rsidRDefault="00400191" w:rsidP="000B062D">
      <w:pPr>
        <w:pStyle w:val="Headingb"/>
        <w:spacing w:after="120"/>
        <w:rPr>
          <w:rtl/>
          <w:lang w:val="en-US"/>
        </w:rPr>
      </w:pPr>
      <w:r w:rsidRPr="00AB7E18">
        <w:rPr>
          <w:lang w:val="en-US"/>
        </w:rPr>
        <w:lastRenderedPageBreak/>
        <w:t>B</w:t>
      </w:r>
      <w:r w:rsidRPr="00AB7E18">
        <w:rPr>
          <w:rtl/>
          <w:lang w:val="en-US"/>
        </w:rPr>
        <w:tab/>
      </w:r>
      <w:r w:rsidR="00320FA4" w:rsidRPr="00400191">
        <w:t>Files in processing*</w:t>
      </w:r>
    </w:p>
    <w:tbl>
      <w:tblPr>
        <w:bidiVisual/>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2"/>
        <w:gridCol w:w="1244"/>
        <w:gridCol w:w="933"/>
        <w:gridCol w:w="1066"/>
        <w:gridCol w:w="838"/>
        <w:gridCol w:w="1019"/>
        <w:gridCol w:w="719"/>
        <w:gridCol w:w="1559"/>
        <w:gridCol w:w="987"/>
      </w:tblGrid>
      <w:tr w:rsidR="004B1DD3" w:rsidRPr="004B1DD3" w14:paraId="134F10D4" w14:textId="77777777" w:rsidTr="004B1DD3">
        <w:trPr>
          <w:trHeight w:val="295"/>
          <w:jc w:val="center"/>
        </w:trPr>
        <w:tc>
          <w:tcPr>
            <w:tcW w:w="787" w:type="pct"/>
            <w:shd w:val="clear" w:color="000000" w:fill="002060"/>
            <w:noWrap/>
            <w:vAlign w:val="center"/>
          </w:tcPr>
          <w:p w14:paraId="5F6EEEA2" w14:textId="64F85996" w:rsidR="00FB2C9B" w:rsidRPr="004B1DD3" w:rsidRDefault="00FB2C9B" w:rsidP="004A1D5A">
            <w:pPr>
              <w:pStyle w:val="Tablehead"/>
              <w:rPr>
                <w:sz w:val="18"/>
                <w:szCs w:val="18"/>
                <w:rtl/>
              </w:rPr>
            </w:pPr>
            <w:r w:rsidRPr="004B1DD3">
              <w:rPr>
                <w:sz w:val="18"/>
                <w:szCs w:val="18"/>
              </w:rPr>
              <w:t xml:space="preserve">Processing </w:t>
            </w:r>
            <w:r w:rsidR="004A1D5A" w:rsidRPr="004B1DD3">
              <w:rPr>
                <w:sz w:val="18"/>
                <w:szCs w:val="18"/>
              </w:rPr>
              <w:t xml:space="preserve">time </w:t>
            </w:r>
            <w:r w:rsidRPr="004B1DD3">
              <w:rPr>
                <w:sz w:val="18"/>
                <w:szCs w:val="18"/>
              </w:rPr>
              <w:t>(months)</w:t>
            </w:r>
          </w:p>
        </w:tc>
        <w:tc>
          <w:tcPr>
            <w:tcW w:w="627" w:type="pct"/>
            <w:shd w:val="clear" w:color="000000" w:fill="002060"/>
            <w:noWrap/>
            <w:vAlign w:val="center"/>
          </w:tcPr>
          <w:p w14:paraId="3DC5B530" w14:textId="06861CA8" w:rsidR="00FB2C9B" w:rsidRPr="004B1DD3" w:rsidRDefault="00FB2C9B" w:rsidP="004A1D5A">
            <w:pPr>
              <w:pStyle w:val="Tablehead"/>
              <w:rPr>
                <w:sz w:val="18"/>
                <w:szCs w:val="18"/>
                <w:rtl/>
              </w:rPr>
            </w:pPr>
            <w:r w:rsidRPr="004B1DD3">
              <w:rPr>
                <w:sz w:val="18"/>
                <w:szCs w:val="18"/>
              </w:rPr>
              <w:t xml:space="preserve">Publication </w:t>
            </w:r>
            <w:r w:rsidR="004A1D5A" w:rsidRPr="004B1DD3">
              <w:rPr>
                <w:sz w:val="18"/>
                <w:szCs w:val="18"/>
              </w:rPr>
              <w:t>date</w:t>
            </w:r>
          </w:p>
        </w:tc>
        <w:tc>
          <w:tcPr>
            <w:tcW w:w="470" w:type="pct"/>
            <w:shd w:val="clear" w:color="000000" w:fill="002060"/>
            <w:noWrap/>
            <w:vAlign w:val="center"/>
          </w:tcPr>
          <w:p w14:paraId="64C4C156" w14:textId="58F162CE" w:rsidR="00FB2C9B" w:rsidRPr="004B1DD3" w:rsidRDefault="00FB2C9B" w:rsidP="004A1D5A">
            <w:pPr>
              <w:pStyle w:val="Tablehead"/>
              <w:rPr>
                <w:sz w:val="18"/>
                <w:szCs w:val="18"/>
                <w:rtl/>
              </w:rPr>
            </w:pPr>
            <w:r w:rsidRPr="004B1DD3">
              <w:rPr>
                <w:sz w:val="18"/>
                <w:szCs w:val="18"/>
              </w:rPr>
              <w:t>BR IFIC No.</w:t>
            </w:r>
          </w:p>
        </w:tc>
        <w:tc>
          <w:tcPr>
            <w:tcW w:w="537" w:type="pct"/>
            <w:shd w:val="clear" w:color="000000" w:fill="002060"/>
            <w:noWrap/>
            <w:vAlign w:val="center"/>
          </w:tcPr>
          <w:p w14:paraId="6B39E458" w14:textId="3F684FC1" w:rsidR="00FB2C9B" w:rsidRPr="004B1DD3" w:rsidRDefault="00FB2C9B" w:rsidP="004A1D5A">
            <w:pPr>
              <w:pStyle w:val="Tablehead"/>
              <w:rPr>
                <w:sz w:val="18"/>
                <w:szCs w:val="18"/>
                <w:rtl/>
              </w:rPr>
            </w:pPr>
            <w:r w:rsidRPr="004B1DD3">
              <w:rPr>
                <w:sz w:val="18"/>
                <w:szCs w:val="18"/>
              </w:rPr>
              <w:t>Publication No.</w:t>
            </w:r>
          </w:p>
        </w:tc>
        <w:tc>
          <w:tcPr>
            <w:tcW w:w="422" w:type="pct"/>
            <w:shd w:val="clear" w:color="000000" w:fill="002060"/>
            <w:noWrap/>
            <w:vAlign w:val="center"/>
          </w:tcPr>
          <w:p w14:paraId="26F9F796" w14:textId="45E2D6A5" w:rsidR="00FB2C9B" w:rsidRPr="004B1DD3" w:rsidRDefault="00FB2C9B" w:rsidP="004A1D5A">
            <w:pPr>
              <w:pStyle w:val="Tablehead"/>
              <w:rPr>
                <w:sz w:val="18"/>
                <w:szCs w:val="18"/>
                <w:rtl/>
              </w:rPr>
            </w:pPr>
            <w:r w:rsidRPr="004B1DD3">
              <w:rPr>
                <w:sz w:val="18"/>
                <w:szCs w:val="18"/>
              </w:rPr>
              <w:t xml:space="preserve">Filing </w:t>
            </w:r>
            <w:r w:rsidR="004A1D5A" w:rsidRPr="004B1DD3">
              <w:rPr>
                <w:sz w:val="18"/>
                <w:szCs w:val="18"/>
              </w:rPr>
              <w:t>type</w:t>
            </w:r>
          </w:p>
        </w:tc>
        <w:tc>
          <w:tcPr>
            <w:tcW w:w="513" w:type="pct"/>
            <w:shd w:val="clear" w:color="000000" w:fill="002060"/>
            <w:noWrap/>
            <w:vAlign w:val="center"/>
          </w:tcPr>
          <w:p w14:paraId="5E9BF375" w14:textId="2763928E" w:rsidR="00FB2C9B" w:rsidRPr="004B1DD3" w:rsidRDefault="00FB2C9B" w:rsidP="004A1D5A">
            <w:pPr>
              <w:pStyle w:val="Tablehead"/>
              <w:rPr>
                <w:sz w:val="18"/>
                <w:szCs w:val="18"/>
                <w:rtl/>
              </w:rPr>
            </w:pPr>
            <w:r w:rsidRPr="004B1DD3">
              <w:rPr>
                <w:sz w:val="18"/>
                <w:szCs w:val="18"/>
              </w:rPr>
              <w:t xml:space="preserve">Date </w:t>
            </w:r>
            <w:r w:rsidR="004A1D5A" w:rsidRPr="004B1DD3">
              <w:rPr>
                <w:sz w:val="18"/>
                <w:szCs w:val="18"/>
              </w:rPr>
              <w:t>received</w:t>
            </w:r>
          </w:p>
        </w:tc>
        <w:tc>
          <w:tcPr>
            <w:tcW w:w="362" w:type="pct"/>
            <w:shd w:val="clear" w:color="000000" w:fill="002060"/>
            <w:noWrap/>
            <w:vAlign w:val="center"/>
          </w:tcPr>
          <w:p w14:paraId="1FD7B1AA" w14:textId="6E603B88" w:rsidR="00FB2C9B" w:rsidRPr="004B1DD3" w:rsidRDefault="00FB2C9B" w:rsidP="004A1D5A">
            <w:pPr>
              <w:pStyle w:val="Tablehead"/>
              <w:rPr>
                <w:sz w:val="18"/>
                <w:szCs w:val="18"/>
                <w:rtl/>
              </w:rPr>
            </w:pPr>
            <w:r w:rsidRPr="004B1DD3">
              <w:rPr>
                <w:sz w:val="18"/>
                <w:szCs w:val="18"/>
              </w:rPr>
              <w:t xml:space="preserve">Orbit </w:t>
            </w:r>
            <w:r w:rsidR="004A1D5A" w:rsidRPr="004B1DD3">
              <w:rPr>
                <w:sz w:val="18"/>
                <w:szCs w:val="18"/>
              </w:rPr>
              <w:t>type</w:t>
            </w:r>
          </w:p>
        </w:tc>
        <w:tc>
          <w:tcPr>
            <w:tcW w:w="785" w:type="pct"/>
            <w:shd w:val="clear" w:color="000000" w:fill="002060"/>
            <w:noWrap/>
            <w:vAlign w:val="center"/>
          </w:tcPr>
          <w:p w14:paraId="30C77849" w14:textId="3F62998C" w:rsidR="00FB2C9B" w:rsidRPr="004B1DD3" w:rsidRDefault="00FB2C9B" w:rsidP="004A1D5A">
            <w:pPr>
              <w:pStyle w:val="Tablehead"/>
              <w:rPr>
                <w:sz w:val="18"/>
                <w:szCs w:val="18"/>
                <w:rtl/>
              </w:rPr>
            </w:pPr>
            <w:r w:rsidRPr="004B1DD3">
              <w:rPr>
                <w:sz w:val="18"/>
                <w:szCs w:val="18"/>
              </w:rPr>
              <w:t>Network</w:t>
            </w:r>
          </w:p>
        </w:tc>
        <w:tc>
          <w:tcPr>
            <w:tcW w:w="497" w:type="pct"/>
            <w:shd w:val="clear" w:color="000000" w:fill="002060"/>
            <w:noWrap/>
            <w:vAlign w:val="center"/>
          </w:tcPr>
          <w:p w14:paraId="6F5E64D4" w14:textId="44A959D0" w:rsidR="00FB2C9B" w:rsidRPr="004B1DD3" w:rsidRDefault="00FB2C9B" w:rsidP="004A1D5A">
            <w:pPr>
              <w:pStyle w:val="Tablehead"/>
              <w:rPr>
                <w:sz w:val="18"/>
                <w:szCs w:val="18"/>
                <w:rtl/>
              </w:rPr>
            </w:pPr>
            <w:r w:rsidRPr="004B1DD3">
              <w:rPr>
                <w:sz w:val="18"/>
                <w:szCs w:val="18"/>
              </w:rPr>
              <w:t>Filing No.</w:t>
            </w:r>
          </w:p>
        </w:tc>
      </w:tr>
      <w:tr w:rsidR="004B1DD3" w:rsidRPr="004B1DD3" w14:paraId="1B5C0BBC" w14:textId="77777777" w:rsidTr="004B1DD3">
        <w:trPr>
          <w:trHeight w:val="295"/>
          <w:jc w:val="center"/>
        </w:trPr>
        <w:tc>
          <w:tcPr>
            <w:tcW w:w="787" w:type="pct"/>
            <w:noWrap/>
            <w:vAlign w:val="center"/>
          </w:tcPr>
          <w:p w14:paraId="00764227" w14:textId="276148E4" w:rsidR="00FB2C9B" w:rsidRPr="004B1DD3" w:rsidRDefault="00FB2C9B" w:rsidP="004B1DD3">
            <w:pPr>
              <w:pStyle w:val="Tabletext"/>
              <w:jc w:val="center"/>
              <w:rPr>
                <w:sz w:val="18"/>
                <w:szCs w:val="18"/>
              </w:rPr>
            </w:pPr>
            <w:r w:rsidRPr="004B1DD3">
              <w:rPr>
                <w:sz w:val="18"/>
                <w:szCs w:val="18"/>
              </w:rPr>
              <w:t>10.8</w:t>
            </w:r>
          </w:p>
        </w:tc>
        <w:tc>
          <w:tcPr>
            <w:tcW w:w="627" w:type="pct"/>
            <w:noWrap/>
            <w:vAlign w:val="center"/>
          </w:tcPr>
          <w:p w14:paraId="53D47469" w14:textId="154B49C9" w:rsidR="00FB2C9B" w:rsidRPr="004B1DD3" w:rsidRDefault="00FB2C9B" w:rsidP="004A1D5A">
            <w:pPr>
              <w:pStyle w:val="Tabletext"/>
              <w:rPr>
                <w:sz w:val="18"/>
                <w:szCs w:val="18"/>
              </w:rPr>
            </w:pPr>
            <w:r w:rsidRPr="004B1DD3">
              <w:rPr>
                <w:sz w:val="18"/>
                <w:szCs w:val="18"/>
              </w:rPr>
              <w:t>Under processing</w:t>
            </w:r>
          </w:p>
        </w:tc>
        <w:tc>
          <w:tcPr>
            <w:tcW w:w="470" w:type="pct"/>
            <w:noWrap/>
          </w:tcPr>
          <w:p w14:paraId="1882BA5D" w14:textId="11BB23BE" w:rsidR="00FB2C9B" w:rsidRPr="004B1DD3" w:rsidRDefault="00FB2C9B" w:rsidP="004A1D5A">
            <w:pPr>
              <w:pStyle w:val="Tabletext"/>
              <w:rPr>
                <w:sz w:val="18"/>
                <w:szCs w:val="18"/>
              </w:rPr>
            </w:pPr>
            <w:r w:rsidRPr="004B1DD3">
              <w:rPr>
                <w:sz w:val="18"/>
                <w:szCs w:val="18"/>
              </w:rPr>
              <w:t>Not published</w:t>
            </w:r>
          </w:p>
        </w:tc>
        <w:tc>
          <w:tcPr>
            <w:tcW w:w="537" w:type="pct"/>
            <w:noWrap/>
          </w:tcPr>
          <w:p w14:paraId="6A343509" w14:textId="18E27B86"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6FE37D66" w14:textId="34CE8FBF"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054E97D0" w14:textId="6E806B53"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3322AD74" w14:textId="2876A85A"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5464F908" w14:textId="7651B6D5" w:rsidR="00FB2C9B" w:rsidRPr="004B1DD3" w:rsidRDefault="00FB2C9B" w:rsidP="004A1D5A">
            <w:pPr>
              <w:pStyle w:val="Tabletext"/>
              <w:rPr>
                <w:sz w:val="18"/>
                <w:szCs w:val="18"/>
                <w:rtl/>
              </w:rPr>
            </w:pPr>
            <w:r w:rsidRPr="004B1DD3">
              <w:rPr>
                <w:sz w:val="18"/>
                <w:szCs w:val="18"/>
              </w:rPr>
              <w:t>ARABSAT-12F-44.5E</w:t>
            </w:r>
          </w:p>
        </w:tc>
        <w:tc>
          <w:tcPr>
            <w:tcW w:w="497" w:type="pct"/>
            <w:noWrap/>
            <w:vAlign w:val="center"/>
          </w:tcPr>
          <w:p w14:paraId="40B28318" w14:textId="4AB8F42C" w:rsidR="00FB2C9B" w:rsidRPr="004B1DD3" w:rsidRDefault="00FB2C9B" w:rsidP="004B1DD3">
            <w:pPr>
              <w:pStyle w:val="Tabletext"/>
              <w:jc w:val="center"/>
              <w:rPr>
                <w:sz w:val="18"/>
                <w:szCs w:val="18"/>
              </w:rPr>
            </w:pPr>
            <w:r w:rsidRPr="004B1DD3">
              <w:rPr>
                <w:sz w:val="18"/>
                <w:szCs w:val="18"/>
              </w:rPr>
              <w:t>125520067</w:t>
            </w:r>
          </w:p>
        </w:tc>
      </w:tr>
      <w:tr w:rsidR="004B1DD3" w:rsidRPr="004B1DD3" w14:paraId="188CFBC4" w14:textId="77777777" w:rsidTr="004B1DD3">
        <w:trPr>
          <w:trHeight w:val="295"/>
          <w:jc w:val="center"/>
        </w:trPr>
        <w:tc>
          <w:tcPr>
            <w:tcW w:w="787" w:type="pct"/>
            <w:noWrap/>
            <w:vAlign w:val="center"/>
          </w:tcPr>
          <w:p w14:paraId="2257B144" w14:textId="5A36253F" w:rsidR="00FB2C9B" w:rsidRPr="004B1DD3" w:rsidRDefault="00FB2C9B" w:rsidP="004B1DD3">
            <w:pPr>
              <w:pStyle w:val="Tabletext"/>
              <w:jc w:val="center"/>
              <w:rPr>
                <w:sz w:val="18"/>
                <w:szCs w:val="18"/>
              </w:rPr>
            </w:pPr>
            <w:r w:rsidRPr="004B1DD3">
              <w:rPr>
                <w:sz w:val="18"/>
                <w:szCs w:val="18"/>
              </w:rPr>
              <w:t>10.8</w:t>
            </w:r>
          </w:p>
        </w:tc>
        <w:tc>
          <w:tcPr>
            <w:tcW w:w="627" w:type="pct"/>
            <w:noWrap/>
          </w:tcPr>
          <w:p w14:paraId="19383EBE" w14:textId="76A90E58" w:rsidR="00FB2C9B" w:rsidRPr="004B1DD3" w:rsidRDefault="00FB2C9B" w:rsidP="004A1D5A">
            <w:pPr>
              <w:pStyle w:val="Tabletext"/>
              <w:rPr>
                <w:sz w:val="18"/>
                <w:szCs w:val="18"/>
              </w:rPr>
            </w:pPr>
            <w:r w:rsidRPr="004B1DD3">
              <w:rPr>
                <w:sz w:val="18"/>
                <w:szCs w:val="18"/>
              </w:rPr>
              <w:t>Under processing</w:t>
            </w:r>
          </w:p>
        </w:tc>
        <w:tc>
          <w:tcPr>
            <w:tcW w:w="470" w:type="pct"/>
            <w:noWrap/>
          </w:tcPr>
          <w:p w14:paraId="1DCBCBFA" w14:textId="4B0B8D03" w:rsidR="00FB2C9B" w:rsidRPr="004B1DD3" w:rsidRDefault="00FB2C9B" w:rsidP="004A1D5A">
            <w:pPr>
              <w:pStyle w:val="Tabletext"/>
              <w:rPr>
                <w:sz w:val="18"/>
                <w:szCs w:val="18"/>
              </w:rPr>
            </w:pPr>
            <w:r w:rsidRPr="004B1DD3">
              <w:rPr>
                <w:sz w:val="18"/>
                <w:szCs w:val="18"/>
              </w:rPr>
              <w:t>Not published</w:t>
            </w:r>
          </w:p>
        </w:tc>
        <w:tc>
          <w:tcPr>
            <w:tcW w:w="537" w:type="pct"/>
            <w:noWrap/>
          </w:tcPr>
          <w:p w14:paraId="2E5CFE34" w14:textId="58136247"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4090D633" w14:textId="736D5C30"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0F763D0B" w14:textId="4FA23C06"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461092A8" w14:textId="6B255970"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04D711B3" w14:textId="37E00F47" w:rsidR="00FB2C9B" w:rsidRPr="004B1DD3" w:rsidRDefault="00FB2C9B" w:rsidP="004A1D5A">
            <w:pPr>
              <w:pStyle w:val="Tabletext"/>
              <w:rPr>
                <w:sz w:val="18"/>
                <w:szCs w:val="18"/>
                <w:rtl/>
              </w:rPr>
            </w:pPr>
            <w:r w:rsidRPr="004B1DD3">
              <w:rPr>
                <w:sz w:val="18"/>
                <w:szCs w:val="18"/>
              </w:rPr>
              <w:t>ARABSAT-12G-1E</w:t>
            </w:r>
          </w:p>
        </w:tc>
        <w:tc>
          <w:tcPr>
            <w:tcW w:w="497" w:type="pct"/>
            <w:noWrap/>
            <w:vAlign w:val="center"/>
          </w:tcPr>
          <w:p w14:paraId="49CEAB43" w14:textId="347C2735" w:rsidR="00FB2C9B" w:rsidRPr="004B1DD3" w:rsidRDefault="00FB2C9B" w:rsidP="004B1DD3">
            <w:pPr>
              <w:pStyle w:val="Tabletext"/>
              <w:jc w:val="center"/>
              <w:rPr>
                <w:sz w:val="18"/>
                <w:szCs w:val="18"/>
              </w:rPr>
            </w:pPr>
            <w:r w:rsidRPr="004B1DD3">
              <w:rPr>
                <w:sz w:val="18"/>
                <w:szCs w:val="18"/>
              </w:rPr>
              <w:t>125520066</w:t>
            </w:r>
          </w:p>
        </w:tc>
      </w:tr>
      <w:tr w:rsidR="004B1DD3" w:rsidRPr="004B1DD3" w14:paraId="6AB78000" w14:textId="77777777" w:rsidTr="004B1DD3">
        <w:trPr>
          <w:trHeight w:val="295"/>
          <w:jc w:val="center"/>
        </w:trPr>
        <w:tc>
          <w:tcPr>
            <w:tcW w:w="787" w:type="pct"/>
            <w:noWrap/>
            <w:vAlign w:val="center"/>
          </w:tcPr>
          <w:p w14:paraId="21F03191" w14:textId="6A3FDA98" w:rsidR="00FB2C9B" w:rsidRPr="004B1DD3" w:rsidRDefault="00FB2C9B" w:rsidP="004B1DD3">
            <w:pPr>
              <w:pStyle w:val="Tabletext"/>
              <w:jc w:val="center"/>
              <w:rPr>
                <w:sz w:val="18"/>
                <w:szCs w:val="18"/>
              </w:rPr>
            </w:pPr>
            <w:r w:rsidRPr="004B1DD3">
              <w:rPr>
                <w:sz w:val="18"/>
                <w:szCs w:val="18"/>
              </w:rPr>
              <w:t>10.8</w:t>
            </w:r>
          </w:p>
        </w:tc>
        <w:tc>
          <w:tcPr>
            <w:tcW w:w="627" w:type="pct"/>
            <w:noWrap/>
          </w:tcPr>
          <w:p w14:paraId="16AA50A9" w14:textId="4E983C34" w:rsidR="00FB2C9B" w:rsidRPr="004B1DD3" w:rsidRDefault="00FB2C9B" w:rsidP="004A1D5A">
            <w:pPr>
              <w:pStyle w:val="Tabletext"/>
              <w:rPr>
                <w:sz w:val="18"/>
                <w:szCs w:val="18"/>
              </w:rPr>
            </w:pPr>
            <w:r w:rsidRPr="004B1DD3">
              <w:rPr>
                <w:sz w:val="18"/>
                <w:szCs w:val="18"/>
              </w:rPr>
              <w:t>Under processing</w:t>
            </w:r>
          </w:p>
        </w:tc>
        <w:tc>
          <w:tcPr>
            <w:tcW w:w="470" w:type="pct"/>
            <w:noWrap/>
          </w:tcPr>
          <w:p w14:paraId="1EE513BA" w14:textId="0E49CF35" w:rsidR="00FB2C9B" w:rsidRPr="004B1DD3" w:rsidRDefault="00FB2C9B" w:rsidP="004A1D5A">
            <w:pPr>
              <w:pStyle w:val="Tabletext"/>
              <w:rPr>
                <w:sz w:val="18"/>
                <w:szCs w:val="18"/>
              </w:rPr>
            </w:pPr>
            <w:r w:rsidRPr="004B1DD3">
              <w:rPr>
                <w:sz w:val="18"/>
                <w:szCs w:val="18"/>
              </w:rPr>
              <w:t>Not published</w:t>
            </w:r>
          </w:p>
        </w:tc>
        <w:tc>
          <w:tcPr>
            <w:tcW w:w="537" w:type="pct"/>
            <w:noWrap/>
          </w:tcPr>
          <w:p w14:paraId="5532801D" w14:textId="071D6D60"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0D69C58F" w14:textId="45769A6B"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2DCCBD71" w14:textId="1DE5892D"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228C5E43" w14:textId="12E5083D"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7E08EB61" w14:textId="29B6E10C" w:rsidR="00FB2C9B" w:rsidRPr="004B1DD3" w:rsidRDefault="00FB2C9B" w:rsidP="004A1D5A">
            <w:pPr>
              <w:pStyle w:val="Tabletext"/>
              <w:rPr>
                <w:sz w:val="18"/>
                <w:szCs w:val="18"/>
                <w:rtl/>
              </w:rPr>
            </w:pPr>
            <w:r w:rsidRPr="004B1DD3">
              <w:rPr>
                <w:sz w:val="18"/>
                <w:szCs w:val="18"/>
              </w:rPr>
              <w:t>ARABSAT-12N-14.7E</w:t>
            </w:r>
          </w:p>
        </w:tc>
        <w:tc>
          <w:tcPr>
            <w:tcW w:w="497" w:type="pct"/>
            <w:noWrap/>
            <w:vAlign w:val="center"/>
          </w:tcPr>
          <w:p w14:paraId="373AED89" w14:textId="19F8F353" w:rsidR="00FB2C9B" w:rsidRPr="004B1DD3" w:rsidRDefault="00FB2C9B" w:rsidP="004B1DD3">
            <w:pPr>
              <w:pStyle w:val="Tabletext"/>
              <w:jc w:val="center"/>
              <w:rPr>
                <w:sz w:val="18"/>
                <w:szCs w:val="18"/>
              </w:rPr>
            </w:pPr>
            <w:r w:rsidRPr="004B1DD3">
              <w:rPr>
                <w:sz w:val="18"/>
                <w:szCs w:val="18"/>
              </w:rPr>
              <w:t>125520065</w:t>
            </w:r>
          </w:p>
        </w:tc>
      </w:tr>
      <w:tr w:rsidR="004B1DD3" w:rsidRPr="004B1DD3" w14:paraId="3B94C712" w14:textId="77777777" w:rsidTr="004B1DD3">
        <w:trPr>
          <w:trHeight w:val="295"/>
          <w:jc w:val="center"/>
        </w:trPr>
        <w:tc>
          <w:tcPr>
            <w:tcW w:w="787" w:type="pct"/>
            <w:noWrap/>
            <w:vAlign w:val="center"/>
          </w:tcPr>
          <w:p w14:paraId="0A9176B3" w14:textId="2EB1EAF6" w:rsidR="00FB2C9B" w:rsidRPr="004B1DD3" w:rsidRDefault="00FB2C9B" w:rsidP="004B1DD3">
            <w:pPr>
              <w:pStyle w:val="Tabletext"/>
              <w:jc w:val="center"/>
              <w:rPr>
                <w:sz w:val="18"/>
                <w:szCs w:val="18"/>
              </w:rPr>
            </w:pPr>
            <w:r w:rsidRPr="004B1DD3">
              <w:rPr>
                <w:sz w:val="18"/>
                <w:szCs w:val="18"/>
              </w:rPr>
              <w:t>10.8</w:t>
            </w:r>
          </w:p>
        </w:tc>
        <w:tc>
          <w:tcPr>
            <w:tcW w:w="627" w:type="pct"/>
            <w:noWrap/>
          </w:tcPr>
          <w:p w14:paraId="09835512" w14:textId="414A8902" w:rsidR="00FB2C9B" w:rsidRPr="004B1DD3" w:rsidRDefault="00FB2C9B" w:rsidP="004A1D5A">
            <w:pPr>
              <w:pStyle w:val="Tabletext"/>
              <w:rPr>
                <w:sz w:val="18"/>
                <w:szCs w:val="18"/>
              </w:rPr>
            </w:pPr>
            <w:r w:rsidRPr="004B1DD3">
              <w:rPr>
                <w:sz w:val="18"/>
                <w:szCs w:val="18"/>
              </w:rPr>
              <w:t>Under processing</w:t>
            </w:r>
          </w:p>
        </w:tc>
        <w:tc>
          <w:tcPr>
            <w:tcW w:w="470" w:type="pct"/>
            <w:noWrap/>
          </w:tcPr>
          <w:p w14:paraId="0E63552E" w14:textId="2717C602" w:rsidR="00FB2C9B" w:rsidRPr="004B1DD3" w:rsidRDefault="00FB2C9B" w:rsidP="004A1D5A">
            <w:pPr>
              <w:pStyle w:val="Tabletext"/>
              <w:rPr>
                <w:sz w:val="18"/>
                <w:szCs w:val="18"/>
              </w:rPr>
            </w:pPr>
            <w:r w:rsidRPr="004B1DD3">
              <w:rPr>
                <w:sz w:val="18"/>
                <w:szCs w:val="18"/>
              </w:rPr>
              <w:t>Not published</w:t>
            </w:r>
          </w:p>
        </w:tc>
        <w:tc>
          <w:tcPr>
            <w:tcW w:w="537" w:type="pct"/>
            <w:noWrap/>
          </w:tcPr>
          <w:p w14:paraId="13C77DAF" w14:textId="1D838D74"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672D7059" w14:textId="720ED3CF"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553BF500" w14:textId="09CC3268"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7832E5B3" w14:textId="7779CB06"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53A30906" w14:textId="67E4636C" w:rsidR="00FB2C9B" w:rsidRPr="004B1DD3" w:rsidRDefault="00FB2C9B" w:rsidP="004A1D5A">
            <w:pPr>
              <w:pStyle w:val="Tabletext"/>
              <w:rPr>
                <w:sz w:val="18"/>
                <w:szCs w:val="18"/>
                <w:rtl/>
              </w:rPr>
            </w:pPr>
            <w:r w:rsidRPr="004B1DD3">
              <w:rPr>
                <w:sz w:val="18"/>
                <w:szCs w:val="18"/>
              </w:rPr>
              <w:t>ARABSAT-12Q-58.5E</w:t>
            </w:r>
          </w:p>
        </w:tc>
        <w:tc>
          <w:tcPr>
            <w:tcW w:w="497" w:type="pct"/>
            <w:noWrap/>
            <w:vAlign w:val="center"/>
          </w:tcPr>
          <w:p w14:paraId="309E14E8" w14:textId="7E9B6D2C" w:rsidR="00FB2C9B" w:rsidRPr="004B1DD3" w:rsidRDefault="00FB2C9B" w:rsidP="004B1DD3">
            <w:pPr>
              <w:pStyle w:val="Tabletext"/>
              <w:jc w:val="center"/>
              <w:rPr>
                <w:sz w:val="18"/>
                <w:szCs w:val="18"/>
              </w:rPr>
            </w:pPr>
            <w:r w:rsidRPr="004B1DD3">
              <w:rPr>
                <w:sz w:val="18"/>
                <w:szCs w:val="18"/>
              </w:rPr>
              <w:t>125520064</w:t>
            </w:r>
          </w:p>
        </w:tc>
      </w:tr>
      <w:tr w:rsidR="004B1DD3" w:rsidRPr="004B1DD3" w14:paraId="2AEAB360" w14:textId="77777777" w:rsidTr="004B1DD3">
        <w:trPr>
          <w:trHeight w:val="295"/>
          <w:jc w:val="center"/>
        </w:trPr>
        <w:tc>
          <w:tcPr>
            <w:tcW w:w="787" w:type="pct"/>
            <w:noWrap/>
            <w:vAlign w:val="center"/>
          </w:tcPr>
          <w:p w14:paraId="54237925" w14:textId="7A8FAEDD" w:rsidR="00FB2C9B" w:rsidRPr="004B1DD3" w:rsidRDefault="00FB2C9B" w:rsidP="004B1DD3">
            <w:pPr>
              <w:pStyle w:val="Tabletext"/>
              <w:jc w:val="center"/>
              <w:rPr>
                <w:sz w:val="18"/>
                <w:szCs w:val="18"/>
              </w:rPr>
            </w:pPr>
            <w:r w:rsidRPr="004B1DD3">
              <w:rPr>
                <w:sz w:val="18"/>
                <w:szCs w:val="18"/>
              </w:rPr>
              <w:t>10.8</w:t>
            </w:r>
          </w:p>
        </w:tc>
        <w:tc>
          <w:tcPr>
            <w:tcW w:w="627" w:type="pct"/>
            <w:noWrap/>
          </w:tcPr>
          <w:p w14:paraId="6FEB739B" w14:textId="6376DDB4" w:rsidR="00FB2C9B" w:rsidRPr="004B1DD3" w:rsidRDefault="00FB2C9B" w:rsidP="004A1D5A">
            <w:pPr>
              <w:pStyle w:val="Tabletext"/>
              <w:rPr>
                <w:sz w:val="18"/>
                <w:szCs w:val="18"/>
              </w:rPr>
            </w:pPr>
            <w:r w:rsidRPr="004B1DD3">
              <w:rPr>
                <w:sz w:val="18"/>
                <w:szCs w:val="18"/>
              </w:rPr>
              <w:t>Under processing</w:t>
            </w:r>
          </w:p>
        </w:tc>
        <w:tc>
          <w:tcPr>
            <w:tcW w:w="470" w:type="pct"/>
            <w:noWrap/>
          </w:tcPr>
          <w:p w14:paraId="36BEE21E" w14:textId="563B8BD6" w:rsidR="00FB2C9B" w:rsidRPr="004B1DD3" w:rsidRDefault="00FB2C9B" w:rsidP="004A1D5A">
            <w:pPr>
              <w:pStyle w:val="Tabletext"/>
              <w:rPr>
                <w:sz w:val="18"/>
                <w:szCs w:val="18"/>
              </w:rPr>
            </w:pPr>
            <w:r w:rsidRPr="004B1DD3">
              <w:rPr>
                <w:sz w:val="18"/>
                <w:szCs w:val="18"/>
              </w:rPr>
              <w:t>Not published</w:t>
            </w:r>
          </w:p>
        </w:tc>
        <w:tc>
          <w:tcPr>
            <w:tcW w:w="537" w:type="pct"/>
            <w:noWrap/>
          </w:tcPr>
          <w:p w14:paraId="53F56673" w14:textId="6D223795"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0868238C" w14:textId="3DE09D57"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1E285634" w14:textId="79B675F4"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0C7FC00B" w14:textId="166E8E3B"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1BF70D7C" w14:textId="3FC70CD0" w:rsidR="00FB2C9B" w:rsidRPr="004B1DD3" w:rsidRDefault="00FB2C9B" w:rsidP="004A1D5A">
            <w:pPr>
              <w:pStyle w:val="Tabletext"/>
              <w:rPr>
                <w:sz w:val="18"/>
                <w:szCs w:val="18"/>
                <w:rtl/>
              </w:rPr>
            </w:pPr>
            <w:r w:rsidRPr="004B1DD3">
              <w:rPr>
                <w:sz w:val="18"/>
                <w:szCs w:val="18"/>
              </w:rPr>
              <w:t>ARABSAT-12Y-9W</w:t>
            </w:r>
          </w:p>
        </w:tc>
        <w:tc>
          <w:tcPr>
            <w:tcW w:w="497" w:type="pct"/>
            <w:noWrap/>
            <w:vAlign w:val="center"/>
          </w:tcPr>
          <w:p w14:paraId="6FCD1D52" w14:textId="2BB82FC4" w:rsidR="00FB2C9B" w:rsidRPr="004B1DD3" w:rsidRDefault="00FB2C9B" w:rsidP="004B1DD3">
            <w:pPr>
              <w:pStyle w:val="Tabletext"/>
              <w:jc w:val="center"/>
              <w:rPr>
                <w:sz w:val="18"/>
                <w:szCs w:val="18"/>
              </w:rPr>
            </w:pPr>
            <w:r w:rsidRPr="004B1DD3">
              <w:rPr>
                <w:sz w:val="18"/>
                <w:szCs w:val="18"/>
              </w:rPr>
              <w:t>125520063</w:t>
            </w:r>
          </w:p>
        </w:tc>
      </w:tr>
      <w:tr w:rsidR="004B1DD3" w:rsidRPr="004B1DD3" w14:paraId="535755D4" w14:textId="77777777" w:rsidTr="004B1DD3">
        <w:trPr>
          <w:trHeight w:val="295"/>
          <w:jc w:val="center"/>
        </w:trPr>
        <w:tc>
          <w:tcPr>
            <w:tcW w:w="787" w:type="pct"/>
            <w:noWrap/>
            <w:vAlign w:val="center"/>
          </w:tcPr>
          <w:p w14:paraId="0BDEB6C2" w14:textId="753449C5" w:rsidR="00FB2C9B" w:rsidRPr="004B1DD3" w:rsidRDefault="00FB2C9B" w:rsidP="004B1DD3">
            <w:pPr>
              <w:pStyle w:val="Tabletext"/>
              <w:jc w:val="center"/>
              <w:rPr>
                <w:sz w:val="18"/>
                <w:szCs w:val="18"/>
              </w:rPr>
            </w:pPr>
            <w:r w:rsidRPr="004B1DD3">
              <w:rPr>
                <w:sz w:val="18"/>
                <w:szCs w:val="18"/>
              </w:rPr>
              <w:t>10.8</w:t>
            </w:r>
          </w:p>
        </w:tc>
        <w:tc>
          <w:tcPr>
            <w:tcW w:w="627" w:type="pct"/>
            <w:noWrap/>
          </w:tcPr>
          <w:p w14:paraId="7A15EC7E" w14:textId="62242345" w:rsidR="00FB2C9B" w:rsidRPr="004B1DD3" w:rsidRDefault="00FB2C9B" w:rsidP="004A1D5A">
            <w:pPr>
              <w:pStyle w:val="Tabletext"/>
              <w:rPr>
                <w:sz w:val="18"/>
                <w:szCs w:val="18"/>
              </w:rPr>
            </w:pPr>
            <w:r w:rsidRPr="004B1DD3">
              <w:rPr>
                <w:sz w:val="18"/>
                <w:szCs w:val="18"/>
              </w:rPr>
              <w:t>Under processing</w:t>
            </w:r>
          </w:p>
        </w:tc>
        <w:tc>
          <w:tcPr>
            <w:tcW w:w="470" w:type="pct"/>
            <w:noWrap/>
          </w:tcPr>
          <w:p w14:paraId="361E8A92" w14:textId="0705CD2A" w:rsidR="00FB2C9B" w:rsidRPr="004B1DD3" w:rsidRDefault="00FB2C9B" w:rsidP="004A1D5A">
            <w:pPr>
              <w:pStyle w:val="Tabletext"/>
              <w:rPr>
                <w:sz w:val="18"/>
                <w:szCs w:val="18"/>
              </w:rPr>
            </w:pPr>
            <w:r w:rsidRPr="004B1DD3">
              <w:rPr>
                <w:sz w:val="18"/>
                <w:szCs w:val="18"/>
              </w:rPr>
              <w:t>Not published</w:t>
            </w:r>
          </w:p>
        </w:tc>
        <w:tc>
          <w:tcPr>
            <w:tcW w:w="537" w:type="pct"/>
            <w:noWrap/>
          </w:tcPr>
          <w:p w14:paraId="4CB6D2FD" w14:textId="2DF9A2FE" w:rsidR="00FB2C9B" w:rsidRPr="004B1DD3" w:rsidRDefault="00FB2C9B" w:rsidP="004A1D5A">
            <w:pPr>
              <w:pStyle w:val="Tabletext"/>
              <w:rPr>
                <w:sz w:val="18"/>
                <w:szCs w:val="18"/>
              </w:rPr>
            </w:pPr>
            <w:r w:rsidRPr="004B1DD3">
              <w:rPr>
                <w:sz w:val="18"/>
                <w:szCs w:val="18"/>
              </w:rPr>
              <w:t>Not published</w:t>
            </w:r>
          </w:p>
        </w:tc>
        <w:tc>
          <w:tcPr>
            <w:tcW w:w="422" w:type="pct"/>
            <w:noWrap/>
            <w:vAlign w:val="center"/>
          </w:tcPr>
          <w:p w14:paraId="1CC9067C" w14:textId="6D00F73B" w:rsidR="00FB2C9B" w:rsidRPr="004B1DD3" w:rsidRDefault="00FB2C9B" w:rsidP="004B1DD3">
            <w:pPr>
              <w:pStyle w:val="Tabletext"/>
              <w:jc w:val="center"/>
              <w:rPr>
                <w:sz w:val="18"/>
                <w:szCs w:val="18"/>
              </w:rPr>
            </w:pPr>
            <w:r w:rsidRPr="004B1DD3">
              <w:rPr>
                <w:sz w:val="18"/>
                <w:szCs w:val="18"/>
              </w:rPr>
              <w:t>CR/C</w:t>
            </w:r>
          </w:p>
        </w:tc>
        <w:tc>
          <w:tcPr>
            <w:tcW w:w="513" w:type="pct"/>
            <w:noWrap/>
            <w:vAlign w:val="center"/>
          </w:tcPr>
          <w:p w14:paraId="670A7CF7" w14:textId="67D7F7FE" w:rsidR="00FB2C9B" w:rsidRPr="004B1DD3" w:rsidRDefault="00FB2C9B" w:rsidP="004B1DD3">
            <w:pPr>
              <w:pStyle w:val="Tabletext"/>
              <w:jc w:val="center"/>
              <w:rPr>
                <w:sz w:val="18"/>
                <w:szCs w:val="18"/>
                <w:rtl/>
              </w:rPr>
            </w:pPr>
            <w:r w:rsidRPr="004B1DD3">
              <w:rPr>
                <w:sz w:val="18"/>
                <w:szCs w:val="18"/>
              </w:rPr>
              <w:t>2025-05-20</w:t>
            </w:r>
          </w:p>
        </w:tc>
        <w:tc>
          <w:tcPr>
            <w:tcW w:w="362" w:type="pct"/>
            <w:noWrap/>
            <w:vAlign w:val="center"/>
          </w:tcPr>
          <w:p w14:paraId="1868F93B" w14:textId="2A533A63" w:rsidR="00FB2C9B" w:rsidRPr="004B1DD3" w:rsidRDefault="00FB2C9B" w:rsidP="004B1DD3">
            <w:pPr>
              <w:pStyle w:val="Tabletext"/>
              <w:jc w:val="center"/>
              <w:rPr>
                <w:sz w:val="18"/>
                <w:szCs w:val="18"/>
                <w:rtl/>
              </w:rPr>
            </w:pPr>
            <w:r w:rsidRPr="004B1DD3">
              <w:rPr>
                <w:sz w:val="18"/>
                <w:szCs w:val="18"/>
              </w:rPr>
              <w:t>GSO</w:t>
            </w:r>
          </w:p>
        </w:tc>
        <w:tc>
          <w:tcPr>
            <w:tcW w:w="785" w:type="pct"/>
            <w:noWrap/>
            <w:vAlign w:val="center"/>
          </w:tcPr>
          <w:p w14:paraId="0E2E1CAF" w14:textId="52435497" w:rsidR="00FB2C9B" w:rsidRPr="004B1DD3" w:rsidRDefault="00FB2C9B" w:rsidP="004A1D5A">
            <w:pPr>
              <w:pStyle w:val="Tabletext"/>
              <w:rPr>
                <w:sz w:val="18"/>
                <w:szCs w:val="18"/>
                <w:rtl/>
              </w:rPr>
            </w:pPr>
            <w:r w:rsidRPr="004B1DD3">
              <w:rPr>
                <w:sz w:val="18"/>
                <w:szCs w:val="18"/>
              </w:rPr>
              <w:t>ARABSAT-12P-67.5E</w:t>
            </w:r>
          </w:p>
        </w:tc>
        <w:tc>
          <w:tcPr>
            <w:tcW w:w="497" w:type="pct"/>
            <w:noWrap/>
            <w:vAlign w:val="center"/>
          </w:tcPr>
          <w:p w14:paraId="1A0F2DA8" w14:textId="540D3291" w:rsidR="00FB2C9B" w:rsidRPr="004B1DD3" w:rsidRDefault="00FB2C9B" w:rsidP="004B1DD3">
            <w:pPr>
              <w:pStyle w:val="Tabletext"/>
              <w:jc w:val="center"/>
              <w:rPr>
                <w:sz w:val="18"/>
                <w:szCs w:val="18"/>
              </w:rPr>
            </w:pPr>
            <w:r w:rsidRPr="004B1DD3">
              <w:rPr>
                <w:sz w:val="18"/>
                <w:szCs w:val="18"/>
              </w:rPr>
              <w:t>125520062</w:t>
            </w:r>
          </w:p>
        </w:tc>
      </w:tr>
      <w:tr w:rsidR="004B1DD3" w:rsidRPr="004B1DD3" w14:paraId="0D2EE35F" w14:textId="77777777" w:rsidTr="004B1DD3">
        <w:trPr>
          <w:trHeight w:val="295"/>
          <w:jc w:val="center"/>
        </w:trPr>
        <w:tc>
          <w:tcPr>
            <w:tcW w:w="787" w:type="pct"/>
            <w:tcBorders>
              <w:bottom w:val="single" w:sz="4" w:space="0" w:color="auto"/>
            </w:tcBorders>
            <w:noWrap/>
            <w:vAlign w:val="center"/>
          </w:tcPr>
          <w:p w14:paraId="1636D8F5" w14:textId="71FF0393" w:rsidR="00FB2C9B" w:rsidRPr="004B1DD3" w:rsidRDefault="00FB2C9B" w:rsidP="004B1DD3">
            <w:pPr>
              <w:pStyle w:val="Tabletext"/>
              <w:jc w:val="center"/>
              <w:rPr>
                <w:sz w:val="18"/>
                <w:szCs w:val="18"/>
              </w:rPr>
            </w:pPr>
            <w:r w:rsidRPr="004B1DD3">
              <w:rPr>
                <w:sz w:val="18"/>
                <w:szCs w:val="18"/>
              </w:rPr>
              <w:t>4.9</w:t>
            </w:r>
          </w:p>
        </w:tc>
        <w:tc>
          <w:tcPr>
            <w:tcW w:w="627" w:type="pct"/>
            <w:tcBorders>
              <w:bottom w:val="single" w:sz="4" w:space="0" w:color="auto"/>
            </w:tcBorders>
            <w:noWrap/>
          </w:tcPr>
          <w:p w14:paraId="512DDBF6" w14:textId="1F6A08F3" w:rsidR="00FB2C9B" w:rsidRPr="004B1DD3" w:rsidRDefault="00FB2C9B" w:rsidP="004A1D5A">
            <w:pPr>
              <w:pStyle w:val="Tabletext"/>
              <w:rPr>
                <w:sz w:val="18"/>
                <w:szCs w:val="18"/>
              </w:rPr>
            </w:pPr>
            <w:r w:rsidRPr="004B1DD3">
              <w:rPr>
                <w:sz w:val="18"/>
                <w:szCs w:val="18"/>
              </w:rPr>
              <w:t>Under processing</w:t>
            </w:r>
          </w:p>
        </w:tc>
        <w:tc>
          <w:tcPr>
            <w:tcW w:w="470" w:type="pct"/>
            <w:tcBorders>
              <w:bottom w:val="single" w:sz="4" w:space="0" w:color="auto"/>
            </w:tcBorders>
            <w:noWrap/>
          </w:tcPr>
          <w:p w14:paraId="675C459B" w14:textId="00DB4249" w:rsidR="00FB2C9B" w:rsidRPr="004B1DD3" w:rsidRDefault="00FB2C9B" w:rsidP="004A1D5A">
            <w:pPr>
              <w:pStyle w:val="Tabletext"/>
              <w:rPr>
                <w:sz w:val="18"/>
                <w:szCs w:val="18"/>
              </w:rPr>
            </w:pPr>
            <w:r w:rsidRPr="004B1DD3">
              <w:rPr>
                <w:sz w:val="18"/>
                <w:szCs w:val="18"/>
              </w:rPr>
              <w:t>Not published</w:t>
            </w:r>
          </w:p>
        </w:tc>
        <w:tc>
          <w:tcPr>
            <w:tcW w:w="537" w:type="pct"/>
            <w:tcBorders>
              <w:bottom w:val="single" w:sz="4" w:space="0" w:color="auto"/>
            </w:tcBorders>
            <w:noWrap/>
          </w:tcPr>
          <w:p w14:paraId="59E731F6" w14:textId="4E3CC5D6" w:rsidR="00FB2C9B" w:rsidRPr="004B1DD3" w:rsidRDefault="00FB2C9B" w:rsidP="004A1D5A">
            <w:pPr>
              <w:pStyle w:val="Tabletext"/>
              <w:rPr>
                <w:sz w:val="18"/>
                <w:szCs w:val="18"/>
              </w:rPr>
            </w:pPr>
            <w:r w:rsidRPr="004B1DD3">
              <w:rPr>
                <w:sz w:val="18"/>
                <w:szCs w:val="18"/>
              </w:rPr>
              <w:t>Not published</w:t>
            </w:r>
          </w:p>
        </w:tc>
        <w:tc>
          <w:tcPr>
            <w:tcW w:w="422" w:type="pct"/>
            <w:tcBorders>
              <w:bottom w:val="single" w:sz="4" w:space="0" w:color="auto"/>
            </w:tcBorders>
            <w:noWrap/>
            <w:vAlign w:val="center"/>
          </w:tcPr>
          <w:p w14:paraId="15747E5D" w14:textId="59199076" w:rsidR="00FB2C9B" w:rsidRPr="004B1DD3" w:rsidRDefault="00FB2C9B" w:rsidP="004B1DD3">
            <w:pPr>
              <w:pStyle w:val="Tabletext"/>
              <w:jc w:val="center"/>
              <w:rPr>
                <w:sz w:val="18"/>
                <w:szCs w:val="18"/>
              </w:rPr>
            </w:pPr>
            <w:r w:rsidRPr="004B1DD3">
              <w:rPr>
                <w:sz w:val="18"/>
                <w:szCs w:val="18"/>
              </w:rPr>
              <w:t>CR/C</w:t>
            </w:r>
          </w:p>
        </w:tc>
        <w:tc>
          <w:tcPr>
            <w:tcW w:w="513" w:type="pct"/>
            <w:tcBorders>
              <w:bottom w:val="single" w:sz="4" w:space="0" w:color="auto"/>
            </w:tcBorders>
            <w:noWrap/>
            <w:vAlign w:val="center"/>
          </w:tcPr>
          <w:p w14:paraId="31208104" w14:textId="6351A9E8" w:rsidR="00FB2C9B" w:rsidRPr="004B1DD3" w:rsidRDefault="00FB2C9B" w:rsidP="004B1DD3">
            <w:pPr>
              <w:pStyle w:val="Tabletext"/>
              <w:jc w:val="center"/>
              <w:rPr>
                <w:sz w:val="18"/>
                <w:szCs w:val="18"/>
                <w:rtl/>
              </w:rPr>
            </w:pPr>
            <w:r w:rsidRPr="004B1DD3">
              <w:rPr>
                <w:sz w:val="18"/>
                <w:szCs w:val="18"/>
              </w:rPr>
              <w:t>2025-11-13</w:t>
            </w:r>
          </w:p>
        </w:tc>
        <w:tc>
          <w:tcPr>
            <w:tcW w:w="362" w:type="pct"/>
            <w:tcBorders>
              <w:bottom w:val="single" w:sz="4" w:space="0" w:color="auto"/>
            </w:tcBorders>
            <w:noWrap/>
            <w:vAlign w:val="center"/>
          </w:tcPr>
          <w:p w14:paraId="47023804" w14:textId="55F3B058" w:rsidR="00FB2C9B" w:rsidRPr="004B1DD3" w:rsidRDefault="00FB2C9B" w:rsidP="004B1DD3">
            <w:pPr>
              <w:pStyle w:val="Tabletext"/>
              <w:jc w:val="center"/>
              <w:rPr>
                <w:sz w:val="18"/>
                <w:szCs w:val="18"/>
                <w:rtl/>
              </w:rPr>
            </w:pPr>
            <w:r w:rsidRPr="004B1DD3">
              <w:rPr>
                <w:sz w:val="18"/>
                <w:szCs w:val="18"/>
              </w:rPr>
              <w:t>GSO</w:t>
            </w:r>
          </w:p>
        </w:tc>
        <w:tc>
          <w:tcPr>
            <w:tcW w:w="785" w:type="pct"/>
            <w:tcBorders>
              <w:bottom w:val="single" w:sz="4" w:space="0" w:color="auto"/>
            </w:tcBorders>
            <w:noWrap/>
            <w:vAlign w:val="center"/>
          </w:tcPr>
          <w:p w14:paraId="3B2BC8D2" w14:textId="7C10F434" w:rsidR="00FB2C9B" w:rsidRPr="004B1DD3" w:rsidRDefault="00FB2C9B" w:rsidP="004A1D5A">
            <w:pPr>
              <w:pStyle w:val="Tabletext"/>
              <w:rPr>
                <w:sz w:val="18"/>
                <w:szCs w:val="18"/>
                <w:rtl/>
              </w:rPr>
            </w:pPr>
            <w:r w:rsidRPr="004B1DD3">
              <w:rPr>
                <w:sz w:val="18"/>
                <w:szCs w:val="18"/>
              </w:rPr>
              <w:t>SAUDISAT_19E_A</w:t>
            </w:r>
          </w:p>
        </w:tc>
        <w:tc>
          <w:tcPr>
            <w:tcW w:w="497" w:type="pct"/>
            <w:tcBorders>
              <w:bottom w:val="single" w:sz="4" w:space="0" w:color="auto"/>
            </w:tcBorders>
            <w:noWrap/>
            <w:vAlign w:val="center"/>
          </w:tcPr>
          <w:p w14:paraId="19C3F230" w14:textId="1959BFA4" w:rsidR="00FB2C9B" w:rsidRPr="004B1DD3" w:rsidRDefault="00FB2C9B" w:rsidP="004B1DD3">
            <w:pPr>
              <w:pStyle w:val="Tabletext"/>
              <w:jc w:val="center"/>
              <w:rPr>
                <w:sz w:val="18"/>
                <w:szCs w:val="18"/>
              </w:rPr>
            </w:pPr>
            <w:r w:rsidRPr="004B1DD3">
              <w:rPr>
                <w:sz w:val="18"/>
                <w:szCs w:val="18"/>
              </w:rPr>
              <w:t>125520159</w:t>
            </w:r>
          </w:p>
        </w:tc>
      </w:tr>
      <w:tr w:rsidR="00D06F87" w:rsidRPr="004B1DD3" w14:paraId="6B453981" w14:textId="77777777" w:rsidTr="004B1DD3">
        <w:trPr>
          <w:trHeight w:val="295"/>
          <w:jc w:val="center"/>
        </w:trPr>
        <w:tc>
          <w:tcPr>
            <w:tcW w:w="5000" w:type="pct"/>
            <w:gridSpan w:val="9"/>
            <w:tcBorders>
              <w:top w:val="single" w:sz="4" w:space="0" w:color="auto"/>
              <w:left w:val="nil"/>
              <w:bottom w:val="nil"/>
              <w:right w:val="nil"/>
            </w:tcBorders>
            <w:noWrap/>
            <w:vAlign w:val="center"/>
          </w:tcPr>
          <w:p w14:paraId="4C86D279" w14:textId="42FA45DC" w:rsidR="00D06F87" w:rsidRPr="004B1DD3" w:rsidRDefault="00D06F87" w:rsidP="00D06F87">
            <w:pPr>
              <w:pStyle w:val="Tablelegend"/>
              <w:tabs>
                <w:tab w:val="left" w:pos="284"/>
              </w:tabs>
              <w:rPr>
                <w:sz w:val="18"/>
                <w:szCs w:val="18"/>
              </w:rPr>
            </w:pPr>
            <w:r w:rsidRPr="004B1DD3">
              <w:rPr>
                <w:sz w:val="18"/>
                <w:szCs w:val="18"/>
                <w:lang w:bidi="ar-EG"/>
              </w:rPr>
              <w:t>*</w:t>
            </w:r>
            <w:r w:rsidRPr="004B1DD3">
              <w:rPr>
                <w:sz w:val="18"/>
                <w:szCs w:val="18"/>
                <w:lang w:bidi="ar-EG"/>
              </w:rPr>
              <w:tab/>
            </w:r>
            <w:r w:rsidRPr="004B1DD3">
              <w:rPr>
                <w:sz w:val="18"/>
                <w:szCs w:val="18"/>
                <w:lang w:bidi="ar-EG"/>
              </w:rPr>
              <w:t>Since the files are still being processed, the processing time has been calculated up to April 2026.</w:t>
            </w:r>
          </w:p>
        </w:tc>
      </w:tr>
    </w:tbl>
    <w:p w14:paraId="45DCAABF" w14:textId="4148D633" w:rsidR="00FB2C9B" w:rsidRPr="00AB7E18" w:rsidRDefault="00FB2C9B" w:rsidP="00D06F87">
      <w:pPr>
        <w:pStyle w:val="Tablefin"/>
        <w:rPr>
          <w:lang w:bidi="ar-EG"/>
        </w:rPr>
      </w:pPr>
    </w:p>
    <w:p w14:paraId="29AE781B" w14:textId="53B97769" w:rsidR="003E6DC1" w:rsidRPr="00AB7E18" w:rsidRDefault="003E6DC1" w:rsidP="00D06F87">
      <w:pPr>
        <w:jc w:val="both"/>
        <w:rPr>
          <w:lang w:bidi="ar-EG"/>
        </w:rPr>
      </w:pPr>
      <w:r w:rsidRPr="00AB7E18">
        <w:rPr>
          <w:lang w:bidi="ar-EG"/>
        </w:rPr>
        <w:t xml:space="preserve">Table 1 further provides practical examples demonstrating that both published and pending filings have experienced significant delays, confirming that the issue is ongoing and affects the entire processing cycle. These delays have direct regulatory implications, notably reducing the time available for administrations and operators to complete coordination procedures and bring networks into use within the required timeframe, thereby increasing the risk of non-compliance. The impact also extends to operational and investment aspects, including delays in deployment plans, reduced coordination opportunities, and increased uncertainty due to evolving technical and regulatory conditions. </w:t>
      </w:r>
    </w:p>
    <w:p w14:paraId="670B1591" w14:textId="5044C187" w:rsidR="004E2E4F" w:rsidRPr="00AB7E18" w:rsidRDefault="003E6DC1" w:rsidP="00D06F87">
      <w:pPr>
        <w:jc w:val="both"/>
        <w:rPr>
          <w:lang w:bidi="ar-EG"/>
        </w:rPr>
      </w:pPr>
      <w:r w:rsidRPr="00AB7E18">
        <w:rPr>
          <w:lang w:bidi="ar-EG"/>
        </w:rPr>
        <w:t>Financially, deferred revenues have reached significant levels, with many filings still pending invoicing, directly affecting cost-recovery mechanisms. Moreover, these constraints may also impact the Bureau’s ability to support other radiocommunication activities, including study groups and capacity-building efforts. Overall, this situation highlights the need for a comprehensive response to address both current challenges and the expected continued growth in demand for orbital and frequency resources.</w:t>
      </w:r>
    </w:p>
    <w:p w14:paraId="1AE2488F" w14:textId="367370EE" w:rsidR="001A1AA9" w:rsidRPr="00AB7E18" w:rsidRDefault="001A1AA9" w:rsidP="00400191">
      <w:pPr>
        <w:pStyle w:val="Headingb"/>
      </w:pPr>
      <w:r w:rsidRPr="00AB7E18">
        <w:t>Proposal</w:t>
      </w:r>
    </w:p>
    <w:p w14:paraId="4533410E" w14:textId="57B4F21F" w:rsidR="000D2A78" w:rsidRPr="00AB7E18" w:rsidRDefault="00AA6338" w:rsidP="00D06F87">
      <w:pPr>
        <w:keepNext/>
      </w:pPr>
      <w:proofErr w:type="gramStart"/>
      <w:r w:rsidRPr="00AB7E18">
        <w:t>In light of</w:t>
      </w:r>
      <w:proofErr w:type="gramEnd"/>
      <w:r w:rsidRPr="00AB7E18">
        <w:t xml:space="preserve"> the above, we propose that the Council:</w:t>
      </w:r>
    </w:p>
    <w:p w14:paraId="17DC29AE" w14:textId="622A5EAC" w:rsidR="00FB2C9B" w:rsidRPr="004B1DD3" w:rsidRDefault="00400191" w:rsidP="00D06F87">
      <w:pPr>
        <w:pStyle w:val="enumlev1"/>
        <w:jc w:val="both"/>
        <w:rPr>
          <w:spacing w:val="-2"/>
        </w:rPr>
      </w:pPr>
      <w:r w:rsidRPr="004B1DD3">
        <w:rPr>
          <w:spacing w:val="-2"/>
        </w:rPr>
        <w:t>1</w:t>
      </w:r>
      <w:r w:rsidRPr="004B1DD3">
        <w:rPr>
          <w:spacing w:val="-2"/>
        </w:rPr>
        <w:tab/>
      </w:r>
      <w:r w:rsidR="005A5765" w:rsidRPr="004B1DD3">
        <w:rPr>
          <w:spacing w:val="-2"/>
        </w:rPr>
        <w:t>t</w:t>
      </w:r>
      <w:r w:rsidR="000649FF" w:rsidRPr="004B1DD3">
        <w:rPr>
          <w:spacing w:val="-2"/>
        </w:rPr>
        <w:t>o e</w:t>
      </w:r>
      <w:r w:rsidR="00FB2C9B" w:rsidRPr="004B1DD3">
        <w:rPr>
          <w:spacing w:val="-2"/>
        </w:rPr>
        <w:t>nsure that all costs related to the SNF are recovered through SNF fees themselves, so sustaining the service without drawing from other ITU resources</w:t>
      </w:r>
      <w:r w:rsidR="000649FF" w:rsidRPr="004B1DD3">
        <w:rPr>
          <w:spacing w:val="-2"/>
        </w:rPr>
        <w:t xml:space="preserve"> as per PP Resolution 91</w:t>
      </w:r>
      <w:r w:rsidRPr="004B1DD3">
        <w:rPr>
          <w:spacing w:val="-2"/>
        </w:rPr>
        <w:t>;</w:t>
      </w:r>
    </w:p>
    <w:p w14:paraId="7437C4B6" w14:textId="3963932F" w:rsidR="00FB2C9B" w:rsidRPr="00400191" w:rsidRDefault="00400191" w:rsidP="00D06F87">
      <w:pPr>
        <w:pStyle w:val="enumlev1"/>
        <w:jc w:val="both"/>
      </w:pPr>
      <w:r w:rsidRPr="00AB7E18">
        <w:t>2</w:t>
      </w:r>
      <w:r w:rsidRPr="00AB7E18">
        <w:tab/>
      </w:r>
      <w:r w:rsidR="005A5765" w:rsidRPr="00400191">
        <w:t>t</w:t>
      </w:r>
      <w:r w:rsidR="000649FF" w:rsidRPr="00400191">
        <w:t>o e</w:t>
      </w:r>
      <w:r w:rsidR="00FB2C9B" w:rsidRPr="00400191">
        <w:t xml:space="preserve">nsure that the allocation of indirect costs remains clearly attributable, proportionate, and supported by verifiable allocation methodologies, consistent with the principles set out in </w:t>
      </w:r>
      <w:r w:rsidR="000649FF" w:rsidRPr="00400191">
        <w:t xml:space="preserve">PP </w:t>
      </w:r>
      <w:r w:rsidR="00FB2C9B" w:rsidRPr="00400191">
        <w:t>Resolution 91</w:t>
      </w:r>
      <w:r>
        <w:t>;</w:t>
      </w:r>
    </w:p>
    <w:p w14:paraId="0BBFFFA6" w14:textId="70D798F9" w:rsidR="00F05098" w:rsidRPr="00400191" w:rsidRDefault="00400191" w:rsidP="00D06F87">
      <w:pPr>
        <w:pStyle w:val="enumlev1"/>
        <w:jc w:val="both"/>
      </w:pPr>
      <w:r w:rsidRPr="00AB7E18">
        <w:t>3</w:t>
      </w:r>
      <w:r w:rsidRPr="00AB7E18">
        <w:tab/>
      </w:r>
      <w:r w:rsidR="005A5765" w:rsidRPr="00400191">
        <w:t>t</w:t>
      </w:r>
      <w:r w:rsidR="000649FF" w:rsidRPr="00400191">
        <w:t>o s</w:t>
      </w:r>
      <w:r w:rsidR="00F05098" w:rsidRPr="00400191">
        <w:t>upport that any adjustments to the free entitlement framework be targeted and proportionate, addressing potential misuse while preserving equitable access</w:t>
      </w:r>
      <w:r>
        <w:t>;</w:t>
      </w:r>
    </w:p>
    <w:p w14:paraId="18DEF72D" w14:textId="00368E1F" w:rsidR="00FB2C9B" w:rsidRPr="00400191" w:rsidRDefault="00400191" w:rsidP="00D06F87">
      <w:pPr>
        <w:pStyle w:val="enumlev1"/>
        <w:jc w:val="both"/>
      </w:pPr>
      <w:r w:rsidRPr="00AB7E18">
        <w:t>4</w:t>
      </w:r>
      <w:r w:rsidRPr="00AB7E18">
        <w:tab/>
      </w:r>
      <w:r w:rsidR="005A5765" w:rsidRPr="00400191">
        <w:t>t</w:t>
      </w:r>
      <w:r w:rsidR="000649FF" w:rsidRPr="00400191">
        <w:t>o i</w:t>
      </w:r>
      <w:r w:rsidR="00FB2C9B" w:rsidRPr="00400191">
        <w:t xml:space="preserve">nvites the Secretariat to further enhance the proposed methodology, combining activity-based costing with detailed workload analysis, to improve efficiency and ensure that fees reflect actual processing effort across different categories of filings; including </w:t>
      </w:r>
      <w:r w:rsidR="00FB2C9B" w:rsidRPr="00400191">
        <w:lastRenderedPageBreak/>
        <w:t xml:space="preserve">the provision of enhanced supporting data to the Council on demand forecasting, filing trends, and </w:t>
      </w:r>
      <w:r w:rsidR="005527FC" w:rsidRPr="00400191">
        <w:t>w</w:t>
      </w:r>
      <w:r w:rsidR="00FB2C9B" w:rsidRPr="00400191">
        <w:t xml:space="preserve">orkload evolution, particularly with respect to large </w:t>
      </w:r>
      <w:r>
        <w:t>non-</w:t>
      </w:r>
      <w:r w:rsidR="00FB2C9B" w:rsidRPr="00400191">
        <w:t>GSO systems and recent WRC decisions</w:t>
      </w:r>
      <w:r>
        <w:t>;</w:t>
      </w:r>
    </w:p>
    <w:p w14:paraId="4A976F3D" w14:textId="3C000C33" w:rsidR="00FB2C9B" w:rsidRPr="00400191" w:rsidRDefault="00400191" w:rsidP="00D06F87">
      <w:pPr>
        <w:pStyle w:val="enumlev1"/>
        <w:jc w:val="both"/>
      </w:pPr>
      <w:r w:rsidRPr="00AB7E18">
        <w:t>5</w:t>
      </w:r>
      <w:r w:rsidRPr="00AB7E18">
        <w:tab/>
      </w:r>
      <w:r w:rsidR="005A5765" w:rsidRPr="00400191">
        <w:t>t</w:t>
      </w:r>
      <w:r w:rsidR="00FB2C9B" w:rsidRPr="00400191">
        <w:t>o consider taking appropriate measures to address the growing impact on administrations resulting from delays in processing satellite network files, and to ensure their continued ability to comply with the regulatory requirements stipulated in the Radio Regulations</w:t>
      </w:r>
      <w:r>
        <w:t>;</w:t>
      </w:r>
    </w:p>
    <w:p w14:paraId="573BCD67" w14:textId="0B6BE45E" w:rsidR="00F05098" w:rsidRPr="00400191" w:rsidRDefault="00400191" w:rsidP="00D06F87">
      <w:pPr>
        <w:pStyle w:val="enumlev1"/>
        <w:jc w:val="both"/>
      </w:pPr>
      <w:r w:rsidRPr="00AB7E18">
        <w:t>6</w:t>
      </w:r>
      <w:r w:rsidRPr="00AB7E18">
        <w:tab/>
      </w:r>
      <w:r w:rsidR="00F05098" w:rsidRPr="00400191">
        <w:t xml:space="preserve">to support measures to address delays in the processing of satellite network filings, and to enable the </w:t>
      </w:r>
      <w:r w:rsidR="00DA6B9B" w:rsidRPr="00400191">
        <w:t>BR</w:t>
      </w:r>
      <w:r w:rsidR="00F05098" w:rsidRPr="00400191">
        <w:t xml:space="preserve"> to enhance its operational efficienc</w:t>
      </w:r>
      <w:r w:rsidR="000649FF" w:rsidRPr="00400191">
        <w:t xml:space="preserve">y including </w:t>
      </w:r>
      <w:r w:rsidR="00F05098" w:rsidRPr="00400191">
        <w:t>and restore a balance between workload and processing capacity</w:t>
      </w:r>
      <w:r>
        <w:t>;</w:t>
      </w:r>
    </w:p>
    <w:p w14:paraId="75D3B364" w14:textId="74FD6B01" w:rsidR="00400191" w:rsidRDefault="00400191" w:rsidP="00D06F87">
      <w:pPr>
        <w:pStyle w:val="enumlev1"/>
        <w:jc w:val="both"/>
      </w:pPr>
      <w:r w:rsidRPr="00AB7E18">
        <w:t>7</w:t>
      </w:r>
      <w:r w:rsidRPr="00AB7E18">
        <w:tab/>
      </w:r>
      <w:r w:rsidR="00F05098" w:rsidRPr="00400191">
        <w:t>to</w:t>
      </w:r>
      <w:r w:rsidR="00FB2C9B" w:rsidRPr="00400191">
        <w:t xml:space="preserve"> support the </w:t>
      </w:r>
      <w:r w:rsidR="00DA6B9B" w:rsidRPr="00400191">
        <w:t>BR</w:t>
      </w:r>
      <w:r w:rsidR="00FB2C9B" w:rsidRPr="00400191">
        <w:t>'s ability to address existing backlogs and move closer to compliance with regulatory requirements, thereby strengthening the stability of the international regulatory environment and serving the interests of Member States</w:t>
      </w:r>
      <w:r>
        <w:t>.</w:t>
      </w:r>
    </w:p>
    <w:p w14:paraId="03DFFEAF" w14:textId="47B33236" w:rsidR="005A5765" w:rsidRPr="00400191" w:rsidRDefault="005A5765" w:rsidP="00400191"/>
    <w:p w14:paraId="37C3A850" w14:textId="3935B8D8" w:rsidR="007A3FCD" w:rsidRPr="00C0458D" w:rsidRDefault="007A3FCD" w:rsidP="005A5765">
      <w:pPr>
        <w:pStyle w:val="ListParagraph"/>
        <w:tabs>
          <w:tab w:val="clear" w:pos="567"/>
          <w:tab w:val="clear" w:pos="1134"/>
          <w:tab w:val="clear" w:pos="1701"/>
          <w:tab w:val="clear" w:pos="2268"/>
          <w:tab w:val="clear" w:pos="2835"/>
        </w:tabs>
        <w:overflowPunct/>
        <w:autoSpaceDE/>
        <w:autoSpaceDN/>
        <w:adjustRightInd/>
        <w:spacing w:before="0" w:after="160" w:line="259" w:lineRule="auto"/>
        <w:jc w:val="center"/>
        <w:textAlignment w:val="auto"/>
      </w:pPr>
      <w:r>
        <w:t>______________</w:t>
      </w:r>
    </w:p>
    <w:sectPr w:rsidR="007A3FCD" w:rsidRPr="00C0458D"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63C4" w14:textId="77777777" w:rsidR="00050879" w:rsidRDefault="00050879">
      <w:r>
        <w:separator/>
      </w:r>
    </w:p>
  </w:endnote>
  <w:endnote w:type="continuationSeparator" w:id="0">
    <w:p w14:paraId="0117A432" w14:textId="77777777" w:rsidR="00050879" w:rsidRDefault="0005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42469C">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715F125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5E4D30">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0FAB3B16" w14:textId="249043F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5E4D30">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13E0" w14:textId="77777777" w:rsidR="00050879" w:rsidRDefault="00050879">
      <w:r>
        <w:t>____________________</w:t>
      </w:r>
    </w:p>
  </w:footnote>
  <w:footnote w:type="continuationSeparator" w:id="0">
    <w:p w14:paraId="060BCC35" w14:textId="77777777" w:rsidR="00050879" w:rsidRDefault="0005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DA4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EA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E4D2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1061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F41F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067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8F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EA1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929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62C7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33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390FFA"/>
    <w:multiLevelType w:val="hybridMultilevel"/>
    <w:tmpl w:val="E7B01226"/>
    <w:lvl w:ilvl="0" w:tplc="6F8C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60A90"/>
    <w:multiLevelType w:val="hybridMultilevel"/>
    <w:tmpl w:val="47E69644"/>
    <w:lvl w:ilvl="0" w:tplc="68389B5A">
      <w:start w:val="1"/>
      <w:numFmt w:val="arabicAlpha"/>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41BA7"/>
    <w:multiLevelType w:val="hybridMultilevel"/>
    <w:tmpl w:val="7978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A13D7"/>
    <w:multiLevelType w:val="hybridMultilevel"/>
    <w:tmpl w:val="FF621CDE"/>
    <w:lvl w:ilvl="0" w:tplc="D92E6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B5845"/>
    <w:multiLevelType w:val="hybridMultilevel"/>
    <w:tmpl w:val="2A2E7ECC"/>
    <w:lvl w:ilvl="0" w:tplc="802EC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463864">
    <w:abstractNumId w:val="9"/>
  </w:num>
  <w:num w:numId="2" w16cid:durableId="1918514372">
    <w:abstractNumId w:val="13"/>
  </w:num>
  <w:num w:numId="3" w16cid:durableId="1888295892">
    <w:abstractNumId w:val="15"/>
  </w:num>
  <w:num w:numId="4" w16cid:durableId="1688559011">
    <w:abstractNumId w:val="11"/>
  </w:num>
  <w:num w:numId="5" w16cid:durableId="1305234336">
    <w:abstractNumId w:val="12"/>
  </w:num>
  <w:num w:numId="6" w16cid:durableId="1864901266">
    <w:abstractNumId w:val="14"/>
  </w:num>
  <w:num w:numId="7" w16cid:durableId="453986788">
    <w:abstractNumId w:val="10"/>
  </w:num>
  <w:num w:numId="8" w16cid:durableId="1128160473">
    <w:abstractNumId w:val="7"/>
  </w:num>
  <w:num w:numId="9" w16cid:durableId="24260328">
    <w:abstractNumId w:val="6"/>
  </w:num>
  <w:num w:numId="10" w16cid:durableId="1526209343">
    <w:abstractNumId w:val="5"/>
  </w:num>
  <w:num w:numId="11" w16cid:durableId="1615401442">
    <w:abstractNumId w:val="4"/>
  </w:num>
  <w:num w:numId="12" w16cid:durableId="1509296352">
    <w:abstractNumId w:val="8"/>
  </w:num>
  <w:num w:numId="13" w16cid:durableId="165872654">
    <w:abstractNumId w:val="3"/>
  </w:num>
  <w:num w:numId="14" w16cid:durableId="675305596">
    <w:abstractNumId w:val="2"/>
  </w:num>
  <w:num w:numId="15" w16cid:durableId="1454900717">
    <w:abstractNumId w:val="1"/>
  </w:num>
  <w:num w:numId="16" w16cid:durableId="1192457533">
    <w:abstractNumId w:val="0"/>
  </w:num>
  <w:num w:numId="17" w16cid:durableId="566040533">
    <w:abstractNumId w:val="8"/>
  </w:num>
  <w:num w:numId="18" w16cid:durableId="1586264979">
    <w:abstractNumId w:val="3"/>
  </w:num>
  <w:num w:numId="19" w16cid:durableId="603077429">
    <w:abstractNumId w:val="2"/>
  </w:num>
  <w:num w:numId="20" w16cid:durableId="737214990">
    <w:abstractNumId w:val="1"/>
  </w:num>
  <w:num w:numId="21" w16cid:durableId="1652785136">
    <w:abstractNumId w:val="0"/>
  </w:num>
  <w:num w:numId="22" w16cid:durableId="478546560">
    <w:abstractNumId w:val="8"/>
  </w:num>
  <w:num w:numId="23" w16cid:durableId="2029015617">
    <w:abstractNumId w:val="3"/>
  </w:num>
  <w:num w:numId="24" w16cid:durableId="971593841">
    <w:abstractNumId w:val="2"/>
  </w:num>
  <w:num w:numId="25" w16cid:durableId="1465151061">
    <w:abstractNumId w:val="1"/>
  </w:num>
  <w:num w:numId="26" w16cid:durableId="1001158549">
    <w:abstractNumId w:val="0"/>
  </w:num>
  <w:num w:numId="27" w16cid:durableId="471875021">
    <w:abstractNumId w:val="8"/>
  </w:num>
  <w:num w:numId="28" w16cid:durableId="562764483">
    <w:abstractNumId w:val="3"/>
  </w:num>
  <w:num w:numId="29" w16cid:durableId="334694540">
    <w:abstractNumId w:val="2"/>
  </w:num>
  <w:num w:numId="30" w16cid:durableId="1938782554">
    <w:abstractNumId w:val="1"/>
  </w:num>
  <w:num w:numId="31" w16cid:durableId="208892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210D4"/>
    <w:rsid w:val="0003795C"/>
    <w:rsid w:val="00050879"/>
    <w:rsid w:val="0006007D"/>
    <w:rsid w:val="00063016"/>
    <w:rsid w:val="000649FF"/>
    <w:rsid w:val="00066795"/>
    <w:rsid w:val="00076AF6"/>
    <w:rsid w:val="00085CF2"/>
    <w:rsid w:val="000B062D"/>
    <w:rsid w:val="000B1705"/>
    <w:rsid w:val="000D2A78"/>
    <w:rsid w:val="000D75B2"/>
    <w:rsid w:val="000E372C"/>
    <w:rsid w:val="000F5DDB"/>
    <w:rsid w:val="001121F5"/>
    <w:rsid w:val="001400DC"/>
    <w:rsid w:val="00140CE1"/>
    <w:rsid w:val="0015189A"/>
    <w:rsid w:val="0017539C"/>
    <w:rsid w:val="00175AC2"/>
    <w:rsid w:val="0017609F"/>
    <w:rsid w:val="00176F47"/>
    <w:rsid w:val="0018402B"/>
    <w:rsid w:val="001A1AA9"/>
    <w:rsid w:val="001A3154"/>
    <w:rsid w:val="001A45E2"/>
    <w:rsid w:val="001A7D1D"/>
    <w:rsid w:val="001B51DD"/>
    <w:rsid w:val="001C628E"/>
    <w:rsid w:val="001C7992"/>
    <w:rsid w:val="001E0F7B"/>
    <w:rsid w:val="001F5569"/>
    <w:rsid w:val="0020487B"/>
    <w:rsid w:val="002119FD"/>
    <w:rsid w:val="002130E0"/>
    <w:rsid w:val="00221F46"/>
    <w:rsid w:val="002278FD"/>
    <w:rsid w:val="00246C92"/>
    <w:rsid w:val="00264425"/>
    <w:rsid w:val="00265875"/>
    <w:rsid w:val="0027303B"/>
    <w:rsid w:val="002747A7"/>
    <w:rsid w:val="00277DEA"/>
    <w:rsid w:val="0028109B"/>
    <w:rsid w:val="002916B4"/>
    <w:rsid w:val="002A0615"/>
    <w:rsid w:val="002A133E"/>
    <w:rsid w:val="002A2188"/>
    <w:rsid w:val="002B083C"/>
    <w:rsid w:val="002B1F58"/>
    <w:rsid w:val="002C1C7A"/>
    <w:rsid w:val="002C3F32"/>
    <w:rsid w:val="002C54E2"/>
    <w:rsid w:val="0030160F"/>
    <w:rsid w:val="00307543"/>
    <w:rsid w:val="00320223"/>
    <w:rsid w:val="00320FA4"/>
    <w:rsid w:val="00322D0D"/>
    <w:rsid w:val="00361465"/>
    <w:rsid w:val="003845D3"/>
    <w:rsid w:val="003877F5"/>
    <w:rsid w:val="003936D3"/>
    <w:rsid w:val="003942D4"/>
    <w:rsid w:val="003958A8"/>
    <w:rsid w:val="003B29C2"/>
    <w:rsid w:val="003B4FAF"/>
    <w:rsid w:val="003C2533"/>
    <w:rsid w:val="003C56A5"/>
    <w:rsid w:val="003D5A7F"/>
    <w:rsid w:val="003E6DC1"/>
    <w:rsid w:val="003F0228"/>
    <w:rsid w:val="00400191"/>
    <w:rsid w:val="00402CF2"/>
    <w:rsid w:val="0040435A"/>
    <w:rsid w:val="00416A24"/>
    <w:rsid w:val="00431D9E"/>
    <w:rsid w:val="00433CE8"/>
    <w:rsid w:val="00434A5C"/>
    <w:rsid w:val="00453079"/>
    <w:rsid w:val="004544D9"/>
    <w:rsid w:val="00465C35"/>
    <w:rsid w:val="0047240D"/>
    <w:rsid w:val="00472BAD"/>
    <w:rsid w:val="00484009"/>
    <w:rsid w:val="00490E72"/>
    <w:rsid w:val="00491157"/>
    <w:rsid w:val="00491BA9"/>
    <w:rsid w:val="004921C8"/>
    <w:rsid w:val="0049369C"/>
    <w:rsid w:val="00495615"/>
    <w:rsid w:val="00495B0B"/>
    <w:rsid w:val="004A1B8B"/>
    <w:rsid w:val="004A1D5A"/>
    <w:rsid w:val="004B1DD3"/>
    <w:rsid w:val="004D1851"/>
    <w:rsid w:val="004D599D"/>
    <w:rsid w:val="004E1788"/>
    <w:rsid w:val="004E2E4F"/>
    <w:rsid w:val="004E2EA5"/>
    <w:rsid w:val="004E3AEB"/>
    <w:rsid w:val="0050223C"/>
    <w:rsid w:val="00512087"/>
    <w:rsid w:val="00514505"/>
    <w:rsid w:val="005243FF"/>
    <w:rsid w:val="005527FC"/>
    <w:rsid w:val="00564FBC"/>
    <w:rsid w:val="005800BC"/>
    <w:rsid w:val="00582442"/>
    <w:rsid w:val="005A5765"/>
    <w:rsid w:val="005E4D30"/>
    <w:rsid w:val="005F3269"/>
    <w:rsid w:val="0061071E"/>
    <w:rsid w:val="00623AE3"/>
    <w:rsid w:val="0064737F"/>
    <w:rsid w:val="00652345"/>
    <w:rsid w:val="006535F1"/>
    <w:rsid w:val="0065557D"/>
    <w:rsid w:val="00660D50"/>
    <w:rsid w:val="00662984"/>
    <w:rsid w:val="00667647"/>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7E37B6"/>
    <w:rsid w:val="007E7C39"/>
    <w:rsid w:val="007F26FB"/>
    <w:rsid w:val="00813E5E"/>
    <w:rsid w:val="00815787"/>
    <w:rsid w:val="00821CDC"/>
    <w:rsid w:val="0083581B"/>
    <w:rsid w:val="00837489"/>
    <w:rsid w:val="00843252"/>
    <w:rsid w:val="0084546D"/>
    <w:rsid w:val="00863874"/>
    <w:rsid w:val="00864AFF"/>
    <w:rsid w:val="00865925"/>
    <w:rsid w:val="008B4A6A"/>
    <w:rsid w:val="008C380E"/>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83E9A"/>
    <w:rsid w:val="00A849E3"/>
    <w:rsid w:val="00A94BAB"/>
    <w:rsid w:val="00AA6338"/>
    <w:rsid w:val="00AB7E18"/>
    <w:rsid w:val="00AD15B3"/>
    <w:rsid w:val="00AD3606"/>
    <w:rsid w:val="00AD4A3D"/>
    <w:rsid w:val="00AE0A0E"/>
    <w:rsid w:val="00AF6E49"/>
    <w:rsid w:val="00B04A67"/>
    <w:rsid w:val="00B0583C"/>
    <w:rsid w:val="00B40A81"/>
    <w:rsid w:val="00B44910"/>
    <w:rsid w:val="00B72267"/>
    <w:rsid w:val="00B76EB6"/>
    <w:rsid w:val="00B7737B"/>
    <w:rsid w:val="00B824C8"/>
    <w:rsid w:val="00B84B9D"/>
    <w:rsid w:val="00B8597E"/>
    <w:rsid w:val="00B9131F"/>
    <w:rsid w:val="00B9164C"/>
    <w:rsid w:val="00B9286D"/>
    <w:rsid w:val="00BB0646"/>
    <w:rsid w:val="00BC251A"/>
    <w:rsid w:val="00BC4A20"/>
    <w:rsid w:val="00BD032B"/>
    <w:rsid w:val="00BE01C6"/>
    <w:rsid w:val="00BE2640"/>
    <w:rsid w:val="00BF1FDE"/>
    <w:rsid w:val="00BF474C"/>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322F"/>
    <w:rsid w:val="00D06183"/>
    <w:rsid w:val="00D06F87"/>
    <w:rsid w:val="00D22C42"/>
    <w:rsid w:val="00D33826"/>
    <w:rsid w:val="00D65041"/>
    <w:rsid w:val="00D83AEC"/>
    <w:rsid w:val="00DA6B9B"/>
    <w:rsid w:val="00DB1936"/>
    <w:rsid w:val="00DB384B"/>
    <w:rsid w:val="00DE532B"/>
    <w:rsid w:val="00DF0189"/>
    <w:rsid w:val="00E06FD5"/>
    <w:rsid w:val="00E10E80"/>
    <w:rsid w:val="00E124F0"/>
    <w:rsid w:val="00E17AD3"/>
    <w:rsid w:val="00E227F3"/>
    <w:rsid w:val="00E545C6"/>
    <w:rsid w:val="00E60F04"/>
    <w:rsid w:val="00E65B24"/>
    <w:rsid w:val="00E854E4"/>
    <w:rsid w:val="00E86DBF"/>
    <w:rsid w:val="00E969AF"/>
    <w:rsid w:val="00EB0D6F"/>
    <w:rsid w:val="00EB2232"/>
    <w:rsid w:val="00EC5337"/>
    <w:rsid w:val="00EE49E8"/>
    <w:rsid w:val="00EF2E0D"/>
    <w:rsid w:val="00F05098"/>
    <w:rsid w:val="00F16BAB"/>
    <w:rsid w:val="00F2150A"/>
    <w:rsid w:val="00F231D8"/>
    <w:rsid w:val="00F27212"/>
    <w:rsid w:val="00F44C00"/>
    <w:rsid w:val="00F45D2C"/>
    <w:rsid w:val="00F46C5F"/>
    <w:rsid w:val="00F632C0"/>
    <w:rsid w:val="00F641E1"/>
    <w:rsid w:val="00F94A63"/>
    <w:rsid w:val="00FA1C28"/>
    <w:rsid w:val="00FA2D7B"/>
    <w:rsid w:val="00FB1279"/>
    <w:rsid w:val="00FB2C9B"/>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6ADDF"/>
  <w15:docId w15:val="{71D14934-2434-46B7-90F1-46CABA0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FA4"/>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E7C39"/>
    <w:pPr>
      <w:framePr w:hSpace="181" w:wrap="around" w:vAnchor="page" w:hAnchor="page" w:x="1589" w:y="2314"/>
      <w:spacing w:before="840"/>
      <w:ind w:right="-57"/>
    </w:pPr>
    <w:rPr>
      <w:rFonts w:cs="Times New Roman Bold"/>
      <w:b/>
      <w:spacing w:val="-2"/>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link w:val="FiguretitleChar"/>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514505"/>
    <w:pPr>
      <w:keepNext/>
      <w:spacing w:before="560" w:after="120"/>
      <w:jc w:val="center"/>
    </w:pPr>
    <w:rPr>
      <w:caps/>
      <w:sz w:val="22"/>
    </w:rPr>
  </w:style>
  <w:style w:type="paragraph" w:customStyle="1" w:styleId="Tabletext">
    <w:name w:val="Table_text"/>
    <w:basedOn w:val="Normal"/>
    <w:rsid w:val="004A1D5A"/>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4A1D5A"/>
    <w:pPr>
      <w:keepNext/>
      <w:keepLines/>
      <w:spacing w:before="480"/>
      <w:jc w:val="center"/>
    </w:pPr>
    <w:rPr>
      <w:caps/>
      <w:sz w:val="22"/>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4A1D5A"/>
    <w:pPr>
      <w:spacing w:before="80" w:after="80"/>
      <w:jc w:val="center"/>
    </w:pPr>
    <w:rPr>
      <w:b/>
    </w:rPr>
  </w:style>
  <w:style w:type="paragraph" w:customStyle="1" w:styleId="Tablelegend">
    <w:name w:val="Table_legend"/>
    <w:basedOn w:val="Tabletext"/>
    <w:rsid w:val="004A1D5A"/>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837489"/>
    <w:pPr>
      <w:ind w:left="720"/>
      <w:contextualSpacing/>
    </w:pPr>
  </w:style>
  <w:style w:type="paragraph" w:styleId="Caption">
    <w:name w:val="caption"/>
    <w:basedOn w:val="Normal"/>
    <w:next w:val="Normal"/>
    <w:unhideWhenUsed/>
    <w:qFormat/>
    <w:rsid w:val="00320FA4"/>
    <w:pPr>
      <w:spacing w:before="0" w:after="200"/>
    </w:pPr>
    <w:rPr>
      <w:i/>
      <w:iCs/>
      <w:color w:val="1F497D" w:themeColor="text2"/>
      <w:sz w:val="18"/>
      <w:szCs w:val="18"/>
    </w:rPr>
  </w:style>
  <w:style w:type="character" w:customStyle="1" w:styleId="FiguretitleChar">
    <w:name w:val="Figure_title Char"/>
    <w:basedOn w:val="DefaultParagraphFont"/>
    <w:link w:val="Figuretitle"/>
    <w:rsid w:val="00320FA4"/>
    <w:rPr>
      <w:rFonts w:ascii="Calibri" w:hAnsi="Calibri"/>
      <w:b/>
      <w:sz w:val="24"/>
      <w:lang w:val="en-GB" w:eastAsia="en-US"/>
    </w:rPr>
  </w:style>
  <w:style w:type="paragraph" w:styleId="Revision">
    <w:name w:val="Revision"/>
    <w:hidden/>
    <w:uiPriority w:val="99"/>
    <w:semiHidden/>
    <w:rsid w:val="0047240D"/>
    <w:rPr>
      <w:rFonts w:ascii="Calibri" w:hAnsi="Calibri"/>
      <w:sz w:val="24"/>
      <w:lang w:val="en-GB" w:eastAsia="en-US"/>
    </w:rPr>
  </w:style>
  <w:style w:type="paragraph" w:customStyle="1" w:styleId="Figurewithlegend">
    <w:name w:val="Figure_with_legend"/>
    <w:basedOn w:val="Figure"/>
    <w:rsid w:val="000B062D"/>
    <w:pPr>
      <w:keepNext/>
      <w:keepLines/>
      <w:spacing w:after="0"/>
    </w:pPr>
    <w:rPr>
      <w:noProof/>
    </w:rPr>
  </w:style>
  <w:style w:type="paragraph" w:customStyle="1" w:styleId="Tablefin">
    <w:name w:val="Table_fin"/>
    <w:basedOn w:val="Tabletext"/>
    <w:rsid w:val="00514505"/>
    <w:pPr>
      <w:spacing w:before="0"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8221">
      <w:bodyDiv w:val="1"/>
      <w:marLeft w:val="0"/>
      <w:marRight w:val="0"/>
      <w:marTop w:val="0"/>
      <w:marBottom w:val="0"/>
      <w:divBdr>
        <w:top w:val="none" w:sz="0" w:space="0" w:color="auto"/>
        <w:left w:val="none" w:sz="0" w:space="0" w:color="auto"/>
        <w:bottom w:val="none" w:sz="0" w:space="0" w:color="auto"/>
        <w:right w:val="none" w:sz="0" w:space="0" w:color="auto"/>
      </w:divBdr>
    </w:div>
    <w:div w:id="744037421">
      <w:bodyDiv w:val="1"/>
      <w:marLeft w:val="0"/>
      <w:marRight w:val="0"/>
      <w:marTop w:val="0"/>
      <w:marBottom w:val="0"/>
      <w:divBdr>
        <w:top w:val="none" w:sz="0" w:space="0" w:color="auto"/>
        <w:left w:val="none" w:sz="0" w:space="0" w:color="auto"/>
        <w:bottom w:val="none" w:sz="0" w:space="0" w:color="auto"/>
        <w:right w:val="none" w:sz="0" w:space="0" w:color="auto"/>
      </w:divBdr>
    </w:div>
    <w:div w:id="1395078113">
      <w:bodyDiv w:val="1"/>
      <w:marLeft w:val="0"/>
      <w:marRight w:val="0"/>
      <w:marTop w:val="0"/>
      <w:marBottom w:val="0"/>
      <w:divBdr>
        <w:top w:val="none" w:sz="0" w:space="0" w:color="auto"/>
        <w:left w:val="none" w:sz="0" w:space="0" w:color="auto"/>
        <w:bottom w:val="none" w:sz="0" w:space="0" w:color="auto"/>
        <w:right w:val="none" w:sz="0" w:space="0" w:color="auto"/>
      </w:divBdr>
      <w:divsChild>
        <w:div w:id="2088531310">
          <w:marLeft w:val="0"/>
          <w:marRight w:val="0"/>
          <w:marTop w:val="0"/>
          <w:marBottom w:val="0"/>
          <w:divBdr>
            <w:top w:val="none" w:sz="0" w:space="0" w:color="auto"/>
            <w:left w:val="none" w:sz="0" w:space="0" w:color="auto"/>
            <w:bottom w:val="none" w:sz="0" w:space="0" w:color="auto"/>
            <w:right w:val="none" w:sz="0" w:space="0" w:color="auto"/>
          </w:divBdr>
          <w:divsChild>
            <w:div w:id="1350136113">
              <w:marLeft w:val="0"/>
              <w:marRight w:val="0"/>
              <w:marTop w:val="0"/>
              <w:marBottom w:val="0"/>
              <w:divBdr>
                <w:top w:val="none" w:sz="0" w:space="0" w:color="auto"/>
                <w:left w:val="none" w:sz="0" w:space="0" w:color="auto"/>
                <w:bottom w:val="none" w:sz="0" w:space="0" w:color="auto"/>
                <w:right w:val="none" w:sz="0" w:space="0" w:color="auto"/>
              </w:divBdr>
              <w:divsChild>
                <w:div w:id="1767649255">
                  <w:marLeft w:val="0"/>
                  <w:marRight w:val="0"/>
                  <w:marTop w:val="0"/>
                  <w:marBottom w:val="0"/>
                  <w:divBdr>
                    <w:top w:val="none" w:sz="0" w:space="0" w:color="auto"/>
                    <w:left w:val="none" w:sz="0" w:space="0" w:color="auto"/>
                    <w:bottom w:val="none" w:sz="0" w:space="0" w:color="auto"/>
                    <w:right w:val="none" w:sz="0" w:space="0" w:color="auto"/>
                  </w:divBdr>
                  <w:divsChild>
                    <w:div w:id="1829053829">
                      <w:marLeft w:val="0"/>
                      <w:marRight w:val="0"/>
                      <w:marTop w:val="0"/>
                      <w:marBottom w:val="0"/>
                      <w:divBdr>
                        <w:top w:val="none" w:sz="0" w:space="0" w:color="auto"/>
                        <w:left w:val="none" w:sz="0" w:space="0" w:color="auto"/>
                        <w:bottom w:val="none" w:sz="0" w:space="0" w:color="auto"/>
                        <w:right w:val="none" w:sz="0" w:space="0" w:color="auto"/>
                      </w:divBdr>
                      <w:divsChild>
                        <w:div w:id="1607425961">
                          <w:marLeft w:val="0"/>
                          <w:marRight w:val="0"/>
                          <w:marTop w:val="0"/>
                          <w:marBottom w:val="0"/>
                          <w:divBdr>
                            <w:top w:val="none" w:sz="0" w:space="0" w:color="auto"/>
                            <w:left w:val="none" w:sz="0" w:space="0" w:color="auto"/>
                            <w:bottom w:val="none" w:sz="0" w:space="0" w:color="auto"/>
                            <w:right w:val="none" w:sz="0" w:space="0" w:color="auto"/>
                          </w:divBdr>
                          <w:divsChild>
                            <w:div w:id="1524782986">
                              <w:marLeft w:val="0"/>
                              <w:marRight w:val="0"/>
                              <w:marTop w:val="0"/>
                              <w:marBottom w:val="0"/>
                              <w:divBdr>
                                <w:top w:val="none" w:sz="0" w:space="0" w:color="auto"/>
                                <w:left w:val="none" w:sz="0" w:space="0" w:color="auto"/>
                                <w:bottom w:val="none" w:sz="0" w:space="0" w:color="auto"/>
                                <w:right w:val="none" w:sz="0" w:space="0" w:color="auto"/>
                              </w:divBdr>
                              <w:divsChild>
                                <w:div w:id="51740289">
                                  <w:marLeft w:val="0"/>
                                  <w:marRight w:val="0"/>
                                  <w:marTop w:val="0"/>
                                  <w:marBottom w:val="0"/>
                                  <w:divBdr>
                                    <w:top w:val="none" w:sz="0" w:space="0" w:color="auto"/>
                                    <w:left w:val="none" w:sz="0" w:space="0" w:color="auto"/>
                                    <w:bottom w:val="none" w:sz="0" w:space="0" w:color="auto"/>
                                    <w:right w:val="none" w:sz="0" w:space="0" w:color="auto"/>
                                  </w:divBdr>
                                  <w:divsChild>
                                    <w:div w:id="1501194514">
                                      <w:marLeft w:val="0"/>
                                      <w:marRight w:val="0"/>
                                      <w:marTop w:val="0"/>
                                      <w:marBottom w:val="0"/>
                                      <w:divBdr>
                                        <w:top w:val="none" w:sz="0" w:space="0" w:color="auto"/>
                                        <w:left w:val="none" w:sz="0" w:space="0" w:color="auto"/>
                                        <w:bottom w:val="none" w:sz="0" w:space="0" w:color="auto"/>
                                        <w:right w:val="none" w:sz="0" w:space="0" w:color="auto"/>
                                      </w:divBdr>
                                      <w:divsChild>
                                        <w:div w:id="5969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33938">
          <w:marLeft w:val="0"/>
          <w:marRight w:val="0"/>
          <w:marTop w:val="0"/>
          <w:marBottom w:val="0"/>
          <w:divBdr>
            <w:top w:val="none" w:sz="0" w:space="0" w:color="auto"/>
            <w:left w:val="none" w:sz="0" w:space="0" w:color="auto"/>
            <w:bottom w:val="none" w:sz="0" w:space="0" w:color="auto"/>
            <w:right w:val="none" w:sz="0" w:space="0" w:color="auto"/>
          </w:divBdr>
          <w:divsChild>
            <w:div w:id="1887254629">
              <w:marLeft w:val="0"/>
              <w:marRight w:val="0"/>
              <w:marTop w:val="0"/>
              <w:marBottom w:val="0"/>
              <w:divBdr>
                <w:top w:val="none" w:sz="0" w:space="0" w:color="auto"/>
                <w:left w:val="none" w:sz="0" w:space="0" w:color="auto"/>
                <w:bottom w:val="none" w:sz="0" w:space="0" w:color="auto"/>
                <w:right w:val="none" w:sz="0" w:space="0" w:color="auto"/>
              </w:divBdr>
              <w:divsChild>
                <w:div w:id="118374978">
                  <w:marLeft w:val="0"/>
                  <w:marRight w:val="0"/>
                  <w:marTop w:val="0"/>
                  <w:marBottom w:val="0"/>
                  <w:divBdr>
                    <w:top w:val="none" w:sz="0" w:space="0" w:color="auto"/>
                    <w:left w:val="none" w:sz="0" w:space="0" w:color="auto"/>
                    <w:bottom w:val="none" w:sz="0" w:space="0" w:color="auto"/>
                    <w:right w:val="none" w:sz="0" w:space="0" w:color="auto"/>
                  </w:divBdr>
                  <w:divsChild>
                    <w:div w:id="877547402">
                      <w:marLeft w:val="0"/>
                      <w:marRight w:val="0"/>
                      <w:marTop w:val="0"/>
                      <w:marBottom w:val="0"/>
                      <w:divBdr>
                        <w:top w:val="none" w:sz="0" w:space="0" w:color="auto"/>
                        <w:left w:val="none" w:sz="0" w:space="0" w:color="auto"/>
                        <w:bottom w:val="none" w:sz="0" w:space="0" w:color="auto"/>
                        <w:right w:val="none" w:sz="0" w:space="0" w:color="auto"/>
                      </w:divBdr>
                      <w:divsChild>
                        <w:div w:id="256132319">
                          <w:marLeft w:val="0"/>
                          <w:marRight w:val="0"/>
                          <w:marTop w:val="0"/>
                          <w:marBottom w:val="0"/>
                          <w:divBdr>
                            <w:top w:val="none" w:sz="0" w:space="0" w:color="auto"/>
                            <w:left w:val="none" w:sz="0" w:space="0" w:color="auto"/>
                            <w:bottom w:val="none" w:sz="0" w:space="0" w:color="auto"/>
                            <w:right w:val="none" w:sz="0" w:space="0" w:color="auto"/>
                          </w:divBdr>
                          <w:divsChild>
                            <w:div w:id="396707438">
                              <w:marLeft w:val="0"/>
                              <w:marRight w:val="0"/>
                              <w:marTop w:val="0"/>
                              <w:marBottom w:val="0"/>
                              <w:divBdr>
                                <w:top w:val="none" w:sz="0" w:space="0" w:color="auto"/>
                                <w:left w:val="none" w:sz="0" w:space="0" w:color="auto"/>
                                <w:bottom w:val="none" w:sz="0" w:space="0" w:color="auto"/>
                                <w:right w:val="none" w:sz="0" w:space="0" w:color="auto"/>
                              </w:divBdr>
                              <w:divsChild>
                                <w:div w:id="2018388368">
                                  <w:marLeft w:val="0"/>
                                  <w:marRight w:val="0"/>
                                  <w:marTop w:val="0"/>
                                  <w:marBottom w:val="0"/>
                                  <w:divBdr>
                                    <w:top w:val="none" w:sz="0" w:space="0" w:color="auto"/>
                                    <w:left w:val="none" w:sz="0" w:space="0" w:color="auto"/>
                                    <w:bottom w:val="none" w:sz="0" w:space="0" w:color="auto"/>
                                    <w:right w:val="none" w:sz="0" w:space="0" w:color="auto"/>
                                  </w:divBdr>
                                  <w:divsChild>
                                    <w:div w:id="292179409">
                                      <w:marLeft w:val="0"/>
                                      <w:marRight w:val="0"/>
                                      <w:marTop w:val="0"/>
                                      <w:marBottom w:val="0"/>
                                      <w:divBdr>
                                        <w:top w:val="none" w:sz="0" w:space="0" w:color="auto"/>
                                        <w:left w:val="none" w:sz="0" w:space="0" w:color="auto"/>
                                        <w:bottom w:val="none" w:sz="0" w:space="0" w:color="auto"/>
                                        <w:right w:val="none" w:sz="0" w:space="0" w:color="auto"/>
                                      </w:divBdr>
                                      <w:divsChild>
                                        <w:div w:id="1063992638">
                                          <w:marLeft w:val="0"/>
                                          <w:marRight w:val="0"/>
                                          <w:marTop w:val="0"/>
                                          <w:marBottom w:val="0"/>
                                          <w:divBdr>
                                            <w:top w:val="none" w:sz="0" w:space="0" w:color="auto"/>
                                            <w:left w:val="none" w:sz="0" w:space="0" w:color="auto"/>
                                            <w:bottom w:val="none" w:sz="0" w:space="0" w:color="auto"/>
                                            <w:right w:val="none" w:sz="0" w:space="0" w:color="auto"/>
                                          </w:divBdr>
                                          <w:divsChild>
                                            <w:div w:id="1209100223">
                                              <w:marLeft w:val="0"/>
                                              <w:marRight w:val="0"/>
                                              <w:marTop w:val="0"/>
                                              <w:marBottom w:val="0"/>
                                              <w:divBdr>
                                                <w:top w:val="none" w:sz="0" w:space="0" w:color="auto"/>
                                                <w:left w:val="none" w:sz="0" w:space="0" w:color="auto"/>
                                                <w:bottom w:val="none" w:sz="0" w:space="0" w:color="auto"/>
                                                <w:right w:val="none" w:sz="0" w:space="0" w:color="auto"/>
                                              </w:divBdr>
                                              <w:divsChild>
                                                <w:div w:id="7836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02819">
      <w:bodyDiv w:val="1"/>
      <w:marLeft w:val="0"/>
      <w:marRight w:val="0"/>
      <w:marTop w:val="0"/>
      <w:marBottom w:val="0"/>
      <w:divBdr>
        <w:top w:val="none" w:sz="0" w:space="0" w:color="auto"/>
        <w:left w:val="none" w:sz="0" w:space="0" w:color="auto"/>
        <w:bottom w:val="none" w:sz="0" w:space="0" w:color="auto"/>
        <w:right w:val="none" w:sz="0" w:space="0" w:color="auto"/>
      </w:divBdr>
    </w:div>
    <w:div w:id="1878810168">
      <w:bodyDiv w:val="1"/>
      <w:marLeft w:val="0"/>
      <w:marRight w:val="0"/>
      <w:marTop w:val="0"/>
      <w:marBottom w:val="0"/>
      <w:divBdr>
        <w:top w:val="none" w:sz="0" w:space="0" w:color="auto"/>
        <w:left w:val="none" w:sz="0" w:space="0" w:color="auto"/>
        <w:bottom w:val="none" w:sz="0" w:space="0" w:color="auto"/>
        <w:right w:val="none" w:sz="0" w:space="0" w:color="auto"/>
      </w:divBdr>
    </w:div>
    <w:div w:id="2041078468">
      <w:bodyDiv w:val="1"/>
      <w:marLeft w:val="0"/>
      <w:marRight w:val="0"/>
      <w:marTop w:val="0"/>
      <w:marBottom w:val="0"/>
      <w:divBdr>
        <w:top w:val="none" w:sz="0" w:space="0" w:color="auto"/>
        <w:left w:val="none" w:sz="0" w:space="0" w:color="auto"/>
        <w:bottom w:val="none" w:sz="0" w:space="0" w:color="auto"/>
        <w:right w:val="none" w:sz="0" w:space="0" w:color="auto"/>
      </w:divBdr>
    </w:div>
    <w:div w:id="2088381245">
      <w:bodyDiv w:val="1"/>
      <w:marLeft w:val="0"/>
      <w:marRight w:val="0"/>
      <w:marTop w:val="0"/>
      <w:marBottom w:val="0"/>
      <w:divBdr>
        <w:top w:val="none" w:sz="0" w:space="0" w:color="auto"/>
        <w:left w:val="none" w:sz="0" w:space="0" w:color="auto"/>
        <w:bottom w:val="none" w:sz="0" w:space="0" w:color="auto"/>
        <w:right w:val="none" w:sz="0" w:space="0" w:color="auto"/>
      </w:divBdr>
    </w:div>
    <w:div w:id="20967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md/S26-CL-C-0016/en" TargetMode="External"/><Relationship Id="rId18" Type="http://schemas.openxmlformats.org/officeDocument/2006/relationships/hyperlink" Target="https://www.itu.int/ITU-R/go/space-statistics/en"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itu.int/md/meetingdoc.asp?lang=en&amp;parent=S26-CL-C-0019"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tu.int/md/R23-RAG-C-0058/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meetingdoc.asp?lang=en&amp;parent=S26-CL-C-0016" TargetMode="External"/><Relationship Id="rId5" Type="http://schemas.openxmlformats.org/officeDocument/2006/relationships/settings" Target="settings.xml"/><Relationship Id="rId15" Type="http://schemas.openxmlformats.org/officeDocument/2006/relationships/hyperlink" Target="https://www.itu.int/md/R00-CA-CIR-0281/en" TargetMode="External"/><Relationship Id="rId23" Type="http://schemas.openxmlformats.org/officeDocument/2006/relationships/theme" Target="theme/theme1.xml"/><Relationship Id="rId10" Type="http://schemas.openxmlformats.org/officeDocument/2006/relationships/hyperlink" Target="https://www.itu.int/md/S25-CL-C-0125/e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tu.int/en/council/Documents/basic-texts/RES-091-E.pdf" TargetMode="External"/><Relationship Id="rId14" Type="http://schemas.openxmlformats.org/officeDocument/2006/relationships/hyperlink" Target="https://www.itu.int/md/S26-CL-C-0019/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29a3e094-2729-4279-ad6b-e01395b189f0</TitusGUID>
  <TitusMetadata xmlns="">eyJucyI6Imh0dHA6XC9cL3d3dy50aXR1cy5jb21cL25zXC9tZWxpc3NhIiwicHJvcHMiOlt7Im4iOiJDTEFTU0lGSUNBVElPTiIsInZhbHMiOlt7InZhbHVlIjoiVElUVVNfSU5URVJOQUwifV19XX0=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FBEA-167D-4590-A51A-1F2D81C6D381}">
  <ds:schemaRefs>
    <ds:schemaRef ds:uri="http://schemas.titus.com/TitusProperties/"/>
    <ds:schemaRef ds:uri=""/>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2417</Words>
  <Characters>15409</Characters>
  <Application>Microsoft Office Word</Application>
  <DocSecurity>0</DocSecurity>
  <Lines>440</Lines>
  <Paragraphs>198</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17628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satellite network filing (SNF) cost recovery and addressing processing delays in the Radiocommunication Bureau</dc:title>
  <dc:subject>ITU Council 2026</dc:subject>
  <cp:keywords>C26; C2026; Council 2026; PP26</cp:keywords>
  <dc:description/>
  <cp:lastPrinted>2000-07-18T13:30:00Z</cp:lastPrinted>
  <dcterms:created xsi:type="dcterms:W3CDTF">2026-04-21T12:26:00Z</dcterms:created>
  <dcterms:modified xsi:type="dcterms:W3CDTF">2026-04-21T12:50:00Z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itusGUID">
    <vt:lpwstr>29a3e094-2729-4279-ad6b-e01395b189f0</vt:lpwstr>
  </property>
  <property fmtid="{D5CDD505-2E9C-101B-9397-08002B2CF9AE}" pid="10" name="OriginatingUser">
    <vt:lpwstr>raanazi</vt:lpwstr>
  </property>
  <property fmtid="{D5CDD505-2E9C-101B-9397-08002B2CF9AE}" pid="11" name="CLASSIFICATION">
    <vt:lpwstr>TITUS_INTERNAL</vt:lpwstr>
  </property>
</Properties>
</file>