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71A4ACEF" w14:textId="77777777" w:rsidTr="00F363FE">
        <w:tc>
          <w:tcPr>
            <w:tcW w:w="6512" w:type="dxa"/>
          </w:tcPr>
          <w:p w14:paraId="79803943" w14:textId="3BF2867B" w:rsidR="007B0AA0" w:rsidRPr="007B0AA0" w:rsidRDefault="007B0AA0" w:rsidP="00F363FE">
            <w:pPr>
              <w:spacing w:before="60" w:after="60" w:line="260" w:lineRule="exact"/>
              <w:rPr>
                <w:b/>
                <w:bCs/>
                <w:lang w:bidi="ar-EG"/>
              </w:rPr>
            </w:pPr>
            <w:r w:rsidRPr="007B0AA0">
              <w:rPr>
                <w:rFonts w:hint="cs"/>
                <w:b/>
                <w:bCs/>
                <w:rtl/>
                <w:lang w:bidi="ar-EG"/>
              </w:rPr>
              <w:t>بند جدول الأعمال:</w:t>
            </w:r>
            <w:r w:rsidR="00E13245">
              <w:rPr>
                <w:rFonts w:hint="cs"/>
                <w:b/>
                <w:bCs/>
                <w:rtl/>
                <w:lang w:bidi="ar-EG"/>
              </w:rPr>
              <w:t xml:space="preserve"> </w:t>
            </w:r>
            <w:r w:rsidR="00E13245">
              <w:rPr>
                <w:b/>
                <w:bCs/>
                <w:lang w:bidi="ar-EG"/>
              </w:rPr>
              <w:t>ADM 1</w:t>
            </w:r>
          </w:p>
        </w:tc>
        <w:tc>
          <w:tcPr>
            <w:tcW w:w="3117" w:type="dxa"/>
          </w:tcPr>
          <w:p w14:paraId="4721AADD" w14:textId="45A485BA"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E13245">
              <w:rPr>
                <w:b/>
                <w:bCs/>
                <w:lang w:bidi="ar-EG"/>
              </w:rPr>
              <w:t>98</w:t>
            </w:r>
            <w:r w:rsidRPr="007B0AA0">
              <w:rPr>
                <w:b/>
                <w:bCs/>
                <w:lang w:bidi="ar-EG"/>
              </w:rPr>
              <w:t>-A</w:t>
            </w:r>
          </w:p>
        </w:tc>
      </w:tr>
      <w:tr w:rsidR="007B0AA0" w14:paraId="63BC7A47" w14:textId="77777777" w:rsidTr="00F363FE">
        <w:tc>
          <w:tcPr>
            <w:tcW w:w="6512" w:type="dxa"/>
          </w:tcPr>
          <w:p w14:paraId="558B460F" w14:textId="77777777" w:rsidR="007B0AA0" w:rsidRPr="007B0AA0" w:rsidRDefault="007B0AA0" w:rsidP="00F363FE">
            <w:pPr>
              <w:spacing w:before="60" w:after="60" w:line="260" w:lineRule="exact"/>
              <w:rPr>
                <w:b/>
                <w:bCs/>
                <w:rtl/>
                <w:lang w:bidi="ar-EG"/>
              </w:rPr>
            </w:pPr>
          </w:p>
        </w:tc>
        <w:tc>
          <w:tcPr>
            <w:tcW w:w="3117" w:type="dxa"/>
          </w:tcPr>
          <w:p w14:paraId="5B0B8364" w14:textId="4EECFFE9" w:rsidR="007B0AA0" w:rsidRPr="007B0AA0" w:rsidRDefault="00AE2BF7" w:rsidP="00F363FE">
            <w:pPr>
              <w:spacing w:before="60" w:after="60" w:line="260" w:lineRule="exact"/>
              <w:rPr>
                <w:b/>
                <w:bCs/>
                <w:rtl/>
                <w:lang w:bidi="ar-EG"/>
              </w:rPr>
            </w:pPr>
            <w:r>
              <w:rPr>
                <w:rFonts w:hint="cs"/>
                <w:b/>
                <w:bCs/>
                <w:rtl/>
              </w:rPr>
              <w:t>‏14‏ أبريل‏ 2026</w:t>
            </w:r>
          </w:p>
        </w:tc>
      </w:tr>
      <w:tr w:rsidR="007B0AA0" w14:paraId="3DC0C8ED" w14:textId="77777777" w:rsidTr="00F363FE">
        <w:tc>
          <w:tcPr>
            <w:tcW w:w="6512" w:type="dxa"/>
          </w:tcPr>
          <w:p w14:paraId="50ABE5A9" w14:textId="77777777" w:rsidR="007B0AA0" w:rsidRPr="007B0AA0" w:rsidRDefault="007B0AA0" w:rsidP="00F363FE">
            <w:pPr>
              <w:spacing w:before="60" w:after="60" w:line="260" w:lineRule="exact"/>
              <w:rPr>
                <w:b/>
                <w:bCs/>
                <w:rtl/>
                <w:lang w:bidi="ar-EG"/>
              </w:rPr>
            </w:pPr>
          </w:p>
        </w:tc>
        <w:tc>
          <w:tcPr>
            <w:tcW w:w="3117" w:type="dxa"/>
          </w:tcPr>
          <w:p w14:paraId="6D966580"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0EB9665E" w14:textId="77777777" w:rsidTr="00F363FE">
        <w:tc>
          <w:tcPr>
            <w:tcW w:w="6512" w:type="dxa"/>
          </w:tcPr>
          <w:p w14:paraId="27E8F574" w14:textId="77777777" w:rsidR="007B0AA0" w:rsidRDefault="007B0AA0" w:rsidP="00F363FE">
            <w:pPr>
              <w:spacing w:before="60" w:after="60" w:line="260" w:lineRule="exact"/>
              <w:rPr>
                <w:lang w:bidi="ar-EG"/>
              </w:rPr>
            </w:pPr>
          </w:p>
        </w:tc>
        <w:tc>
          <w:tcPr>
            <w:tcW w:w="3117" w:type="dxa"/>
          </w:tcPr>
          <w:p w14:paraId="2F1D3650" w14:textId="77777777" w:rsidR="007B0AA0" w:rsidRDefault="007B0AA0" w:rsidP="00F363FE">
            <w:pPr>
              <w:spacing w:before="60" w:after="60" w:line="260" w:lineRule="exact"/>
              <w:rPr>
                <w:rtl/>
                <w:lang w:bidi="ar-EG"/>
              </w:rPr>
            </w:pPr>
          </w:p>
        </w:tc>
      </w:tr>
      <w:tr w:rsidR="007B0AA0" w14:paraId="7ABCA274" w14:textId="77777777" w:rsidTr="00EE7446">
        <w:tc>
          <w:tcPr>
            <w:tcW w:w="9629" w:type="dxa"/>
            <w:gridSpan w:val="2"/>
          </w:tcPr>
          <w:p w14:paraId="7998ECAD" w14:textId="005B2157" w:rsidR="007B0AA0" w:rsidRDefault="00EE0F6B" w:rsidP="00EE0F6B">
            <w:pPr>
              <w:pStyle w:val="Source"/>
              <w:jc w:val="left"/>
              <w:rPr>
                <w:lang w:bidi="ar-EG"/>
              </w:rPr>
            </w:pPr>
            <w:r w:rsidRPr="00EE0F6B">
              <w:rPr>
                <w:rtl/>
              </w:rPr>
              <w:t>مساهمة مقدمة من المملكة العربية السعودية ومملكة البحرين ودولة الكويت وماليزيا والمملكة المغربية</w:t>
            </w:r>
          </w:p>
        </w:tc>
      </w:tr>
      <w:tr w:rsidR="007B0AA0" w14:paraId="76455AA5" w14:textId="77777777" w:rsidTr="007B0AA0">
        <w:tc>
          <w:tcPr>
            <w:tcW w:w="9629" w:type="dxa"/>
            <w:gridSpan w:val="2"/>
            <w:tcBorders>
              <w:bottom w:val="single" w:sz="4" w:space="0" w:color="auto"/>
            </w:tcBorders>
          </w:tcPr>
          <w:p w14:paraId="31B134DA" w14:textId="4EE325D0" w:rsidR="007B0AA0" w:rsidRPr="005546CF" w:rsidRDefault="00FB2E26" w:rsidP="00937F47">
            <w:pPr>
              <w:pStyle w:val="Subtitle0"/>
              <w:rPr>
                <w:sz w:val="32"/>
                <w:szCs w:val="32"/>
              </w:rPr>
            </w:pPr>
            <w:r w:rsidRPr="00FB2E26">
              <w:rPr>
                <w:sz w:val="32"/>
                <w:szCs w:val="32"/>
                <w:rtl/>
                <w:lang w:bidi="ar-SA"/>
              </w:rPr>
              <w:t xml:space="preserve">تعزيز استرداد تكاليف معالجة بطاقات التبليغ عن الشبكات الساتلية </w:t>
            </w:r>
            <w:r w:rsidRPr="00FB2E26">
              <w:rPr>
                <w:sz w:val="32"/>
                <w:szCs w:val="32"/>
              </w:rPr>
              <w:t>(SNF)</w:t>
            </w:r>
            <w:r w:rsidRPr="00FB2E26">
              <w:rPr>
                <w:sz w:val="32"/>
                <w:szCs w:val="32"/>
                <w:rtl/>
                <w:lang w:bidi="ar-SA"/>
              </w:rPr>
              <w:t xml:space="preserve"> </w:t>
            </w:r>
            <w:r w:rsidR="00937F47" w:rsidRPr="00937F47">
              <w:rPr>
                <w:sz w:val="32"/>
                <w:szCs w:val="32"/>
                <w:rtl/>
                <w:lang w:bidi="ar-SA"/>
              </w:rPr>
              <w:t xml:space="preserve">والتعامل مع </w:t>
            </w:r>
            <w:r w:rsidR="00937F47" w:rsidRPr="00937F47">
              <w:rPr>
                <w:rFonts w:hint="eastAsia"/>
                <w:sz w:val="32"/>
                <w:szCs w:val="32"/>
                <w:rtl/>
                <w:lang w:bidi="ar-SA"/>
              </w:rPr>
              <w:t>التأخير</w:t>
            </w:r>
            <w:r w:rsidR="00937F47" w:rsidRPr="00937F47">
              <w:rPr>
                <w:sz w:val="32"/>
                <w:szCs w:val="32"/>
                <w:rtl/>
                <w:lang w:bidi="ar-SA"/>
              </w:rPr>
              <w:t xml:space="preserve"> </w:t>
            </w:r>
            <w:r w:rsidR="00937F47" w:rsidRPr="00937F47">
              <w:rPr>
                <w:rFonts w:hint="eastAsia"/>
                <w:sz w:val="32"/>
                <w:szCs w:val="32"/>
                <w:rtl/>
                <w:lang w:bidi="ar-SA"/>
              </w:rPr>
              <w:t>في</w:t>
            </w:r>
            <w:r w:rsidR="00937F47" w:rsidRPr="00937F47">
              <w:rPr>
                <w:sz w:val="32"/>
                <w:szCs w:val="32"/>
                <w:rtl/>
                <w:lang w:bidi="ar-SA"/>
              </w:rPr>
              <w:t xml:space="preserve"> </w:t>
            </w:r>
            <w:r w:rsidR="00937F47" w:rsidRPr="00937F47">
              <w:rPr>
                <w:rFonts w:hint="eastAsia"/>
                <w:sz w:val="32"/>
                <w:szCs w:val="32"/>
                <w:rtl/>
                <w:lang w:bidi="ar-SA"/>
              </w:rPr>
              <w:t>معالجة</w:t>
            </w:r>
            <w:r w:rsidR="00937F47" w:rsidRPr="00937F47">
              <w:rPr>
                <w:sz w:val="32"/>
                <w:szCs w:val="32"/>
                <w:rtl/>
                <w:lang w:bidi="ar-SA"/>
              </w:rPr>
              <w:t xml:space="preserve"> </w:t>
            </w:r>
            <w:r w:rsidR="00937F47" w:rsidRPr="00937F47">
              <w:rPr>
                <w:rFonts w:hint="eastAsia"/>
                <w:sz w:val="32"/>
                <w:szCs w:val="32"/>
                <w:rtl/>
                <w:lang w:bidi="ar-SA"/>
              </w:rPr>
              <w:t>التبليغات</w:t>
            </w:r>
            <w:r w:rsidR="00937F47" w:rsidRPr="00937F47">
              <w:rPr>
                <w:sz w:val="32"/>
                <w:szCs w:val="32"/>
                <w:rtl/>
                <w:lang w:bidi="ar-SA"/>
              </w:rPr>
              <w:t xml:space="preserve"> </w:t>
            </w:r>
            <w:r w:rsidR="00937F47" w:rsidRPr="00937F47">
              <w:rPr>
                <w:rFonts w:hint="eastAsia"/>
                <w:sz w:val="32"/>
                <w:szCs w:val="32"/>
                <w:rtl/>
                <w:lang w:bidi="ar-SA"/>
              </w:rPr>
              <w:t>في</w:t>
            </w:r>
            <w:r w:rsidR="00937F47" w:rsidRPr="00937F47">
              <w:rPr>
                <w:sz w:val="32"/>
                <w:szCs w:val="32"/>
                <w:rtl/>
                <w:lang w:bidi="ar-SA"/>
              </w:rPr>
              <w:t xml:space="preserve"> </w:t>
            </w:r>
            <w:r w:rsidR="00937F47" w:rsidRPr="00937F47">
              <w:rPr>
                <w:rFonts w:hint="eastAsia"/>
                <w:sz w:val="32"/>
                <w:szCs w:val="32"/>
                <w:rtl/>
                <w:lang w:bidi="ar-SA"/>
              </w:rPr>
              <w:t>مكتب</w:t>
            </w:r>
            <w:r w:rsidR="00937F47" w:rsidRPr="00937F47">
              <w:rPr>
                <w:sz w:val="32"/>
                <w:szCs w:val="32"/>
                <w:rtl/>
                <w:lang w:bidi="ar-SA"/>
              </w:rPr>
              <w:t xml:space="preserve"> </w:t>
            </w:r>
            <w:r w:rsidR="00937F47" w:rsidRPr="00937F47">
              <w:rPr>
                <w:rFonts w:hint="eastAsia"/>
                <w:sz w:val="32"/>
                <w:szCs w:val="32"/>
                <w:rtl/>
                <w:lang w:bidi="ar-SA"/>
              </w:rPr>
              <w:t>الاتصالات</w:t>
            </w:r>
            <w:r w:rsidR="00937F47" w:rsidRPr="00937F47">
              <w:rPr>
                <w:sz w:val="32"/>
                <w:szCs w:val="32"/>
                <w:rtl/>
                <w:lang w:bidi="ar-SA"/>
              </w:rPr>
              <w:t xml:space="preserve"> </w:t>
            </w:r>
            <w:r w:rsidR="00937F47" w:rsidRPr="00937F47">
              <w:rPr>
                <w:rFonts w:hint="eastAsia"/>
                <w:sz w:val="32"/>
                <w:szCs w:val="32"/>
                <w:rtl/>
                <w:lang w:bidi="ar-SA"/>
              </w:rPr>
              <w:t>الراديوية</w:t>
            </w:r>
          </w:p>
        </w:tc>
      </w:tr>
      <w:tr w:rsidR="007B0AA0" w14:paraId="0FDC0A70" w14:textId="77777777" w:rsidTr="007B0AA0">
        <w:tc>
          <w:tcPr>
            <w:tcW w:w="9629" w:type="dxa"/>
            <w:gridSpan w:val="2"/>
            <w:tcBorders>
              <w:top w:val="single" w:sz="4" w:space="0" w:color="auto"/>
              <w:bottom w:val="single" w:sz="4" w:space="0" w:color="auto"/>
            </w:tcBorders>
          </w:tcPr>
          <w:p w14:paraId="5DB368C5" w14:textId="77777777" w:rsidR="007B0AA0" w:rsidRPr="007B0AA0" w:rsidRDefault="007B0AA0" w:rsidP="007B0AA0">
            <w:pPr>
              <w:rPr>
                <w:b/>
                <w:bCs/>
                <w:rtl/>
              </w:rPr>
            </w:pPr>
            <w:r w:rsidRPr="00494119">
              <w:rPr>
                <w:rFonts w:hint="cs"/>
                <w:b/>
                <w:bCs/>
                <w:rtl/>
              </w:rPr>
              <w:t>الغرض</w:t>
            </w:r>
          </w:p>
          <w:p w14:paraId="14E2E647" w14:textId="68D6ADC5" w:rsidR="00FB2E26" w:rsidRPr="00FB2E26" w:rsidRDefault="00FB2E26" w:rsidP="00FB2E26">
            <w:r w:rsidRPr="00FB2E26">
              <w:rPr>
                <w:rtl/>
              </w:rPr>
              <w:t>تهدف هذه المساهمة إلى استعراض الإطار الحالي لاسترداد تكاليف بطاقات التبليغ عن الشبكات الساتلية وتعزيزه في</w:t>
            </w:r>
            <w:r w:rsidR="007409CA">
              <w:rPr>
                <w:rFonts w:hint="cs"/>
                <w:rtl/>
              </w:rPr>
              <w:t> </w:t>
            </w:r>
            <w:r w:rsidRPr="00FB2E26">
              <w:rPr>
                <w:rtl/>
              </w:rPr>
              <w:t>ضوء زيادة عبء العمل والاختلالات المالية والتحديات التشغيلية التي يواجهها مكتب الاتصالات الراديوية</w:t>
            </w:r>
            <w:r w:rsidR="008A75AA">
              <w:rPr>
                <w:rFonts w:hint="cs"/>
                <w:rtl/>
              </w:rPr>
              <w:t xml:space="preserve"> </w:t>
            </w:r>
            <w:r w:rsidR="008A75AA">
              <w:t>(BR)</w:t>
            </w:r>
            <w:r w:rsidRPr="00FB2E26">
              <w:rPr>
                <w:rtl/>
              </w:rPr>
              <w:t>. وتسعى إلى ضمان اتساق المنهجية مع مبادئ القرار 91 والمقرر 482 (المعدل في 2025) لمؤتمر المندوبين المفوضين، مع تحسين التناسب وإمكانية التنبؤ والكفاءة.</w:t>
            </w:r>
          </w:p>
          <w:p w14:paraId="46C73F15" w14:textId="5FA8DEC0" w:rsidR="007B0AA0" w:rsidRPr="008A75AA" w:rsidRDefault="00FB2E26" w:rsidP="00FB2E26">
            <w:pPr>
              <w:rPr>
                <w:spacing w:val="-2"/>
                <w:rtl/>
              </w:rPr>
            </w:pPr>
            <w:r w:rsidRPr="008A75AA">
              <w:rPr>
                <w:spacing w:val="-2"/>
                <w:rtl/>
              </w:rPr>
              <w:t>وبالإضافة إلى ذلك، تسلط الوثيقة الضوء على القضية المتنامية المتمثلة في التأخير في معالجة بطاقات التبليغ عن الشبكات الساتلية وآثارها التنظيمية والتشغيلية والمالية على الدول الأعضاء، وتقترح تدابير لاستعادة التوازن بين عبء العمل والموارد المتاحة.</w:t>
            </w:r>
          </w:p>
          <w:p w14:paraId="64CBE996" w14:textId="77777777" w:rsidR="007B0AA0" w:rsidRPr="007B0AA0" w:rsidRDefault="007B0AA0" w:rsidP="007B0AA0">
            <w:pPr>
              <w:rPr>
                <w:b/>
                <w:bCs/>
                <w:rtl/>
              </w:rPr>
            </w:pPr>
            <w:r w:rsidRPr="007B0AA0">
              <w:rPr>
                <w:rFonts w:hint="cs"/>
                <w:b/>
                <w:bCs/>
                <w:rtl/>
              </w:rPr>
              <w:t>الإجراء المطلوب من المجلس</w:t>
            </w:r>
          </w:p>
          <w:p w14:paraId="7DCCFAFA" w14:textId="1488E2FE" w:rsidR="007B0AA0" w:rsidRDefault="00FB2E26" w:rsidP="00FB2E26">
            <w:pPr>
              <w:rPr>
                <w:rtl/>
              </w:rPr>
            </w:pPr>
            <w:r w:rsidRPr="00FB2E26">
              <w:rPr>
                <w:rtl/>
              </w:rPr>
              <w:t>يدعى المجلس إلى النظر في وجهات النظر والمقترحات الواردة في هذه المساهمة.</w:t>
            </w:r>
          </w:p>
          <w:p w14:paraId="20C8F4A4"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585DF4F1" w14:textId="77777777" w:rsidR="007B0AA0" w:rsidRPr="007B0AA0" w:rsidRDefault="007B0AA0" w:rsidP="007B0AA0">
            <w:pPr>
              <w:rPr>
                <w:b/>
                <w:bCs/>
                <w:rtl/>
              </w:rPr>
            </w:pPr>
            <w:r w:rsidRPr="007B0AA0">
              <w:rPr>
                <w:rFonts w:hint="cs"/>
                <w:b/>
                <w:bCs/>
                <w:rtl/>
              </w:rPr>
              <w:t>المراجع</w:t>
            </w:r>
          </w:p>
          <w:p w14:paraId="278AB8B0" w14:textId="153B0AA8" w:rsidR="007B0AA0" w:rsidRPr="005546CF" w:rsidRDefault="00F00933" w:rsidP="00F00933">
            <w:pPr>
              <w:rPr>
                <w:i/>
                <w:iCs/>
                <w:rtl/>
              </w:rPr>
            </w:pPr>
            <w:hyperlink r:id="rId8" w:history="1">
              <w:r w:rsidRPr="00F00933">
                <w:rPr>
                  <w:rStyle w:val="Hyperlink"/>
                  <w:i/>
                  <w:iCs/>
                  <w:noProof w:val="0"/>
                  <w:rtl/>
                  <w:lang w:val="en-US" w:eastAsia="zh-CN"/>
                </w:rPr>
                <w:t>القرار 91 (المراجَع في غوادالاخارا، 2010) لمؤتمر المندوبين المفوضين</w:t>
              </w:r>
            </w:hyperlink>
            <w:hyperlink r:id="rId9" w:history="1">
              <w:r w:rsidRPr="008A75AA">
                <w:rPr>
                  <w:i/>
                  <w:iCs/>
                  <w:rtl/>
                </w:rPr>
                <w:t xml:space="preserve">؛ </w:t>
              </w:r>
              <w:r w:rsidRPr="00F00933">
                <w:rPr>
                  <w:rStyle w:val="Hyperlink"/>
                  <w:i/>
                  <w:iCs/>
                  <w:noProof w:val="0"/>
                  <w:rtl/>
                  <w:lang w:val="en-US" w:eastAsia="zh-CN"/>
                </w:rPr>
                <w:t>المقرر 482 لل</w:t>
              </w:r>
              <w:r w:rsidR="00937F47">
                <w:rPr>
                  <w:rStyle w:val="Hyperlink"/>
                  <w:rFonts w:hint="cs"/>
                  <w:i/>
                  <w:iCs/>
                  <w:noProof w:val="0"/>
                  <w:rtl/>
                  <w:lang w:val="en-US" w:eastAsia="zh-CN"/>
                </w:rPr>
                <w:t>م</w:t>
              </w:r>
              <w:r w:rsidRPr="00F00933">
                <w:rPr>
                  <w:rStyle w:val="Hyperlink"/>
                  <w:i/>
                  <w:iCs/>
                  <w:noProof w:val="0"/>
                  <w:rtl/>
                  <w:lang w:val="en-US" w:eastAsia="zh-CN"/>
                </w:rPr>
                <w:t xml:space="preserve">جلس (الصادر في دورة المجلس لعام </w:t>
              </w:r>
              <w:r w:rsidRPr="00F00933">
                <w:rPr>
                  <w:rStyle w:val="Hyperlink"/>
                  <w:i/>
                  <w:iCs/>
                  <w:noProof w:val="0"/>
                  <w:lang w:val="en-US" w:eastAsia="zh-CN"/>
                </w:rPr>
                <w:t>2001</w:t>
              </w:r>
              <w:r w:rsidR="00937F47">
                <w:rPr>
                  <w:rStyle w:val="Hyperlink"/>
                  <w:rFonts w:hint="cs"/>
                  <w:i/>
                  <w:iCs/>
                  <w:noProof w:val="0"/>
                  <w:rtl/>
                  <w:lang w:val="en-US" w:eastAsia="zh-CN"/>
                </w:rPr>
                <w:t xml:space="preserve"> </w:t>
              </w:r>
              <w:r w:rsidRPr="00F00933">
                <w:rPr>
                  <w:rStyle w:val="Hyperlink"/>
                  <w:i/>
                  <w:iCs/>
                  <w:noProof w:val="0"/>
                  <w:rtl/>
                  <w:lang w:val="en-US" w:eastAsia="zh-CN"/>
                </w:rPr>
                <w:t xml:space="preserve">والمعدَّل آخر مرة في </w:t>
              </w:r>
              <w:r w:rsidR="00937F47">
                <w:rPr>
                  <w:rStyle w:val="Hyperlink"/>
                  <w:rFonts w:hint="cs"/>
                  <w:i/>
                  <w:iCs/>
                  <w:noProof w:val="0"/>
                  <w:rtl/>
                  <w:lang w:val="en-US" w:eastAsia="zh-CN"/>
                </w:rPr>
                <w:t>د</w:t>
              </w:r>
              <w:r w:rsidR="00937F47">
                <w:rPr>
                  <w:rStyle w:val="Hyperlink"/>
                  <w:rFonts w:hint="cs"/>
                  <w:i/>
                  <w:iCs/>
                  <w:rtl/>
                </w:rPr>
                <w:t>ورته</w:t>
              </w:r>
              <w:r w:rsidRPr="00F00933">
                <w:rPr>
                  <w:rStyle w:val="Hyperlink"/>
                  <w:i/>
                  <w:iCs/>
                  <w:noProof w:val="0"/>
                  <w:rtl/>
                  <w:lang w:val="en-US" w:eastAsia="zh-CN"/>
                </w:rPr>
                <w:t xml:space="preserve"> لعام </w:t>
              </w:r>
              <w:r w:rsidRPr="00F00933">
                <w:rPr>
                  <w:rStyle w:val="Hyperlink"/>
                  <w:i/>
                  <w:iCs/>
                  <w:noProof w:val="0"/>
                  <w:lang w:val="en-US" w:eastAsia="zh-CN"/>
                </w:rPr>
                <w:t>2025</w:t>
              </w:r>
              <w:r w:rsidR="00937F47">
                <w:rPr>
                  <w:rStyle w:val="Hyperlink"/>
                  <w:rFonts w:hint="cs"/>
                  <w:i/>
                  <w:iCs/>
                  <w:noProof w:val="0"/>
                  <w:rtl/>
                  <w:lang w:val="en-US" w:eastAsia="zh-CN"/>
                </w:rPr>
                <w:t>)</w:t>
              </w:r>
              <w:r w:rsidRPr="00937F47">
                <w:rPr>
                  <w:i/>
                  <w:iCs/>
                  <w:rtl/>
                </w:rPr>
                <w:t>؛</w:t>
              </w:r>
            </w:hyperlink>
            <w:r w:rsidRPr="00F00933">
              <w:rPr>
                <w:i/>
                <w:iCs/>
                <w:rtl/>
              </w:rPr>
              <w:t xml:space="preserve"> </w:t>
            </w:r>
            <w:hyperlink r:id="rId10" w:history="1">
              <w:r w:rsidRPr="00F00933">
                <w:rPr>
                  <w:rStyle w:val="Hyperlink"/>
                  <w:i/>
                  <w:iCs/>
                  <w:noProof w:val="0"/>
                  <w:rtl/>
                  <w:lang w:val="en-US" w:eastAsia="zh-CN"/>
                </w:rPr>
                <w:t xml:space="preserve">وثيقتا المجلس </w:t>
              </w:r>
              <w:r w:rsidRPr="00F00933">
                <w:rPr>
                  <w:rStyle w:val="Hyperlink"/>
                  <w:i/>
                  <w:iCs/>
                  <w:noProof w:val="0"/>
                  <w:lang w:val="en-US" w:eastAsia="zh-CN"/>
                </w:rPr>
                <w:t>C26/16</w:t>
              </w:r>
            </w:hyperlink>
            <w:r w:rsidRPr="00F00933">
              <w:rPr>
                <w:i/>
                <w:iCs/>
                <w:rtl/>
              </w:rPr>
              <w:t xml:space="preserve"> </w:t>
            </w:r>
            <w:r w:rsidR="00937F47">
              <w:rPr>
                <w:rFonts w:hint="cs"/>
                <w:i/>
                <w:iCs/>
                <w:rtl/>
              </w:rPr>
              <w:t>و</w:t>
            </w:r>
            <w:hyperlink r:id="rId11" w:tgtFrame="_blank" w:history="1">
              <w:r w:rsidRPr="00F00933">
                <w:rPr>
                  <w:rStyle w:val="Hyperlink"/>
                  <w:i/>
                  <w:iCs/>
                  <w:noProof w:val="0"/>
                  <w:lang w:val="en-US" w:eastAsia="zh-CN"/>
                </w:rPr>
                <w:t>C26/19</w:t>
              </w:r>
            </w:hyperlink>
          </w:p>
        </w:tc>
      </w:tr>
    </w:tbl>
    <w:p w14:paraId="3242E3D6" w14:textId="77777777" w:rsidR="00F50E3F" w:rsidRDefault="00F50E3F" w:rsidP="0043260A">
      <w:pPr>
        <w:rPr>
          <w:rtl/>
          <w:lang w:bidi="ar-EG"/>
        </w:rPr>
      </w:pPr>
      <w:r>
        <w:rPr>
          <w:rtl/>
          <w:lang w:bidi="ar-EG"/>
        </w:rPr>
        <w:br w:type="page"/>
      </w:r>
    </w:p>
    <w:p w14:paraId="1D476665" w14:textId="519105ED" w:rsidR="00970A92" w:rsidRPr="00970A92" w:rsidRDefault="00970A92" w:rsidP="009A46E7">
      <w:pPr>
        <w:pStyle w:val="Headingb"/>
        <w:rPr>
          <w:lang w:val="ar-SA" w:bidi="ar-EG"/>
        </w:rPr>
      </w:pPr>
      <w:r w:rsidRPr="00970A92">
        <w:rPr>
          <w:rtl/>
        </w:rPr>
        <w:lastRenderedPageBreak/>
        <w:t>مقدمة</w:t>
      </w:r>
    </w:p>
    <w:p w14:paraId="572FF6C0" w14:textId="056848FA" w:rsidR="00970A92" w:rsidRPr="00970A92" w:rsidRDefault="00970A92" w:rsidP="00970A92">
      <w:pPr>
        <w:rPr>
          <w:lang w:val="ar-SA" w:bidi="ar-EG"/>
        </w:rPr>
      </w:pPr>
      <w:r w:rsidRPr="00970A92">
        <w:rPr>
          <w:rtl/>
        </w:rPr>
        <w:t>نعرب عن تقديرنا للأمانة على إعدادها للتقرير السنوي C26/16 ومشروع المنهجية C26/19 وعلى جهودها المستمرة لتحسين استرداد تكاليف معالجة بطاقات التبليغ عن الشبكات الساتلية</w:t>
      </w:r>
      <w:r w:rsidR="009A46E7">
        <w:rPr>
          <w:rFonts w:hint="cs"/>
          <w:rtl/>
        </w:rPr>
        <w:t xml:space="preserve"> </w:t>
      </w:r>
      <w:r w:rsidR="009A46E7">
        <w:t>(SNF)</w:t>
      </w:r>
      <w:r w:rsidRPr="00970A92">
        <w:rPr>
          <w:rtl/>
        </w:rPr>
        <w:t>. ونعرب أيضا</w:t>
      </w:r>
      <w:r w:rsidR="00974AEE">
        <w:rPr>
          <w:rFonts w:hint="cs"/>
          <w:rtl/>
        </w:rPr>
        <w:t>ً</w:t>
      </w:r>
      <w:r w:rsidR="00552D52">
        <w:rPr>
          <w:rFonts w:hint="cs"/>
          <w:rtl/>
        </w:rPr>
        <w:t xml:space="preserve"> </w:t>
      </w:r>
      <w:r w:rsidRPr="00970A92">
        <w:rPr>
          <w:rtl/>
        </w:rPr>
        <w:t xml:space="preserve">عن تقديرنا للعمل الذي يقوم به فريق العمل التابع للمجلس والمعني بالموارد المالية والبشرية </w:t>
      </w:r>
      <w:r w:rsidRPr="00970A92">
        <w:rPr>
          <w:lang w:bidi="ar-EG"/>
        </w:rPr>
        <w:t>(CWG-FHR)</w:t>
      </w:r>
      <w:r w:rsidRPr="00970A92">
        <w:rPr>
          <w:rtl/>
        </w:rPr>
        <w:t xml:space="preserve"> بشأن هذا الموضوع.</w:t>
      </w:r>
    </w:p>
    <w:p w14:paraId="6619F738" w14:textId="154E83EC" w:rsidR="00970A92" w:rsidRPr="00970A92" w:rsidRDefault="00970A92" w:rsidP="00970A92">
      <w:pPr>
        <w:rPr>
          <w:spacing w:val="-2"/>
          <w:lang w:val="ar-SA" w:bidi="ar-EG"/>
        </w:rPr>
      </w:pPr>
      <w:r w:rsidRPr="00970A92">
        <w:rPr>
          <w:spacing w:val="-2"/>
          <w:rtl/>
        </w:rPr>
        <w:t>وتشهد الدول الأعضاء زيادة في عدد التبليغات عن الشبكات الساتلية وتعقدها، لا سيما الكوكبات الكبيرة غير المستقرة بالنسبة إلى الأرض. وقد زادت هذه الاتجاهات من عبء العمل على مكتب الاتصالات الراديوية</w:t>
      </w:r>
      <w:r w:rsidR="00974AEE" w:rsidRPr="00D2157C">
        <w:rPr>
          <w:rFonts w:hint="cs"/>
          <w:spacing w:val="-2"/>
          <w:rtl/>
          <w:lang w:bidi="ar-EG"/>
        </w:rPr>
        <w:t xml:space="preserve"> </w:t>
      </w:r>
      <w:r w:rsidR="00974AEE" w:rsidRPr="00D2157C">
        <w:rPr>
          <w:spacing w:val="-2"/>
          <w:lang w:bidi="ar-EG"/>
        </w:rPr>
        <w:t>(BR)</w:t>
      </w:r>
      <w:r w:rsidRPr="00970A92">
        <w:rPr>
          <w:spacing w:val="-2"/>
          <w:rtl/>
        </w:rPr>
        <w:t>، وقللت من إمكانية التنبؤ بعملية التبليغ وخلقت ضغوط</w:t>
      </w:r>
      <w:r w:rsidR="00E54D55">
        <w:rPr>
          <w:spacing w:val="-2"/>
          <w:rtl/>
        </w:rPr>
        <w:t xml:space="preserve">اً </w:t>
      </w:r>
      <w:r w:rsidRPr="00970A92">
        <w:rPr>
          <w:spacing w:val="-2"/>
          <w:rtl/>
        </w:rPr>
        <w:t>مالية على نظام استرداد تكاليف بطاقات التبليغ عن الشبكات الساتلية. ويبين التقرير السنوي أن تكاليف المعالجة تتجاوز الإيرادات إلى حد كبير وأن الإيرادات المتأخرة والأعمال المتراكمة آخذة في الازدياد.</w:t>
      </w:r>
    </w:p>
    <w:p w14:paraId="0D2E0686" w14:textId="484C5EFF" w:rsidR="00970A92" w:rsidRPr="00970A92" w:rsidRDefault="00970A92" w:rsidP="00970A92">
      <w:pPr>
        <w:rPr>
          <w:spacing w:val="-6"/>
          <w:lang w:val="ar-SA" w:bidi="ar-EG"/>
        </w:rPr>
      </w:pPr>
      <w:r w:rsidRPr="00970A92">
        <w:rPr>
          <w:spacing w:val="-4"/>
          <w:rtl/>
        </w:rPr>
        <w:t>وفي هذا السياق، يجب أن تلتزم أي مراجعة لمنهجية استرداد التكاليف بالمبادئ التي وضعها مؤتمر المندوبين المفوضين</w:t>
      </w:r>
      <w:r w:rsidR="009A3E80" w:rsidRPr="009A3E80">
        <w:rPr>
          <w:rFonts w:hint="cs"/>
          <w:spacing w:val="-4"/>
          <w:rtl/>
        </w:rPr>
        <w:t> </w:t>
      </w:r>
      <w:r w:rsidR="009A3E80" w:rsidRPr="009A3E80">
        <w:rPr>
          <w:spacing w:val="-4"/>
        </w:rPr>
        <w:t>(PP)</w:t>
      </w:r>
      <w:r w:rsidRPr="00970A92">
        <w:rPr>
          <w:spacing w:val="-4"/>
          <w:rtl/>
        </w:rPr>
        <w:t xml:space="preserve"> ومجلس الاتحاد. ويدعو القرار 91 لمؤتمر المندوبين المفوضين إلى استرداد التكاليف على أساس الدفع المسبق بحيث يغطي التكاليف المباشرة وغير المباشرة لتوفير الخدمة ويطبق منهجية توزيع نسبية ويراعي الاحتياجات الخاصة للبلدان النامية </w:t>
      </w:r>
      <w:r w:rsidRPr="00970A92">
        <w:rPr>
          <w:spacing w:val="-6"/>
          <w:rtl/>
        </w:rPr>
        <w:t>ويقدم مستوى كافي</w:t>
      </w:r>
      <w:r w:rsidR="00E54D55">
        <w:rPr>
          <w:spacing w:val="-6"/>
          <w:rtl/>
        </w:rPr>
        <w:t xml:space="preserve">اً </w:t>
      </w:r>
      <w:r w:rsidRPr="00970A92">
        <w:rPr>
          <w:spacing w:val="-6"/>
          <w:rtl/>
        </w:rPr>
        <w:t>من الخدمة بالمجان لجميع الدول الأعضاء. وينفذ المقرر 482 (المعدل في 2025) هذه المبادئ فيما</w:t>
      </w:r>
      <w:r w:rsidR="009A3E80" w:rsidRPr="009A3E80">
        <w:rPr>
          <w:spacing w:val="-6"/>
        </w:rPr>
        <w:t> </w:t>
      </w:r>
      <w:r w:rsidRPr="00970A92">
        <w:rPr>
          <w:spacing w:val="-6"/>
          <w:rtl/>
        </w:rPr>
        <w:t>يتعلق ببطاقات التبليغ عن الشبكات الساتلية ويمنح كل دولة عضو بطاقة تبليغ مجانية واحدة عن الشبكة الساتلية سنوي</w:t>
      </w:r>
      <w:r w:rsidR="009A3E80">
        <w:rPr>
          <w:rFonts w:hint="cs"/>
          <w:spacing w:val="-6"/>
          <w:rtl/>
        </w:rPr>
        <w:t>اً</w:t>
      </w:r>
      <w:r w:rsidRPr="00970A92">
        <w:rPr>
          <w:spacing w:val="-6"/>
          <w:rtl/>
        </w:rPr>
        <w:t>.</w:t>
      </w:r>
    </w:p>
    <w:p w14:paraId="39BCFABA" w14:textId="299EC0A7" w:rsidR="00970A92" w:rsidRPr="00970A92" w:rsidRDefault="00970A92" w:rsidP="00970A92">
      <w:pPr>
        <w:rPr>
          <w:spacing w:val="-4"/>
          <w:lang w:val="ar-SA" w:bidi="ar-EG"/>
        </w:rPr>
      </w:pPr>
      <w:r w:rsidRPr="00970A92">
        <w:rPr>
          <w:spacing w:val="-4"/>
          <w:rtl/>
        </w:rPr>
        <w:t>وتتناول هذه المساهمة الجوانب التشغيلية والمالية لاسترداد تكاليف بطاقات التبليغ عن الشبكات الساتلية، وتقدم مقترحات ترمي إلى تعزيز إمكانية التنبؤ بإطار استرداد التكاليف وتناسبه واتساقه عموما</w:t>
      </w:r>
      <w:r w:rsidR="009A3E80">
        <w:rPr>
          <w:rFonts w:hint="cs"/>
          <w:spacing w:val="-4"/>
          <w:rtl/>
        </w:rPr>
        <w:t>ً</w:t>
      </w:r>
      <w:r w:rsidRPr="00970A92">
        <w:rPr>
          <w:spacing w:val="-4"/>
          <w:rtl/>
        </w:rPr>
        <w:t>.</w:t>
      </w:r>
    </w:p>
    <w:p w14:paraId="21EB8651" w14:textId="062B98C9" w:rsidR="00970A92" w:rsidRPr="00970A92" w:rsidRDefault="00970A92" w:rsidP="004A006B">
      <w:pPr>
        <w:pStyle w:val="Headingb"/>
        <w:rPr>
          <w:lang w:val="ar-SA" w:bidi="ar-EG"/>
        </w:rPr>
      </w:pPr>
      <w:r w:rsidRPr="00970A92">
        <w:rPr>
          <w:rtl/>
        </w:rPr>
        <w:t>مناقشة</w:t>
      </w:r>
    </w:p>
    <w:p w14:paraId="638C959C" w14:textId="1BF0F675" w:rsidR="00970A92" w:rsidRPr="00970A92" w:rsidRDefault="004A006B" w:rsidP="004A006B">
      <w:pPr>
        <w:pStyle w:val="Heading1"/>
        <w:rPr>
          <w:lang w:val="ar-SA" w:bidi="ar-EG"/>
        </w:rPr>
      </w:pPr>
      <w:r>
        <w:t>1</w:t>
      </w:r>
      <w:r>
        <w:tab/>
      </w:r>
      <w:r w:rsidR="00970A92" w:rsidRPr="00970A92">
        <w:rPr>
          <w:rtl/>
        </w:rPr>
        <w:t>استرداد تكاليف بطاقات التبليغ عن الشبكات الساتلية</w:t>
      </w:r>
    </w:p>
    <w:p w14:paraId="235466C1" w14:textId="26A84395" w:rsidR="00970A92" w:rsidRPr="00970A92" w:rsidRDefault="00970A92" w:rsidP="00970A92">
      <w:pPr>
        <w:rPr>
          <w:spacing w:val="-2"/>
          <w:lang w:val="ar-SA" w:bidi="ar-EG"/>
        </w:rPr>
      </w:pPr>
      <w:r w:rsidRPr="00970A92">
        <w:rPr>
          <w:spacing w:val="-2"/>
          <w:rtl/>
        </w:rPr>
        <w:t>يسلط التقرير السنوي الضوء على وجود فجوة كبيرة بين التكاليف والإيرادات المرتبطة ببطاقات التبليغ عن الشبكات الساتلية</w:t>
      </w:r>
      <w:r w:rsidR="00F40575" w:rsidRPr="00F40575">
        <w:rPr>
          <w:rFonts w:hint="cs"/>
          <w:spacing w:val="-2"/>
          <w:rtl/>
          <w:lang w:bidi="ar-EG"/>
        </w:rPr>
        <w:t xml:space="preserve"> </w:t>
      </w:r>
      <w:r w:rsidR="00F40575" w:rsidRPr="00F40575">
        <w:rPr>
          <w:spacing w:val="-2"/>
          <w:lang w:bidi="ar-EG"/>
        </w:rPr>
        <w:t>(SNF)</w:t>
      </w:r>
      <w:r w:rsidRPr="00970A92">
        <w:rPr>
          <w:spacing w:val="-2"/>
          <w:rtl/>
        </w:rPr>
        <w:t>، إذ تتجاوز تكاليف المعالجة إلى حد كبير الإيرادات المتأتية في سياق الإطار الحالي للرسوم. وحتى بعد مراعاة الاستحقاقات المجانية والإيرادات المؤجلة، لا يزال هناك عجز ملحوظ يدل على أن معالجة بطاقات التبليغ عن الشبكات الساتلية تحظى بدعم فعال من الميزانية العادية للاتحاد، خلاف</w:t>
      </w:r>
      <w:r w:rsidR="00E54D55">
        <w:rPr>
          <w:spacing w:val="-2"/>
          <w:rtl/>
        </w:rPr>
        <w:t xml:space="preserve">اً </w:t>
      </w:r>
      <w:r w:rsidRPr="00970A92">
        <w:rPr>
          <w:spacing w:val="-2"/>
          <w:rtl/>
        </w:rPr>
        <w:t>لعملية استرداد التكاليف الواردة في القرار 91 لمؤتمر المندوبين المفوضين. وبالإضافة إلى ذلك، لا يزال عدد كبير من طلبات التنسيق معلقة بالفوترة بسبب القيود المفروضة على الموارد، مما يؤكد أيض</w:t>
      </w:r>
      <w:r w:rsidR="0069640E">
        <w:rPr>
          <w:rFonts w:hint="cs"/>
          <w:spacing w:val="-2"/>
          <w:rtl/>
        </w:rPr>
        <w:t>اً</w:t>
      </w:r>
      <w:r w:rsidRPr="00970A92">
        <w:rPr>
          <w:spacing w:val="-2"/>
          <w:rtl/>
        </w:rPr>
        <w:t xml:space="preserve"> الحاجة إلى تحسين كل من إطار الرسوم والقدرة التشغيلية. وفي هذا السياق، تؤكد الدول الأعضاء مجددا</w:t>
      </w:r>
      <w:r w:rsidR="0069640E">
        <w:rPr>
          <w:rFonts w:hint="cs"/>
          <w:spacing w:val="-2"/>
          <w:rtl/>
        </w:rPr>
        <w:t>ً</w:t>
      </w:r>
      <w:r w:rsidRPr="00970A92">
        <w:rPr>
          <w:spacing w:val="-2"/>
          <w:rtl/>
        </w:rPr>
        <w:t xml:space="preserve"> أن استرداد التكاليف ينبغي أن يغطي جميع التكاليف المباشرة وحصة متناسبة من التكاليف غير المباشرة، استنادا</w:t>
      </w:r>
      <w:r w:rsidR="0069640E">
        <w:rPr>
          <w:rFonts w:hint="cs"/>
          <w:spacing w:val="-2"/>
          <w:rtl/>
        </w:rPr>
        <w:t>ً</w:t>
      </w:r>
      <w:r w:rsidRPr="00970A92">
        <w:rPr>
          <w:spacing w:val="-2"/>
          <w:rtl/>
        </w:rPr>
        <w:t xml:space="preserve"> إلى منهجيات توزيع واضحة، مع ضمان بقاء الرسوم مرتبطة بالخدمات المقدمة وألا تدعم أنشطة الاتحاد غير ذات الصلة. وفي حين أننا نلاحظ التقديم المقترح لنهج التكاليف القائم على الأنشطة كخطوة إيجابية نحو إبراز جهد المعالجة الفعلي المرتبط ببطاقات التبليغ عن الشبكات الساتلية على نحو أفضل، فإننا لا نزال نشعر بالقلق إزاء توزيع التكاليف غير المباشرة في المنهجية المقترحة، لا سيما عندما لا توجد صلة واضحة ويمكن إثباتها بأنشطة </w:t>
      </w:r>
      <w:r w:rsidR="00937F47">
        <w:rPr>
          <w:rFonts w:hint="cs"/>
          <w:spacing w:val="-2"/>
          <w:rtl/>
        </w:rPr>
        <w:t xml:space="preserve">بطاقات التبليغ عن </w:t>
      </w:r>
      <w:r w:rsidRPr="00970A92">
        <w:rPr>
          <w:spacing w:val="-2"/>
          <w:rtl/>
        </w:rPr>
        <w:t xml:space="preserve">الشبكات الساتلية. وفي هذا الصدد، نؤكد على أهمية التمييز بوضوح بين التكاليف التي توزع مباشرة </w:t>
      </w:r>
      <w:r w:rsidR="00937F47">
        <w:rPr>
          <w:rFonts w:hint="cs"/>
          <w:spacing w:val="-2"/>
          <w:rtl/>
        </w:rPr>
        <w:t>إلى</w:t>
      </w:r>
      <w:r w:rsidRPr="00970A92">
        <w:rPr>
          <w:spacing w:val="-2"/>
          <w:rtl/>
        </w:rPr>
        <w:t xml:space="preserve"> </w:t>
      </w:r>
      <w:r w:rsidR="00937F47">
        <w:rPr>
          <w:rFonts w:hint="cs"/>
          <w:spacing w:val="-2"/>
          <w:rtl/>
        </w:rPr>
        <w:t>بطاقات التبليغ عن ا</w:t>
      </w:r>
      <w:r w:rsidRPr="00970A92">
        <w:rPr>
          <w:spacing w:val="-2"/>
          <w:rtl/>
        </w:rPr>
        <w:t>لشبكات الساتلية والتكاليف المؤسسية الأوسع نطاقا</w:t>
      </w:r>
      <w:r w:rsidR="00164AAD">
        <w:rPr>
          <w:rFonts w:hint="cs"/>
          <w:spacing w:val="-2"/>
          <w:rtl/>
        </w:rPr>
        <w:t>ً</w:t>
      </w:r>
      <w:r w:rsidRPr="00970A92">
        <w:rPr>
          <w:spacing w:val="-2"/>
          <w:rtl/>
        </w:rPr>
        <w:t>، مما يضمن استرداد التكاليف المرتبطة فقط ببطاقات التبليغ عن الشبكات الساتلية إلى جانب حصة مناسبة ومتناسبة من النفقات العامة، من خلال رسوم بطاقات التبليغ عن الشبكات الساتلية، تماشي</w:t>
      </w:r>
      <w:r w:rsidR="00E54D55">
        <w:rPr>
          <w:spacing w:val="-2"/>
          <w:rtl/>
        </w:rPr>
        <w:t xml:space="preserve">اً </w:t>
      </w:r>
      <w:r w:rsidRPr="00970A92">
        <w:rPr>
          <w:spacing w:val="-2"/>
          <w:rtl/>
        </w:rPr>
        <w:t>مع مبادئ القرار 91 لمؤتمر المندوبين المفوضين.</w:t>
      </w:r>
    </w:p>
    <w:p w14:paraId="77F6AEDC" w14:textId="77128122" w:rsidR="00970A92" w:rsidRPr="00970A92" w:rsidRDefault="00F40575" w:rsidP="00F40575">
      <w:pPr>
        <w:pStyle w:val="Heading1"/>
        <w:rPr>
          <w:lang w:val="ar-SA" w:bidi="ar-EG"/>
        </w:rPr>
      </w:pPr>
      <w:r>
        <w:t>2</w:t>
      </w:r>
      <w:r>
        <w:tab/>
      </w:r>
      <w:r w:rsidR="00970A92" w:rsidRPr="00970A92">
        <w:rPr>
          <w:rtl/>
        </w:rPr>
        <w:t>الاستحقاقات المجانية</w:t>
      </w:r>
    </w:p>
    <w:p w14:paraId="4D9F2954" w14:textId="374F6FC7" w:rsidR="00970A92" w:rsidRPr="00970A92" w:rsidRDefault="00970A92" w:rsidP="00970A92">
      <w:pPr>
        <w:rPr>
          <w:lang w:val="ar-SA" w:bidi="ar-EG"/>
        </w:rPr>
      </w:pPr>
      <w:bookmarkStart w:id="0" w:name="_Hlk227083699"/>
      <w:r w:rsidRPr="00970A92">
        <w:rPr>
          <w:rtl/>
        </w:rPr>
        <w:t>ينص المقرر 482 على أن لكل دولة عضو الحق في الحصول على بطاقة تبليغ واحدة عن شبكة ساتلية</w:t>
      </w:r>
      <w:r w:rsidR="00937F47">
        <w:rPr>
          <w:rFonts w:hint="cs"/>
          <w:rtl/>
        </w:rPr>
        <w:t> </w:t>
      </w:r>
      <w:r w:rsidR="00937F47">
        <w:t>(SNF)</w:t>
      </w:r>
      <w:r w:rsidRPr="00970A92">
        <w:rPr>
          <w:rtl/>
        </w:rPr>
        <w:t xml:space="preserve"> سنويا</w:t>
      </w:r>
      <w:r w:rsidR="00164AAD">
        <w:rPr>
          <w:rFonts w:hint="cs"/>
          <w:rtl/>
        </w:rPr>
        <w:t>ً</w:t>
      </w:r>
      <w:r w:rsidRPr="00970A92">
        <w:rPr>
          <w:rtl/>
        </w:rPr>
        <w:t xml:space="preserve"> مجانا</w:t>
      </w:r>
      <w:r w:rsidR="00164AAD">
        <w:rPr>
          <w:rFonts w:hint="cs"/>
          <w:rtl/>
        </w:rPr>
        <w:t>ً</w:t>
      </w:r>
      <w:r w:rsidRPr="00970A92">
        <w:rPr>
          <w:rtl/>
        </w:rPr>
        <w:t xml:space="preserve"> (استحقاق مجاني)، ويسمح للإدارة المبلغة بتحديد بطاقات التبليغ التي تستفيد من هذا الاستحقاق. وفي حين أن هذه الآلية قُدمت لدعم النفاذ المنصف، فإننا نلاحظ أن تنفيذها الحالي قد يؤدي إلى عواقب غير مقصودة، بما في ذلك احتمال إساءة استعمال الاستحقاقات المجانية. </w:t>
      </w:r>
    </w:p>
    <w:p w14:paraId="6E015BA5" w14:textId="38F68D6E" w:rsidR="00970A92" w:rsidRPr="00970A92" w:rsidRDefault="00970A92" w:rsidP="00164AAD">
      <w:pPr>
        <w:keepNext/>
        <w:keepLines/>
        <w:rPr>
          <w:lang w:val="ar-SA" w:bidi="ar-EG"/>
        </w:rPr>
      </w:pPr>
      <w:r w:rsidRPr="00970A92">
        <w:rPr>
          <w:rtl/>
        </w:rPr>
        <w:lastRenderedPageBreak/>
        <w:t>وفي هذا الصدد، نشير إلى أن القرار 91 لمؤتمر المندوبين المفوضين ينص صراحة على الحفاظ على مستوى كاف من الخدمات المجانية، مما يجسد هدف الاتحاد المتمثل في ضمان النفاذ المنصف لجميع الدول الأعضاء. ومع ذلك، نلاحظ أن المنهجية المقترحة في الوثيقة C26/19 تدرج تكلفة الاستحقاقات المجانية ضمن قاعدة الرسوم الإجمالية، مما يعيد توزيع هذه التكلفة فعلي</w:t>
      </w:r>
      <w:r w:rsidR="006E4EE4">
        <w:rPr>
          <w:rtl/>
        </w:rPr>
        <w:t xml:space="preserve">اً </w:t>
      </w:r>
      <w:r w:rsidRPr="00970A92">
        <w:rPr>
          <w:rtl/>
        </w:rPr>
        <w:t>على المستعملين الذين يدفعون الرسوم. ونرى أن هذا النهج لا يعكس بوضوح الطبيعة السياساتية للاستحقاق المجاني على النحو المنصوص عليه في القرار 91 لمؤتمر المندوبين المفوضين، ولا يثبت وجود علاقة سببية مباشرة بين التكلفة والمستعملين الخاضعين لاسترداد التكاليف. وبناء على ذلك، نرى أن أي تعديلات تتعلق بالاستحقاق المجاني ينبغي أن تعالج من خلال تدابير هادفة ومتناسبة في إطار الاستحقاق ذاته، من أجل الحفاظ على التوازن بين استرداد التكاليف والنفاذ المنصف على النحو المنصوص عليه في القرار 91 لمؤتمر المندوبين المفوضين.</w:t>
      </w:r>
      <w:bookmarkEnd w:id="0"/>
    </w:p>
    <w:p w14:paraId="4525CADE" w14:textId="5369ADE6" w:rsidR="00970A92" w:rsidRPr="00970A92" w:rsidRDefault="00F40575" w:rsidP="00F40575">
      <w:pPr>
        <w:pStyle w:val="Heading1"/>
        <w:rPr>
          <w:lang w:val="ar-SA" w:bidi="ar-EG"/>
        </w:rPr>
      </w:pPr>
      <w:r>
        <w:t>3</w:t>
      </w:r>
      <w:r>
        <w:tab/>
      </w:r>
      <w:r w:rsidR="00970A92" w:rsidRPr="00970A92">
        <w:rPr>
          <w:rtl/>
        </w:rPr>
        <w:t>التكاليف غير المباشرة</w:t>
      </w:r>
    </w:p>
    <w:p w14:paraId="55E47F4A" w14:textId="2A78FAC5" w:rsidR="00970A92" w:rsidRPr="00970A92" w:rsidRDefault="00970A92" w:rsidP="00970A92">
      <w:pPr>
        <w:rPr>
          <w:lang w:val="ar-SA" w:bidi="ar-EG"/>
        </w:rPr>
      </w:pPr>
      <w:r w:rsidRPr="00970A92">
        <w:rPr>
          <w:rtl/>
        </w:rPr>
        <w:t xml:space="preserve">نشير إلى أن القرار 91 لمؤتمر المندوبين المفوضين ينص على أنه ينبغي تطبيق استرداد التكاليف بطريقة تضمن وجود صلة واضحة بين الخدمة المقدمة والتكاليف المستردة. وفي هذا السياق، نلاحظ أن المنهجية المقترحة تعتمد على مجمعات التكاليف والتوزيعات القائمة على الوكالة، لا سيما المحركات المتعلقة بالموظفين </w:t>
      </w:r>
      <w:r w:rsidR="006F594E">
        <w:rPr>
          <w:rFonts w:hint="cs"/>
          <w:rtl/>
        </w:rPr>
        <w:t>والحيز المكاني</w:t>
      </w:r>
      <w:r w:rsidRPr="00970A92">
        <w:rPr>
          <w:rtl/>
        </w:rPr>
        <w:t>، بدلا</w:t>
      </w:r>
      <w:r w:rsidR="00D55912">
        <w:rPr>
          <w:rFonts w:hint="cs"/>
          <w:rtl/>
        </w:rPr>
        <w:t>ً</w:t>
      </w:r>
      <w:r w:rsidRPr="00970A92">
        <w:rPr>
          <w:rtl/>
        </w:rPr>
        <w:t xml:space="preserve"> من اعتمادها على محركات قابلة للقياس على مستوى الأنشطة. وعلى هذا النحو، فهي لا تبين بشكل كاف مستوى توزيع التكاليف المطلوب لضمان التوزيع المناسب، على النحو المتوخى في القرار 91 لمؤتمر المندوبين المفوضين.</w:t>
      </w:r>
    </w:p>
    <w:p w14:paraId="39F40F27" w14:textId="40B21092" w:rsidR="00970A92" w:rsidRPr="00970A92" w:rsidRDefault="00970A92" w:rsidP="00970A92">
      <w:pPr>
        <w:rPr>
          <w:lang w:val="ar-SA" w:bidi="ar-EG"/>
        </w:rPr>
      </w:pPr>
      <w:r w:rsidRPr="00970A92">
        <w:rPr>
          <w:rtl/>
        </w:rPr>
        <w:t>وعلاوة</w:t>
      </w:r>
      <w:r w:rsidR="004E5414">
        <w:rPr>
          <w:rFonts w:hint="cs"/>
          <w:rtl/>
        </w:rPr>
        <w:t>ً</w:t>
      </w:r>
      <w:r w:rsidRPr="00970A92">
        <w:rPr>
          <w:rtl/>
        </w:rPr>
        <w:t xml:space="preserve"> على ذلك، نلاحظ أن القرار 91 لمؤتمر المندوبين المفوضين يشدد على تطبيق استرداد التكاليف على منتجات أو</w:t>
      </w:r>
      <w:r w:rsidR="00D55912">
        <w:rPr>
          <w:rFonts w:hint="cs"/>
          <w:rtl/>
        </w:rPr>
        <w:t> </w:t>
      </w:r>
      <w:r w:rsidRPr="00970A92">
        <w:rPr>
          <w:rtl/>
        </w:rPr>
        <w:t>خدمات محددة. إن الإدراج المقترح لعناصر تكلفة مؤسسية واسعة، خلاف تلك التي تعزى مباشرة إلى أنشطة بطاقات التبليغ عن الشبكات الساتلية، قد يهدد بإضعاف الصلة بين الرسم والخدمة المقدمة، وقد لا يتماشى تمام</w:t>
      </w:r>
      <w:r w:rsidR="006E4EE4">
        <w:rPr>
          <w:rtl/>
        </w:rPr>
        <w:t xml:space="preserve">اً </w:t>
      </w:r>
      <w:r w:rsidRPr="00970A92">
        <w:rPr>
          <w:rtl/>
        </w:rPr>
        <w:t>مع هذا المبدأ.</w:t>
      </w:r>
    </w:p>
    <w:p w14:paraId="62F619C4" w14:textId="1B3C0EC5" w:rsidR="00970A92" w:rsidRPr="00970A92" w:rsidRDefault="00970A92" w:rsidP="006A5F2A">
      <w:pPr>
        <w:rPr>
          <w:spacing w:val="-2"/>
          <w:lang w:val="ar-SA" w:bidi="ar-EG"/>
        </w:rPr>
      </w:pPr>
      <w:r w:rsidRPr="00970A92">
        <w:rPr>
          <w:spacing w:val="-2"/>
          <w:rtl/>
        </w:rPr>
        <w:t>وبالإضافة إلى ذلك، نلاحظ أن الاعتماد على</w:t>
      </w:r>
      <w:r w:rsidR="004E5414">
        <w:rPr>
          <w:rFonts w:hint="cs"/>
          <w:spacing w:val="-2"/>
          <w:rtl/>
        </w:rPr>
        <w:t xml:space="preserve"> </w:t>
      </w:r>
      <w:r w:rsidRPr="00970A92">
        <w:rPr>
          <w:spacing w:val="-2"/>
          <w:rtl/>
        </w:rPr>
        <w:t>محركات التوزيع المتصلة بالموظفين، بما في ذلك تلك المرتبطة ب</w:t>
      </w:r>
      <w:r w:rsidR="006A5F2A">
        <w:rPr>
          <w:rFonts w:hint="cs"/>
          <w:spacing w:val="-2"/>
          <w:rtl/>
        </w:rPr>
        <w:t xml:space="preserve">أنشطة بطاقات التبليغ عن </w:t>
      </w:r>
      <w:r w:rsidRPr="00970A92">
        <w:rPr>
          <w:spacing w:val="-2"/>
          <w:rtl/>
        </w:rPr>
        <w:t>الشبكات الساتلية، قد يؤدي إلى آثار مركبة في توزيع التكاليف غير المباشرة. وفي مثل هذه الحالات، قد تؤدي الزيادات في</w:t>
      </w:r>
      <w:r w:rsidR="004E5414">
        <w:rPr>
          <w:rFonts w:hint="cs"/>
          <w:spacing w:val="-2"/>
          <w:rtl/>
        </w:rPr>
        <w:t> </w:t>
      </w:r>
      <w:r w:rsidRPr="00970A92">
        <w:rPr>
          <w:spacing w:val="-2"/>
          <w:rtl/>
        </w:rPr>
        <w:t>مستويات التوظيف المتعلقة ببطاقات التبليغ عن الشبكات الساتلية إلى زيادة مركبة في التكاليف غير المباشرة الموزعة عبر مجموعات تكاليف متعددة، حتى في الحالات التي يظل فيها عبء العمل الأساسي أو استخدام النظام المرتبط ببطاقات التبليغ عن الشبكات الساتلية دون تغيير. ويثير ذلك شواغل بشأن دقة مستويات استرداد التكاليف الناتجة وتناسبها.</w:t>
      </w:r>
    </w:p>
    <w:p w14:paraId="164762CD" w14:textId="40EE8733" w:rsidR="00970A92" w:rsidRPr="00970A92" w:rsidRDefault="00970A92" w:rsidP="00970A92">
      <w:pPr>
        <w:rPr>
          <w:spacing w:val="-2"/>
          <w:lang w:val="ar-SA" w:bidi="ar-EG"/>
        </w:rPr>
      </w:pPr>
      <w:r w:rsidRPr="00970A92">
        <w:rPr>
          <w:spacing w:val="-2"/>
          <w:rtl/>
        </w:rPr>
        <w:t>وفي حين أن إدراج التكاليف غير المباشرة قد يكون متسق</w:t>
      </w:r>
      <w:r w:rsidR="006E4EE4">
        <w:rPr>
          <w:spacing w:val="-2"/>
          <w:rtl/>
        </w:rPr>
        <w:t xml:space="preserve">اً </w:t>
      </w:r>
      <w:r w:rsidRPr="00970A92">
        <w:rPr>
          <w:spacing w:val="-2"/>
          <w:rtl/>
        </w:rPr>
        <w:t>مع القرار 91 لمؤتمر المندوبين المفوضين، فإننا نعتبر أن منهجية التوزيع المقترحة، في شكلها الحالي، لا تقيم بما يكفي علاقة سببية واضحة يمكن إثباتها بين التكاليف المنسوبة والاستخدام الفعلي لخدمات بطاقات التبليغ عن الشبكات الساتلية.</w:t>
      </w:r>
    </w:p>
    <w:p w14:paraId="4BA609D8" w14:textId="17631219" w:rsidR="00970A92" w:rsidRPr="00970A92" w:rsidRDefault="00F40575" w:rsidP="00F40575">
      <w:pPr>
        <w:pStyle w:val="Heading1"/>
        <w:rPr>
          <w:lang w:val="ar-SA" w:bidi="ar-EG"/>
        </w:rPr>
      </w:pPr>
      <w:r>
        <w:t>4</w:t>
      </w:r>
      <w:r>
        <w:tab/>
      </w:r>
      <w:r w:rsidR="00970A92" w:rsidRPr="00970A92">
        <w:rPr>
          <w:rtl/>
        </w:rPr>
        <w:t>إدخال تحسينات على المنهجية المقترحة</w:t>
      </w:r>
    </w:p>
    <w:p w14:paraId="3BD4863A" w14:textId="495936A6" w:rsidR="00970A92" w:rsidRPr="00970A92" w:rsidRDefault="00970A92" w:rsidP="00970A92">
      <w:pPr>
        <w:rPr>
          <w:lang w:val="ar-SA" w:bidi="ar-EG"/>
        </w:rPr>
      </w:pPr>
      <w:r w:rsidRPr="00970A92">
        <w:rPr>
          <w:rtl/>
        </w:rPr>
        <w:t>نلاحظ أن طلبات التنسيق تظل دون معالجة لفترات طويلة، متجاوزة كثيرا</w:t>
      </w:r>
      <w:r w:rsidR="00A33352">
        <w:rPr>
          <w:rFonts w:hint="cs"/>
          <w:rtl/>
        </w:rPr>
        <w:t>ً</w:t>
      </w:r>
      <w:r w:rsidRPr="00970A92">
        <w:rPr>
          <w:rtl/>
        </w:rPr>
        <w:t xml:space="preserve"> الأطر الزمنية التنظيمية، ويرجع ذلك أساسا</w:t>
      </w:r>
      <w:r w:rsidR="00A33352">
        <w:rPr>
          <w:rFonts w:hint="cs"/>
          <w:rtl/>
        </w:rPr>
        <w:t>ً</w:t>
      </w:r>
      <w:r w:rsidRPr="00970A92">
        <w:rPr>
          <w:rtl/>
        </w:rPr>
        <w:t xml:space="preserve"> إلى زيادة عبء العمل والقيود على الموارد. وقد أدى ذلك إلى تراكم عدد كبير من بطاقات التبليغ وخفض الوقت المتاح للإدارات لوضع الشبكات في الخدمة، مما زاد من عدم اليقين التنظيمي. وفي هذا السياق، نرى أنه ينبغي استكمال منهجية استرداد تكاليف بطاقات التبليغ عن الشبكات الساتلية عن طريق التنبؤ الفعال بعبء العمل وتخطيط القدرات، بما</w:t>
      </w:r>
      <w:r w:rsidR="00A33352">
        <w:rPr>
          <w:rFonts w:hint="cs"/>
          <w:rtl/>
        </w:rPr>
        <w:t> </w:t>
      </w:r>
      <w:r w:rsidRPr="00970A92">
        <w:rPr>
          <w:rtl/>
        </w:rPr>
        <w:t>يضمن أن تدعم مستويات الرسوم المكتب في توظيف الخبرات اللازمة والاحتفاظ بها وفي الاستثمار في الأدوات والأنظمة لتحسين الكفاءة. وفي الوقت نفسه، نؤكد على أهمية الحفاظ على مستويات ثابتة وقابلة للتنبؤ بها، إذ قد تؤدي التعديلات المتكررة أو الهامة إلى تقويض التخطيط للإدارات والمشغلين. وعليه، نرى فائدة في تقديم آليات تكيف منظمة وشفافة، بما في ذلك نهج متعددة السنوات لتسهيل التباينات وتوفير قدر أكبر من القدرة على التنبؤ، فضلا</w:t>
      </w:r>
      <w:r w:rsidR="00A33352">
        <w:rPr>
          <w:rFonts w:hint="cs"/>
          <w:rtl/>
        </w:rPr>
        <w:t>ً</w:t>
      </w:r>
      <w:r w:rsidRPr="00970A92">
        <w:rPr>
          <w:rtl/>
        </w:rPr>
        <w:t xml:space="preserve"> عن ضمانات للتخفيف من الآثار المالية المفاجئة. ونلاحظ أيض</w:t>
      </w:r>
      <w:r w:rsidR="006E4EE4">
        <w:rPr>
          <w:rtl/>
        </w:rPr>
        <w:t xml:space="preserve">اً </w:t>
      </w:r>
      <w:r w:rsidRPr="00970A92">
        <w:rPr>
          <w:rtl/>
        </w:rPr>
        <w:t>أن النمو المستمر للكوكبات الكبيرة غير المستقرة بالنسبة إلى الأرض يمثل محركا</w:t>
      </w:r>
      <w:r w:rsidR="006B362D">
        <w:rPr>
          <w:rFonts w:hint="cs"/>
          <w:rtl/>
        </w:rPr>
        <w:t>ً</w:t>
      </w:r>
      <w:r w:rsidRPr="00970A92">
        <w:rPr>
          <w:rtl/>
        </w:rPr>
        <w:t xml:space="preserve"> رئيسيا</w:t>
      </w:r>
      <w:r w:rsidR="006B362D">
        <w:rPr>
          <w:rFonts w:hint="cs"/>
          <w:rtl/>
        </w:rPr>
        <w:t>ً</w:t>
      </w:r>
      <w:r w:rsidRPr="00970A92">
        <w:rPr>
          <w:rtl/>
        </w:rPr>
        <w:t xml:space="preserve"> لزيادة عبء العمل والتعقيد، وفي هذا الصدد، نعتبر أن تحسينات إضافية للمنهجية يمكن أن تكون مفيدة، بما في ذلك تعزيز الشفافية من خلال الإبلاغ المنتظم عن التكاليف وعبء العمل، وتعزيز الرقابة من خلال المجلس، وإدخال مؤشرات أداء واضحة مثل أوقات المعالجة ومستويات الأعمال المتراكمة، وضمان تنفيذ أي تعديلات للرسوم بطريقة تدريجية ومتناسبة، مع مراعاة احتياجات الإدارات ذات الموارد المحدودة.</w:t>
      </w:r>
    </w:p>
    <w:p w14:paraId="632E21FB" w14:textId="52A74E43" w:rsidR="00970A92" w:rsidRPr="00970A92" w:rsidRDefault="00F40575" w:rsidP="00F40575">
      <w:pPr>
        <w:pStyle w:val="Heading1"/>
        <w:rPr>
          <w:lang w:val="ar-SA" w:bidi="ar-EG"/>
        </w:rPr>
      </w:pPr>
      <w:r>
        <w:lastRenderedPageBreak/>
        <w:t>5</w:t>
      </w:r>
      <w:r>
        <w:tab/>
      </w:r>
      <w:r w:rsidR="00970A92" w:rsidRPr="00970A92">
        <w:rPr>
          <w:rtl/>
        </w:rPr>
        <w:t>الـتأخير في لمعالجة بطاقات التبليغ عن الشبكات الساتلية</w:t>
      </w:r>
    </w:p>
    <w:p w14:paraId="7BDA7BE3" w14:textId="5879290B" w:rsidR="00970A92" w:rsidRPr="00970A92" w:rsidRDefault="00970A92" w:rsidP="00970A92">
      <w:pPr>
        <w:rPr>
          <w:spacing w:val="-2"/>
          <w:lang w:val="ar-SA" w:bidi="ar-EG"/>
        </w:rPr>
      </w:pPr>
      <w:r w:rsidRPr="00970A92">
        <w:rPr>
          <w:spacing w:val="-2"/>
          <w:rtl/>
        </w:rPr>
        <w:t>خلال الاجتماع الثالث والثلاثين للفريق الاستشاري للاتصالات الراديوية</w:t>
      </w:r>
      <w:r w:rsidR="006B362D" w:rsidRPr="00A1049B">
        <w:rPr>
          <w:rFonts w:hint="cs"/>
          <w:spacing w:val="-2"/>
          <w:rtl/>
        </w:rPr>
        <w:t xml:space="preserve"> </w:t>
      </w:r>
      <w:r w:rsidR="006B362D" w:rsidRPr="00A1049B">
        <w:rPr>
          <w:spacing w:val="-2"/>
        </w:rPr>
        <w:t>(RAG)</w:t>
      </w:r>
      <w:r w:rsidRPr="00970A92">
        <w:rPr>
          <w:spacing w:val="-2"/>
          <w:rtl/>
        </w:rPr>
        <w:t>، سلط الضوء على عدة مسائل تتعلق بمعالجة بطاقات التبليغ عن الشبكات الساتلية، لا سيما في ضوء التأثير المتزايد للتأخير على الإدارات والمشغلين. وأصبح التأخير في نشر بطاقات التبليغ ومعالجتها تحدي</w:t>
      </w:r>
      <w:r w:rsidR="000F4E83" w:rsidRPr="00A1049B">
        <w:rPr>
          <w:rFonts w:hint="cs"/>
          <w:spacing w:val="-2"/>
          <w:rtl/>
        </w:rPr>
        <w:t>اً</w:t>
      </w:r>
      <w:r w:rsidRPr="00970A92">
        <w:rPr>
          <w:spacing w:val="-2"/>
          <w:rtl/>
        </w:rPr>
        <w:t xml:space="preserve"> عمليا</w:t>
      </w:r>
      <w:r w:rsidR="000F4E83" w:rsidRPr="00A1049B">
        <w:rPr>
          <w:rFonts w:hint="cs"/>
          <w:spacing w:val="-2"/>
          <w:rtl/>
        </w:rPr>
        <w:t>ً</w:t>
      </w:r>
      <w:r w:rsidRPr="00970A92">
        <w:rPr>
          <w:spacing w:val="-2"/>
          <w:rtl/>
        </w:rPr>
        <w:t xml:space="preserve"> يؤثر مباشرة على قدرة الإدارات على استكمال الإجراءات التنظيمية ضمن الأطر الزمنية المنصوص عليها في المادة </w:t>
      </w:r>
      <w:r w:rsidR="000F4E83" w:rsidRPr="00A1049B">
        <w:rPr>
          <w:spacing w:val="-2"/>
        </w:rPr>
        <w:t>38.9</w:t>
      </w:r>
      <w:r w:rsidRPr="00970A92">
        <w:rPr>
          <w:spacing w:val="-2"/>
          <w:rtl/>
        </w:rPr>
        <w:t xml:space="preserve"> من لوائح الراديو، بما في ذلك تلك المتعلقة بنشر الشبكات والتنسيق الدولي. وفي هذا الصدد، أكد الفريق الاستشاري للاتصالات الراديوية، على النحو المبين في مذكرة الرئيس إلى المجلس (</w:t>
      </w:r>
      <w:hyperlink r:id="rId12" w:history="1">
        <w:r w:rsidRPr="00970A92">
          <w:rPr>
            <w:rStyle w:val="Hyperlink"/>
            <w:noProof w:val="0"/>
            <w:spacing w:val="-2"/>
            <w:rtl/>
            <w:lang w:val="en-US" w:eastAsia="zh-CN"/>
          </w:rPr>
          <w:t>الرسالة المعممة رقم 281</w:t>
        </w:r>
      </w:hyperlink>
      <w:r w:rsidRPr="00970A92">
        <w:rPr>
          <w:spacing w:val="-2"/>
          <w:rtl/>
        </w:rPr>
        <w:t xml:space="preserve">)، على الصعوبة المتزايدة التي يواجهها مكتب الاتصالات الراديوية في الوفاء بالجداول الزمنية المحددة للمعالجة، مما يؤدي إلى تقليص فترات التنفيذ وزيادة عدم اليقين التنظيمي للإدارات. ويشير </w:t>
      </w:r>
      <w:hyperlink r:id="rId13" w:history="1">
        <w:r w:rsidRPr="00970A92">
          <w:rPr>
            <w:rStyle w:val="Hyperlink"/>
            <w:noProof w:val="0"/>
            <w:spacing w:val="-2"/>
            <w:rtl/>
            <w:lang w:val="en-US" w:eastAsia="zh-CN"/>
          </w:rPr>
          <w:t>تقرير مدير مكتب الاتصالات الراديوية</w:t>
        </w:r>
      </w:hyperlink>
      <w:r w:rsidRPr="00970A92">
        <w:rPr>
          <w:spacing w:val="-2"/>
          <w:rtl/>
        </w:rPr>
        <w:t xml:space="preserve"> كذلك إلى أن هذه التحديات تنشأ وسط ضغوط تشغيلية ومالية متزايدة مدفوعة بالموارد البشرية المحدودة وزيادة حجم وتعقيد بطاقات التبليغ عن الخدمات الفضائية. وتبين البيانات المتاحة وجود فجوة واضحة بين المتطلبات التنظيمية والقدرة التشغيلية الحالية، إذ تستغرق طلبات التنسيق التي ينبغي معالجتها في غضون أربعة أشهر الآن حوالي أربعة عشر شهر</w:t>
      </w:r>
      <w:r w:rsidR="000B48DF">
        <w:rPr>
          <w:spacing w:val="-2"/>
          <w:rtl/>
        </w:rPr>
        <w:t>اً،</w:t>
      </w:r>
      <w:r w:rsidRPr="00970A92">
        <w:rPr>
          <w:spacing w:val="-2"/>
          <w:rtl/>
        </w:rPr>
        <w:t xml:space="preserve"> مما يعكس اختلالاً كبير</w:t>
      </w:r>
      <w:r w:rsidR="006E4EE4">
        <w:rPr>
          <w:spacing w:val="-2"/>
          <w:rtl/>
        </w:rPr>
        <w:t xml:space="preserve">اً </w:t>
      </w:r>
      <w:r w:rsidRPr="00970A92">
        <w:rPr>
          <w:spacing w:val="-2"/>
          <w:rtl/>
        </w:rPr>
        <w:t>بين عبء العمل والموارد المتاحة. وفي هذا السياق، تسعى هذه المساهمة إلى تسليط الضوء على الآثار العملية والتنظيمية لهذه التأخيرات، مدعومة ببيانات وأمثلة، والدعوة إلى تقديم الدعم المناسب من المجلس لتمكين المكتب من التصدي لهذه التحديات وتحسين الكفاءة التشغيلية بما يتماشى مع المتطلبات التنظيمية.</w:t>
      </w:r>
      <w:hyperlink r:id="rId14" w:history="1"/>
      <w:hyperlink r:id="rId15" w:history="1"/>
    </w:p>
    <w:p w14:paraId="07CFAE47" w14:textId="37473FE8" w:rsidR="00970A92" w:rsidRDefault="00970A92" w:rsidP="00970A92">
      <w:pPr>
        <w:rPr>
          <w:spacing w:val="-4"/>
          <w:rtl/>
        </w:rPr>
      </w:pPr>
      <w:r w:rsidRPr="00970A92">
        <w:rPr>
          <w:spacing w:val="-4"/>
          <w:rtl/>
        </w:rPr>
        <w:t xml:space="preserve">وتشير البيانات المتاحة إلى وجود فجوة واضحة بين المتطلبات التنظيمية المنصوص عليها في لوائح الراديو والقدرة التشغيلية الحالية لمكتب الاتصالات الراديوية. وبموجب </w:t>
      </w:r>
      <w:r w:rsidRPr="006F594E">
        <w:rPr>
          <w:spacing w:val="-4"/>
          <w:rtl/>
        </w:rPr>
        <w:t>الحكم</w:t>
      </w:r>
      <w:r w:rsidRPr="00970A92">
        <w:rPr>
          <w:spacing w:val="-4"/>
          <w:rtl/>
        </w:rPr>
        <w:t xml:space="preserve"> </w:t>
      </w:r>
      <w:r w:rsidR="00A1049B" w:rsidRPr="0096098A">
        <w:rPr>
          <w:spacing w:val="-4"/>
        </w:rPr>
        <w:t>38.9</w:t>
      </w:r>
      <w:r w:rsidRPr="00970A92">
        <w:rPr>
          <w:spacing w:val="-4"/>
          <w:rtl/>
        </w:rPr>
        <w:t>، ينبغي معالجة طلبات التنسيق في غضون أربعة أشهر؛ ومع ذلك، فقد وصلت أوقات المعالجة الفعلية إلى حوالي أربعة عشر شهرا</w:t>
      </w:r>
      <w:r w:rsidR="0096098A" w:rsidRPr="0096098A">
        <w:rPr>
          <w:rFonts w:hint="cs"/>
          <w:spacing w:val="-4"/>
          <w:rtl/>
        </w:rPr>
        <w:t>ً</w:t>
      </w:r>
      <w:r w:rsidRPr="00970A92">
        <w:rPr>
          <w:spacing w:val="-4"/>
          <w:rtl/>
        </w:rPr>
        <w:t>، وهو ما تم تأكيده أيض</w:t>
      </w:r>
      <w:r w:rsidR="0096098A" w:rsidRPr="0096098A">
        <w:rPr>
          <w:rFonts w:hint="cs"/>
          <w:spacing w:val="-4"/>
          <w:rtl/>
        </w:rPr>
        <w:t>اً</w:t>
      </w:r>
      <w:r w:rsidRPr="00970A92">
        <w:rPr>
          <w:spacing w:val="-4"/>
          <w:rtl/>
        </w:rPr>
        <w:t xml:space="preserve"> في الرسالة المعممة رقم 281، مما</w:t>
      </w:r>
      <w:r w:rsidR="0096098A">
        <w:rPr>
          <w:rFonts w:hint="cs"/>
          <w:spacing w:val="-4"/>
          <w:rtl/>
        </w:rPr>
        <w:t> </w:t>
      </w:r>
      <w:r w:rsidRPr="00970A92">
        <w:rPr>
          <w:spacing w:val="-4"/>
          <w:rtl/>
        </w:rPr>
        <w:t>يعكس اختلال</w:t>
      </w:r>
      <w:r w:rsidR="006E4EE4">
        <w:rPr>
          <w:spacing w:val="-4"/>
          <w:rtl/>
        </w:rPr>
        <w:t xml:space="preserve">اً </w:t>
      </w:r>
      <w:r w:rsidRPr="00970A92">
        <w:rPr>
          <w:spacing w:val="-4"/>
          <w:rtl/>
        </w:rPr>
        <w:t>كبير</w:t>
      </w:r>
      <w:r w:rsidR="006E4EE4">
        <w:rPr>
          <w:spacing w:val="-4"/>
          <w:rtl/>
        </w:rPr>
        <w:t xml:space="preserve">اً </w:t>
      </w:r>
      <w:r w:rsidRPr="00970A92">
        <w:rPr>
          <w:spacing w:val="-4"/>
          <w:rtl/>
        </w:rPr>
        <w:t>بين زيادة عبء العمل والموارد المتاحة.</w:t>
      </w:r>
    </w:p>
    <w:p w14:paraId="3B03AD20" w14:textId="0CFB19AD" w:rsidR="0096098A" w:rsidRPr="002E52F4" w:rsidRDefault="00A1542B" w:rsidP="0096098A">
      <w:pPr>
        <w:pStyle w:val="Figure"/>
        <w:jc w:val="center"/>
        <w:rPr>
          <w:rtl/>
        </w:rPr>
      </w:pPr>
      <w:bookmarkStart w:id="1" w:name="_Hlk213686883"/>
      <w:r w:rsidRPr="00AB7E18">
        <w:rPr>
          <w:rFonts w:asciiTheme="minorHAnsi" w:hAnsiTheme="minorHAnsi" w:cstheme="minorHAnsi"/>
          <w:lang w:bidi="ar-EG"/>
        </w:rPr>
        <w:drawing>
          <wp:inline distT="0" distB="0" distL="0" distR="0" wp14:anchorId="1814C86F" wp14:editId="705A01D8">
            <wp:extent cx="5353050" cy="267796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01807" cy="2702360"/>
                    </a:xfrm>
                    <a:prstGeom prst="rect">
                      <a:avLst/>
                    </a:prstGeom>
                    <a:noFill/>
                  </pic:spPr>
                </pic:pic>
              </a:graphicData>
            </a:graphic>
          </wp:inline>
        </w:drawing>
      </w:r>
    </w:p>
    <w:bookmarkEnd w:id="1"/>
    <w:p w14:paraId="2A6D28A6" w14:textId="77777777" w:rsidR="00D0653D" w:rsidRDefault="00970A92" w:rsidP="00D0653D">
      <w:pPr>
        <w:pStyle w:val="FigureNo"/>
        <w:rPr>
          <w:rtl/>
          <w:lang w:val="ar-SA" w:bidi="ar-EG"/>
        </w:rPr>
      </w:pPr>
      <w:r w:rsidRPr="00970A92">
        <w:rPr>
          <w:rtl/>
        </w:rPr>
        <w:t>الشكل 1</w:t>
      </w:r>
    </w:p>
    <w:p w14:paraId="5C5A313B" w14:textId="3C9FC440" w:rsidR="00970A92" w:rsidRPr="00970A92" w:rsidRDefault="00970A92" w:rsidP="008359FF">
      <w:pPr>
        <w:pStyle w:val="Figuretitle"/>
        <w:spacing w:after="120"/>
        <w:rPr>
          <w:lang w:val="ar-SA" w:bidi="ar-EG"/>
        </w:rPr>
      </w:pPr>
      <w:r w:rsidRPr="00970A92">
        <w:rPr>
          <w:rtl/>
        </w:rPr>
        <w:t xml:space="preserve">نشر طلبات التنسيق </w:t>
      </w:r>
      <w:r w:rsidRPr="00970A92">
        <w:rPr>
          <w:lang w:bidi="ar-EG"/>
        </w:rPr>
        <w:t>(CR/C)</w:t>
      </w:r>
      <w:r w:rsidRPr="00970A92">
        <w:rPr>
          <w:rtl/>
        </w:rPr>
        <w:t xml:space="preserve"> للشبكات الساتلية (آخر 15 شهرا</w:t>
      </w:r>
      <w:r w:rsidR="006D6EB0">
        <w:rPr>
          <w:rFonts w:hint="cs"/>
          <w:rtl/>
        </w:rPr>
        <w:t>ً</w:t>
      </w:r>
      <w:r w:rsidRPr="00970A92">
        <w:rPr>
          <w:rtl/>
        </w:rPr>
        <w:t>)</w:t>
      </w:r>
    </w:p>
    <w:p w14:paraId="0B1F87F1" w14:textId="77777777" w:rsidR="00970A92" w:rsidRPr="00970A92" w:rsidRDefault="00970A92" w:rsidP="008359FF">
      <w:pPr>
        <w:spacing w:after="240"/>
        <w:jc w:val="center"/>
        <w:rPr>
          <w:lang w:val="ar-SA" w:bidi="ar-EG"/>
        </w:rPr>
      </w:pPr>
      <w:r w:rsidRPr="00970A92">
        <w:rPr>
          <w:rtl/>
        </w:rPr>
        <w:t xml:space="preserve">(بيانات مجمعة من إحصاءات الخدمات الفضائية، انظر </w:t>
      </w:r>
      <w:hyperlink r:id="rId17" w:history="1">
        <w:r w:rsidRPr="00970A92">
          <w:rPr>
            <w:rStyle w:val="Hyperlink"/>
            <w:noProof w:val="0"/>
            <w:rtl/>
            <w:lang w:val="en-US" w:eastAsia="zh-CN"/>
          </w:rPr>
          <w:t>الموقع الإلكتروني</w:t>
        </w:r>
      </w:hyperlink>
      <w:r w:rsidRPr="00970A92">
        <w:rPr>
          <w:rtl/>
        </w:rPr>
        <w:t>)</w:t>
      </w:r>
      <w:hyperlink r:id="rId18" w:history="1"/>
    </w:p>
    <w:p w14:paraId="53AEE46B" w14:textId="4EFE8024" w:rsidR="00970A92" w:rsidRPr="00970A92" w:rsidRDefault="00970A92" w:rsidP="00970A92">
      <w:pPr>
        <w:rPr>
          <w:spacing w:val="-4"/>
          <w:lang w:val="ar-SA" w:bidi="ar-EG"/>
        </w:rPr>
      </w:pPr>
      <w:r w:rsidRPr="00970A92">
        <w:rPr>
          <w:spacing w:val="-4"/>
          <w:rtl/>
        </w:rPr>
        <w:t>كما هو موضح في الشكل 1، على الرغم من أن عدد بطاقات التبليغ قيد المعالجة لا يزال مرتفع</w:t>
      </w:r>
      <w:r w:rsidR="000B48DF">
        <w:rPr>
          <w:spacing w:val="-4"/>
          <w:rtl/>
        </w:rPr>
        <w:t>اً،</w:t>
      </w:r>
      <w:r w:rsidRPr="00970A92">
        <w:rPr>
          <w:spacing w:val="-4"/>
          <w:rtl/>
        </w:rPr>
        <w:t xml:space="preserve"> لوحظ حدوث بعض الانخفاض بسبب الجهود التشغيلية؛ ومع ذلك، فإن استمرار الحجم الكبير للطلبات الواردة وعدم كفاية عدد بطاقات التبليغ المنشورة قد</w:t>
      </w:r>
      <w:r w:rsidR="00D0653D">
        <w:rPr>
          <w:rFonts w:hint="cs"/>
          <w:spacing w:val="-4"/>
          <w:rtl/>
        </w:rPr>
        <w:t> </w:t>
      </w:r>
      <w:r w:rsidRPr="00970A92">
        <w:rPr>
          <w:spacing w:val="-4"/>
          <w:rtl/>
        </w:rPr>
        <w:t>حال دون حدوث انخفاض مستدام في الأعمال المتراكمة. وتظل أوقات المعالجة في حدود 13 إلى 17 شهر</w:t>
      </w:r>
      <w:r w:rsidR="007154E8" w:rsidRPr="00D0653D">
        <w:rPr>
          <w:rFonts w:hint="cs"/>
          <w:spacing w:val="-4"/>
          <w:rtl/>
        </w:rPr>
        <w:t>اً</w:t>
      </w:r>
      <w:r w:rsidRPr="00970A92">
        <w:rPr>
          <w:spacing w:val="-4"/>
          <w:rtl/>
        </w:rPr>
        <w:t>، أي أعلى بكثير من الحد التنظيمي. وتنشأ هذه التحديات في سياق قيود التوظيف والشواغر الشاغرة، إلى جانب قيود الميزانية الأوسع نطاقا</w:t>
      </w:r>
      <w:r w:rsidR="00C12DCE">
        <w:rPr>
          <w:rFonts w:hint="cs"/>
          <w:spacing w:val="-4"/>
          <w:rtl/>
        </w:rPr>
        <w:t>ً</w:t>
      </w:r>
      <w:r w:rsidRPr="00970A92">
        <w:rPr>
          <w:spacing w:val="-4"/>
          <w:rtl/>
        </w:rPr>
        <w:t>، في</w:t>
      </w:r>
      <w:r w:rsidR="00D0653D">
        <w:rPr>
          <w:rFonts w:hint="cs"/>
          <w:spacing w:val="-4"/>
          <w:rtl/>
        </w:rPr>
        <w:t> </w:t>
      </w:r>
      <w:r w:rsidRPr="00970A92">
        <w:rPr>
          <w:spacing w:val="-4"/>
          <w:rtl/>
        </w:rPr>
        <w:t>حين يستمر القطاع الساتلي في النمو بسرعة من حيث الحجم والتعقيد، مدفوع</w:t>
      </w:r>
      <w:r w:rsidR="00594BA9">
        <w:rPr>
          <w:spacing w:val="-4"/>
          <w:rtl/>
        </w:rPr>
        <w:t xml:space="preserve">اً </w:t>
      </w:r>
      <w:r w:rsidRPr="00970A92">
        <w:rPr>
          <w:spacing w:val="-4"/>
          <w:rtl/>
        </w:rPr>
        <w:t>بتوسع الأنظمة والخدمات الجديدة وزيادة التكامل مع الشبكات الأرضية، مما يضع ضغط</w:t>
      </w:r>
      <w:r w:rsidR="00594BA9">
        <w:rPr>
          <w:spacing w:val="-4"/>
          <w:rtl/>
        </w:rPr>
        <w:t xml:space="preserve">اً </w:t>
      </w:r>
      <w:r w:rsidRPr="00970A92">
        <w:rPr>
          <w:spacing w:val="-4"/>
          <w:rtl/>
        </w:rPr>
        <w:t>مستمر</w:t>
      </w:r>
      <w:r w:rsidR="00594BA9">
        <w:rPr>
          <w:spacing w:val="-4"/>
          <w:rtl/>
        </w:rPr>
        <w:t xml:space="preserve">اً </w:t>
      </w:r>
      <w:r w:rsidRPr="00970A92">
        <w:rPr>
          <w:spacing w:val="-4"/>
          <w:rtl/>
        </w:rPr>
        <w:t>على القدرة التشغيلية للمكتب.</w:t>
      </w:r>
    </w:p>
    <w:p w14:paraId="777DBBBA" w14:textId="77777777" w:rsidR="00970A92" w:rsidRPr="00970A92" w:rsidRDefault="00970A92" w:rsidP="00D0653D">
      <w:pPr>
        <w:pStyle w:val="TableNo"/>
        <w:rPr>
          <w:lang w:val="ar-SA" w:bidi="ar-EG"/>
        </w:rPr>
      </w:pPr>
      <w:r w:rsidRPr="00970A92">
        <w:rPr>
          <w:rtl/>
        </w:rPr>
        <w:lastRenderedPageBreak/>
        <w:t>الجدول 1</w:t>
      </w:r>
    </w:p>
    <w:p w14:paraId="2D97CD20" w14:textId="77777777" w:rsidR="00970A92" w:rsidRPr="00970A92" w:rsidRDefault="00970A92" w:rsidP="00D0653D">
      <w:pPr>
        <w:pStyle w:val="Tabletitle"/>
        <w:rPr>
          <w:lang w:val="ar-SA" w:bidi="ar-EG"/>
        </w:rPr>
      </w:pPr>
      <w:r w:rsidRPr="00970A92">
        <w:rPr>
          <w:rtl/>
        </w:rPr>
        <w:t>الشبكات الساتلية للمملكة العربية السعودية المتأثرة بتأخير المعالجة</w:t>
      </w:r>
    </w:p>
    <w:p w14:paraId="33A51686" w14:textId="77777777" w:rsidR="00970A92" w:rsidRPr="00970A92" w:rsidRDefault="00970A92" w:rsidP="00D0653D">
      <w:pPr>
        <w:jc w:val="center"/>
        <w:rPr>
          <w:lang w:val="ar-SA" w:bidi="ar-EG"/>
        </w:rPr>
      </w:pPr>
      <w:r w:rsidRPr="00970A92">
        <w:rPr>
          <w:rtl/>
        </w:rPr>
        <w:t>(بيانات مجمعة من قاعدة بيانات أنظمة الشبكات الساتلية لمكتب الاتصالات الراديوية)</w:t>
      </w:r>
    </w:p>
    <w:p w14:paraId="5F5DDA9C" w14:textId="415633C3" w:rsidR="00970A92" w:rsidRDefault="008359FF" w:rsidP="00C12DCE">
      <w:pPr>
        <w:pStyle w:val="enumlev1"/>
      </w:pPr>
      <w:r>
        <w:rPr>
          <w:rFonts w:hint="cs"/>
          <w:rtl/>
        </w:rPr>
        <w:t>ألف)</w:t>
      </w:r>
      <w:r w:rsidR="00C12DCE">
        <w:rPr>
          <w:rtl/>
        </w:rPr>
        <w:tab/>
      </w:r>
      <w:r w:rsidR="00970A92" w:rsidRPr="00970A92">
        <w:rPr>
          <w:rtl/>
        </w:rPr>
        <w:t>البطاقات المنشورة</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990"/>
        <w:gridCol w:w="1134"/>
        <w:gridCol w:w="1209"/>
        <w:gridCol w:w="776"/>
        <w:gridCol w:w="709"/>
        <w:gridCol w:w="1296"/>
        <w:gridCol w:w="1115"/>
        <w:gridCol w:w="979"/>
      </w:tblGrid>
      <w:tr w:rsidR="006F594E" w:rsidRPr="00821CDC" w14:paraId="1364A574" w14:textId="77777777" w:rsidTr="006F594E">
        <w:trPr>
          <w:trHeight w:val="295"/>
        </w:trPr>
        <w:tc>
          <w:tcPr>
            <w:tcW w:w="471" w:type="pct"/>
            <w:shd w:val="clear" w:color="000000" w:fill="002060"/>
            <w:tcMar>
              <w:left w:w="0" w:type="dxa"/>
              <w:right w:w="0" w:type="dxa"/>
            </w:tcMar>
            <w:vAlign w:val="center"/>
          </w:tcPr>
          <w:p w14:paraId="583B9C3D" w14:textId="641A3C4D" w:rsidR="006F594E" w:rsidRPr="006F594E" w:rsidRDefault="006F594E" w:rsidP="006F594E">
            <w:pPr>
              <w:pStyle w:val="Tablehead"/>
              <w:spacing w:before="40" w:after="40" w:line="220" w:lineRule="exact"/>
              <w:rPr>
                <w:color w:val="FFFFFF"/>
                <w:sz w:val="16"/>
                <w:szCs w:val="16"/>
                <w:rtl/>
              </w:rPr>
            </w:pPr>
            <w:r w:rsidRPr="006F594E">
              <w:rPr>
                <w:sz w:val="16"/>
                <w:szCs w:val="16"/>
                <w:rtl/>
              </w:rPr>
              <w:t>رقم بطاقة التبليغ</w:t>
            </w:r>
          </w:p>
        </w:tc>
        <w:tc>
          <w:tcPr>
            <w:tcW w:w="547" w:type="pct"/>
            <w:shd w:val="clear" w:color="000000" w:fill="002060"/>
            <w:tcMar>
              <w:left w:w="0" w:type="dxa"/>
              <w:right w:w="0" w:type="dxa"/>
            </w:tcMar>
            <w:vAlign w:val="center"/>
          </w:tcPr>
          <w:p w14:paraId="44C356C2" w14:textId="3A366B4F" w:rsidR="006F594E" w:rsidRPr="006F594E" w:rsidRDefault="006F594E" w:rsidP="006F594E">
            <w:pPr>
              <w:pStyle w:val="Tablehead"/>
              <w:spacing w:before="40" w:after="40" w:line="220" w:lineRule="exact"/>
              <w:rPr>
                <w:color w:val="FFFFFF"/>
                <w:sz w:val="16"/>
                <w:szCs w:val="16"/>
                <w:rtl/>
              </w:rPr>
            </w:pPr>
            <w:r w:rsidRPr="006F594E">
              <w:rPr>
                <w:sz w:val="16"/>
                <w:szCs w:val="16"/>
                <w:rtl/>
              </w:rPr>
              <w:t>الشبكة</w:t>
            </w:r>
          </w:p>
        </w:tc>
        <w:tc>
          <w:tcPr>
            <w:tcW w:w="626" w:type="pct"/>
            <w:shd w:val="clear" w:color="000000" w:fill="002060"/>
            <w:tcMar>
              <w:left w:w="0" w:type="dxa"/>
              <w:right w:w="0" w:type="dxa"/>
            </w:tcMar>
            <w:vAlign w:val="center"/>
          </w:tcPr>
          <w:p w14:paraId="78FC226F" w14:textId="2F1DDCAE" w:rsidR="006F594E" w:rsidRPr="006F594E" w:rsidRDefault="006F594E" w:rsidP="006F594E">
            <w:pPr>
              <w:pStyle w:val="Tablehead"/>
              <w:spacing w:before="40" w:after="40" w:line="220" w:lineRule="exact"/>
              <w:rPr>
                <w:color w:val="FFFFFF"/>
                <w:sz w:val="16"/>
                <w:szCs w:val="16"/>
                <w:rtl/>
              </w:rPr>
            </w:pPr>
            <w:r w:rsidRPr="006F594E">
              <w:rPr>
                <w:sz w:val="16"/>
                <w:szCs w:val="16"/>
                <w:rtl/>
              </w:rPr>
              <w:t>نمط المدار</w:t>
            </w:r>
          </w:p>
        </w:tc>
        <w:tc>
          <w:tcPr>
            <w:tcW w:w="667" w:type="pct"/>
            <w:shd w:val="clear" w:color="000000" w:fill="002060"/>
            <w:noWrap/>
            <w:tcMar>
              <w:left w:w="0" w:type="dxa"/>
              <w:right w:w="0" w:type="dxa"/>
            </w:tcMar>
            <w:vAlign w:val="center"/>
          </w:tcPr>
          <w:p w14:paraId="123CC1C9" w14:textId="33CDEB60" w:rsidR="006F594E" w:rsidRPr="006F594E" w:rsidRDefault="006F594E" w:rsidP="006F594E">
            <w:pPr>
              <w:pStyle w:val="Tablehead"/>
              <w:spacing w:before="40" w:after="40" w:line="220" w:lineRule="exact"/>
              <w:rPr>
                <w:color w:val="FFFFFF"/>
                <w:sz w:val="16"/>
                <w:szCs w:val="16"/>
                <w:rtl/>
              </w:rPr>
            </w:pPr>
            <w:r w:rsidRPr="006F594E">
              <w:rPr>
                <w:rFonts w:hint="cs"/>
                <w:color w:val="FFFFFF"/>
                <w:sz w:val="16"/>
                <w:szCs w:val="16"/>
                <w:rtl/>
              </w:rPr>
              <w:t>تاريخ الاستلام</w:t>
            </w:r>
          </w:p>
        </w:tc>
        <w:tc>
          <w:tcPr>
            <w:tcW w:w="428" w:type="pct"/>
            <w:shd w:val="clear" w:color="000000" w:fill="002060"/>
            <w:noWrap/>
            <w:tcMar>
              <w:left w:w="0" w:type="dxa"/>
              <w:right w:w="0" w:type="dxa"/>
            </w:tcMar>
            <w:vAlign w:val="center"/>
          </w:tcPr>
          <w:p w14:paraId="3FE2EADA" w14:textId="0D0EB89B" w:rsidR="006F594E" w:rsidRPr="006F594E" w:rsidRDefault="006F594E" w:rsidP="006F594E">
            <w:pPr>
              <w:pStyle w:val="Tablehead"/>
              <w:spacing w:before="40" w:after="40" w:line="220" w:lineRule="exact"/>
              <w:rPr>
                <w:color w:val="FFFFFF"/>
                <w:sz w:val="16"/>
                <w:szCs w:val="16"/>
                <w:rtl/>
              </w:rPr>
            </w:pPr>
            <w:r w:rsidRPr="006F594E">
              <w:rPr>
                <w:sz w:val="16"/>
                <w:szCs w:val="16"/>
                <w:rtl/>
              </w:rPr>
              <w:t>نوع بطاقة التبليغ</w:t>
            </w:r>
          </w:p>
        </w:tc>
        <w:tc>
          <w:tcPr>
            <w:tcW w:w="391" w:type="pct"/>
            <w:shd w:val="clear" w:color="000000" w:fill="002060"/>
            <w:noWrap/>
            <w:tcMar>
              <w:left w:w="0" w:type="dxa"/>
              <w:right w:w="0" w:type="dxa"/>
            </w:tcMar>
            <w:vAlign w:val="center"/>
          </w:tcPr>
          <w:p w14:paraId="7F5874D3" w14:textId="0349CB1A" w:rsidR="006F594E" w:rsidRPr="006F594E" w:rsidRDefault="006F594E" w:rsidP="006F594E">
            <w:pPr>
              <w:pStyle w:val="Tablehead"/>
              <w:spacing w:before="40" w:after="40" w:line="220" w:lineRule="exact"/>
              <w:rPr>
                <w:color w:val="FFFFFF"/>
                <w:sz w:val="16"/>
                <w:szCs w:val="16"/>
                <w:rtl/>
              </w:rPr>
            </w:pPr>
            <w:r w:rsidRPr="006F594E">
              <w:rPr>
                <w:rFonts w:hint="cs"/>
                <w:sz w:val="16"/>
                <w:szCs w:val="16"/>
                <w:rtl/>
              </w:rPr>
              <w:t>رقم النشر</w:t>
            </w:r>
          </w:p>
        </w:tc>
        <w:tc>
          <w:tcPr>
            <w:tcW w:w="715" w:type="pct"/>
            <w:shd w:val="clear" w:color="000000" w:fill="002060"/>
            <w:tcMar>
              <w:left w:w="0" w:type="dxa"/>
              <w:right w:w="0" w:type="dxa"/>
            </w:tcMar>
            <w:vAlign w:val="center"/>
          </w:tcPr>
          <w:p w14:paraId="1DCEFED8" w14:textId="340E9591" w:rsidR="006F594E" w:rsidRPr="006F594E" w:rsidRDefault="006F594E" w:rsidP="006F594E">
            <w:pPr>
              <w:pStyle w:val="Tablehead"/>
              <w:spacing w:before="40" w:after="40" w:line="220" w:lineRule="exact"/>
              <w:rPr>
                <w:color w:val="FFFFFF"/>
                <w:sz w:val="16"/>
                <w:szCs w:val="16"/>
                <w:rtl/>
              </w:rPr>
            </w:pPr>
            <w:r w:rsidRPr="006F594E">
              <w:rPr>
                <w:sz w:val="16"/>
                <w:szCs w:val="16"/>
                <w:rtl/>
              </w:rPr>
              <w:t>رقم النشرة الإعلامية الدولية للترددات الصادرة عن مكتب الاتصالات الراديوية</w:t>
            </w:r>
            <w:r w:rsidRPr="006F594E">
              <w:rPr>
                <w:rFonts w:hint="cs"/>
                <w:sz w:val="16"/>
                <w:szCs w:val="16"/>
                <w:rtl/>
              </w:rPr>
              <w:t xml:space="preserve"> </w:t>
            </w:r>
            <w:r w:rsidRPr="006F594E">
              <w:rPr>
                <w:sz w:val="16"/>
                <w:szCs w:val="16"/>
              </w:rPr>
              <w:t>(BR IFIC)</w:t>
            </w:r>
          </w:p>
        </w:tc>
        <w:tc>
          <w:tcPr>
            <w:tcW w:w="615" w:type="pct"/>
            <w:shd w:val="clear" w:color="000000" w:fill="002060"/>
            <w:tcMar>
              <w:left w:w="0" w:type="dxa"/>
              <w:right w:w="0" w:type="dxa"/>
            </w:tcMar>
            <w:vAlign w:val="center"/>
          </w:tcPr>
          <w:p w14:paraId="2C29B612" w14:textId="237C7253" w:rsidR="006F594E" w:rsidRPr="006F594E" w:rsidRDefault="006F594E" w:rsidP="006F594E">
            <w:pPr>
              <w:pStyle w:val="Tablehead"/>
              <w:spacing w:before="40" w:after="40" w:line="220" w:lineRule="exact"/>
              <w:rPr>
                <w:sz w:val="16"/>
                <w:szCs w:val="16"/>
                <w:rtl/>
              </w:rPr>
            </w:pPr>
            <w:r w:rsidRPr="006F594E">
              <w:rPr>
                <w:rFonts w:hint="cs"/>
                <w:sz w:val="16"/>
                <w:szCs w:val="16"/>
                <w:rtl/>
              </w:rPr>
              <w:t>تاريخ النشر</w:t>
            </w:r>
          </w:p>
        </w:tc>
        <w:tc>
          <w:tcPr>
            <w:tcW w:w="540" w:type="pct"/>
            <w:shd w:val="clear" w:color="000000" w:fill="002060"/>
            <w:tcMar>
              <w:left w:w="0" w:type="dxa"/>
              <w:right w:w="0" w:type="dxa"/>
            </w:tcMar>
            <w:vAlign w:val="center"/>
          </w:tcPr>
          <w:p w14:paraId="6C261E50" w14:textId="05A1D309" w:rsidR="006F594E" w:rsidRPr="006F594E" w:rsidRDefault="006F594E" w:rsidP="006F594E">
            <w:pPr>
              <w:pStyle w:val="Tablehead"/>
              <w:spacing w:before="40" w:after="40" w:line="220" w:lineRule="exact"/>
              <w:rPr>
                <w:color w:val="FFFFFF"/>
                <w:sz w:val="16"/>
                <w:szCs w:val="16"/>
                <w:rtl/>
              </w:rPr>
            </w:pPr>
            <w:r w:rsidRPr="006F594E">
              <w:rPr>
                <w:sz w:val="16"/>
                <w:szCs w:val="16"/>
                <w:rtl/>
              </w:rPr>
              <w:t>وقت المعالجة (بالأشهر)</w:t>
            </w:r>
          </w:p>
        </w:tc>
      </w:tr>
      <w:tr w:rsidR="006F594E" w:rsidRPr="00821CDC" w14:paraId="27554A7A" w14:textId="77777777" w:rsidTr="006F594E">
        <w:trPr>
          <w:trHeight w:val="295"/>
        </w:trPr>
        <w:tc>
          <w:tcPr>
            <w:tcW w:w="471" w:type="pct"/>
            <w:vAlign w:val="center"/>
          </w:tcPr>
          <w:p w14:paraId="64AE9D0A" w14:textId="5D884FCE" w:rsidR="006F594E" w:rsidRPr="006F594E" w:rsidRDefault="006F594E" w:rsidP="006F594E">
            <w:pPr>
              <w:pStyle w:val="Tabletexte"/>
              <w:spacing w:before="40" w:after="40" w:line="220" w:lineRule="exact"/>
              <w:jc w:val="center"/>
              <w:rPr>
                <w:sz w:val="16"/>
                <w:szCs w:val="16"/>
              </w:rPr>
            </w:pPr>
            <w:r w:rsidRPr="006F594E">
              <w:rPr>
                <w:sz w:val="16"/>
                <w:szCs w:val="16"/>
              </w:rPr>
              <w:t>124520150</w:t>
            </w:r>
          </w:p>
        </w:tc>
        <w:tc>
          <w:tcPr>
            <w:tcW w:w="547" w:type="pct"/>
            <w:vAlign w:val="center"/>
          </w:tcPr>
          <w:p w14:paraId="0E0D7010" w14:textId="54BF8426" w:rsidR="006F594E" w:rsidRPr="006F594E" w:rsidRDefault="006F594E" w:rsidP="006F594E">
            <w:pPr>
              <w:pStyle w:val="Tabletexte"/>
              <w:spacing w:before="40" w:after="40" w:line="220" w:lineRule="exact"/>
              <w:jc w:val="center"/>
              <w:rPr>
                <w:sz w:val="16"/>
                <w:szCs w:val="16"/>
              </w:rPr>
            </w:pPr>
            <w:r w:rsidRPr="006F594E">
              <w:rPr>
                <w:sz w:val="16"/>
                <w:szCs w:val="16"/>
              </w:rPr>
              <w:t>SAUDISAT_45.5E</w:t>
            </w:r>
          </w:p>
        </w:tc>
        <w:tc>
          <w:tcPr>
            <w:tcW w:w="626" w:type="pct"/>
            <w:vAlign w:val="center"/>
          </w:tcPr>
          <w:p w14:paraId="5B803EAF" w14:textId="27A7DB13" w:rsidR="006F594E" w:rsidRPr="006F594E" w:rsidRDefault="006F594E" w:rsidP="006F594E">
            <w:pPr>
              <w:pStyle w:val="Tabletexte"/>
              <w:spacing w:before="40" w:after="40" w:line="220" w:lineRule="exact"/>
              <w:jc w:val="center"/>
              <w:rPr>
                <w:sz w:val="16"/>
                <w:szCs w:val="16"/>
              </w:rPr>
            </w:pPr>
            <w:r w:rsidRPr="006F594E">
              <w:rPr>
                <w:sz w:val="16"/>
                <w:szCs w:val="16"/>
                <w:rtl/>
              </w:rPr>
              <w:t>مستقر بالنسبة إلى الأرض</w:t>
            </w:r>
          </w:p>
        </w:tc>
        <w:tc>
          <w:tcPr>
            <w:tcW w:w="667" w:type="pct"/>
            <w:noWrap/>
            <w:vAlign w:val="center"/>
          </w:tcPr>
          <w:p w14:paraId="69B602A4" w14:textId="05E57E4E" w:rsidR="006F594E" w:rsidRPr="006F594E" w:rsidRDefault="006F594E" w:rsidP="006F594E">
            <w:pPr>
              <w:pStyle w:val="Tabletexte"/>
              <w:spacing w:before="40" w:after="40" w:line="220" w:lineRule="exact"/>
              <w:jc w:val="center"/>
              <w:rPr>
                <w:sz w:val="16"/>
                <w:szCs w:val="16"/>
              </w:rPr>
            </w:pPr>
            <w:r w:rsidRPr="006F594E">
              <w:rPr>
                <w:sz w:val="16"/>
                <w:szCs w:val="16"/>
              </w:rPr>
              <w:t>2024-07-22</w:t>
            </w:r>
          </w:p>
        </w:tc>
        <w:tc>
          <w:tcPr>
            <w:tcW w:w="428" w:type="pct"/>
            <w:noWrap/>
            <w:vAlign w:val="center"/>
          </w:tcPr>
          <w:p w14:paraId="069042EB" w14:textId="450D2AA4" w:rsidR="006F594E" w:rsidRPr="006F594E" w:rsidRDefault="006F594E" w:rsidP="006F594E">
            <w:pPr>
              <w:pStyle w:val="Tabletexte"/>
              <w:spacing w:before="40" w:after="40" w:line="220" w:lineRule="exact"/>
              <w:jc w:val="center"/>
              <w:rPr>
                <w:sz w:val="16"/>
                <w:szCs w:val="16"/>
              </w:rPr>
            </w:pPr>
            <w:r w:rsidRPr="006F594E">
              <w:rPr>
                <w:sz w:val="16"/>
                <w:szCs w:val="16"/>
                <w:rtl/>
              </w:rPr>
              <w:t>طلبات التنسيق</w:t>
            </w:r>
          </w:p>
        </w:tc>
        <w:tc>
          <w:tcPr>
            <w:tcW w:w="391" w:type="pct"/>
            <w:noWrap/>
            <w:vAlign w:val="center"/>
          </w:tcPr>
          <w:p w14:paraId="6763F614" w14:textId="2787CEB8" w:rsidR="006F594E" w:rsidRPr="006F594E" w:rsidRDefault="006F594E" w:rsidP="006F594E">
            <w:pPr>
              <w:pStyle w:val="Tabletexte"/>
              <w:spacing w:before="40" w:after="40" w:line="220" w:lineRule="exact"/>
              <w:jc w:val="center"/>
              <w:rPr>
                <w:sz w:val="16"/>
                <w:szCs w:val="16"/>
              </w:rPr>
            </w:pPr>
            <w:r w:rsidRPr="006F594E">
              <w:rPr>
                <w:sz w:val="16"/>
                <w:szCs w:val="16"/>
              </w:rPr>
              <w:t>6292</w:t>
            </w:r>
          </w:p>
        </w:tc>
        <w:tc>
          <w:tcPr>
            <w:tcW w:w="715" w:type="pct"/>
            <w:vAlign w:val="center"/>
          </w:tcPr>
          <w:p w14:paraId="66C86915" w14:textId="2E8CA867" w:rsidR="006F594E" w:rsidRPr="006F594E" w:rsidRDefault="006F594E" w:rsidP="006F594E">
            <w:pPr>
              <w:pStyle w:val="Tabletexte"/>
              <w:spacing w:before="40" w:after="40" w:line="220" w:lineRule="exact"/>
              <w:jc w:val="center"/>
              <w:rPr>
                <w:sz w:val="16"/>
                <w:szCs w:val="16"/>
              </w:rPr>
            </w:pPr>
            <w:r w:rsidRPr="006F594E">
              <w:rPr>
                <w:sz w:val="16"/>
                <w:szCs w:val="16"/>
              </w:rPr>
              <w:t>3055</w:t>
            </w:r>
          </w:p>
        </w:tc>
        <w:tc>
          <w:tcPr>
            <w:tcW w:w="615" w:type="pct"/>
            <w:vAlign w:val="center"/>
          </w:tcPr>
          <w:p w14:paraId="7D4E8372" w14:textId="703476F0" w:rsidR="006F594E" w:rsidRPr="006F594E" w:rsidRDefault="006F594E" w:rsidP="006F594E">
            <w:pPr>
              <w:pStyle w:val="Tabletexte"/>
              <w:spacing w:before="40" w:after="40" w:line="220" w:lineRule="exact"/>
              <w:jc w:val="center"/>
              <w:rPr>
                <w:sz w:val="16"/>
                <w:szCs w:val="16"/>
              </w:rPr>
            </w:pPr>
            <w:r w:rsidRPr="006F594E">
              <w:rPr>
                <w:sz w:val="16"/>
                <w:szCs w:val="16"/>
              </w:rPr>
              <w:t>2025-09-16</w:t>
            </w:r>
          </w:p>
        </w:tc>
        <w:tc>
          <w:tcPr>
            <w:tcW w:w="540" w:type="pct"/>
            <w:vAlign w:val="center"/>
          </w:tcPr>
          <w:p w14:paraId="1881BCD1" w14:textId="573A940C" w:rsidR="006F594E" w:rsidRPr="006F594E" w:rsidRDefault="006F594E" w:rsidP="006F594E">
            <w:pPr>
              <w:pStyle w:val="Tabletexte"/>
              <w:spacing w:before="40" w:after="40" w:line="220" w:lineRule="exact"/>
              <w:jc w:val="center"/>
              <w:rPr>
                <w:sz w:val="16"/>
                <w:szCs w:val="16"/>
              </w:rPr>
            </w:pPr>
            <w:r w:rsidRPr="006F594E">
              <w:rPr>
                <w:sz w:val="16"/>
                <w:szCs w:val="16"/>
              </w:rPr>
              <w:t>14,03</w:t>
            </w:r>
          </w:p>
        </w:tc>
      </w:tr>
      <w:tr w:rsidR="006F594E" w:rsidRPr="00821CDC" w14:paraId="23C9BCC3" w14:textId="77777777" w:rsidTr="006F594E">
        <w:trPr>
          <w:trHeight w:val="295"/>
        </w:trPr>
        <w:tc>
          <w:tcPr>
            <w:tcW w:w="471" w:type="pct"/>
            <w:vAlign w:val="center"/>
          </w:tcPr>
          <w:p w14:paraId="2BA47817" w14:textId="516A7903" w:rsidR="006F594E" w:rsidRPr="006F594E" w:rsidRDefault="006F594E" w:rsidP="006F594E">
            <w:pPr>
              <w:pStyle w:val="Tabletexte"/>
              <w:spacing w:before="40" w:after="40" w:line="220" w:lineRule="exact"/>
              <w:jc w:val="center"/>
              <w:rPr>
                <w:sz w:val="16"/>
                <w:szCs w:val="16"/>
              </w:rPr>
            </w:pPr>
            <w:r w:rsidRPr="006F594E">
              <w:rPr>
                <w:sz w:val="16"/>
                <w:szCs w:val="16"/>
              </w:rPr>
              <w:t>124520158</w:t>
            </w:r>
          </w:p>
        </w:tc>
        <w:tc>
          <w:tcPr>
            <w:tcW w:w="547" w:type="pct"/>
            <w:vAlign w:val="center"/>
          </w:tcPr>
          <w:p w14:paraId="2FEBE00D" w14:textId="523D8676" w:rsidR="006F594E" w:rsidRPr="006F594E" w:rsidRDefault="006F594E" w:rsidP="006F594E">
            <w:pPr>
              <w:pStyle w:val="Tabletexte"/>
              <w:spacing w:before="40" w:after="40" w:line="220" w:lineRule="exact"/>
              <w:jc w:val="center"/>
              <w:rPr>
                <w:sz w:val="16"/>
                <w:szCs w:val="16"/>
              </w:rPr>
            </w:pPr>
            <w:r w:rsidRPr="006F594E">
              <w:rPr>
                <w:sz w:val="16"/>
                <w:szCs w:val="16"/>
              </w:rPr>
              <w:t>SAUDISAT_51.9E</w:t>
            </w:r>
          </w:p>
        </w:tc>
        <w:tc>
          <w:tcPr>
            <w:tcW w:w="626" w:type="pct"/>
            <w:vAlign w:val="center"/>
          </w:tcPr>
          <w:p w14:paraId="0DAB3CC5" w14:textId="6D8C35E6" w:rsidR="006F594E" w:rsidRPr="006F594E" w:rsidRDefault="006F594E" w:rsidP="006F594E">
            <w:pPr>
              <w:pStyle w:val="Tabletexte"/>
              <w:spacing w:before="40" w:after="40" w:line="220" w:lineRule="exact"/>
              <w:jc w:val="center"/>
              <w:rPr>
                <w:sz w:val="16"/>
                <w:szCs w:val="16"/>
              </w:rPr>
            </w:pPr>
            <w:r w:rsidRPr="006F594E">
              <w:rPr>
                <w:sz w:val="16"/>
                <w:szCs w:val="16"/>
                <w:rtl/>
              </w:rPr>
              <w:t>مستقر بالنسبة إلى الأرض</w:t>
            </w:r>
          </w:p>
        </w:tc>
        <w:tc>
          <w:tcPr>
            <w:tcW w:w="667" w:type="pct"/>
            <w:noWrap/>
            <w:vAlign w:val="center"/>
          </w:tcPr>
          <w:p w14:paraId="6CFCF5DA" w14:textId="502B1F3F" w:rsidR="006F594E" w:rsidRPr="006F594E" w:rsidRDefault="006F594E" w:rsidP="006F594E">
            <w:pPr>
              <w:pStyle w:val="Tabletexte"/>
              <w:spacing w:before="40" w:after="40" w:line="220" w:lineRule="exact"/>
              <w:jc w:val="center"/>
              <w:rPr>
                <w:sz w:val="16"/>
                <w:szCs w:val="16"/>
              </w:rPr>
            </w:pPr>
            <w:r w:rsidRPr="006F594E">
              <w:rPr>
                <w:sz w:val="16"/>
                <w:szCs w:val="16"/>
              </w:rPr>
              <w:t>2024-07-31</w:t>
            </w:r>
          </w:p>
        </w:tc>
        <w:tc>
          <w:tcPr>
            <w:tcW w:w="428" w:type="pct"/>
            <w:noWrap/>
            <w:vAlign w:val="center"/>
          </w:tcPr>
          <w:p w14:paraId="3F709CAA" w14:textId="2529B543" w:rsidR="006F594E" w:rsidRPr="006F594E" w:rsidRDefault="006F594E" w:rsidP="006F594E">
            <w:pPr>
              <w:pStyle w:val="Tabletexte"/>
              <w:spacing w:before="40" w:after="40" w:line="220" w:lineRule="exact"/>
              <w:jc w:val="center"/>
              <w:rPr>
                <w:sz w:val="16"/>
                <w:szCs w:val="16"/>
              </w:rPr>
            </w:pPr>
            <w:r w:rsidRPr="006F594E">
              <w:rPr>
                <w:sz w:val="16"/>
                <w:szCs w:val="16"/>
                <w:rtl/>
              </w:rPr>
              <w:t>طلبات التنسيق</w:t>
            </w:r>
          </w:p>
        </w:tc>
        <w:tc>
          <w:tcPr>
            <w:tcW w:w="391" w:type="pct"/>
            <w:noWrap/>
            <w:vAlign w:val="center"/>
          </w:tcPr>
          <w:p w14:paraId="5E36F1F5" w14:textId="20122876" w:rsidR="006F594E" w:rsidRPr="006F594E" w:rsidRDefault="006F594E" w:rsidP="006F594E">
            <w:pPr>
              <w:pStyle w:val="Tabletexte"/>
              <w:spacing w:before="40" w:after="40" w:line="220" w:lineRule="exact"/>
              <w:jc w:val="center"/>
              <w:rPr>
                <w:sz w:val="16"/>
                <w:szCs w:val="16"/>
              </w:rPr>
            </w:pPr>
            <w:r w:rsidRPr="006F594E">
              <w:rPr>
                <w:sz w:val="16"/>
                <w:szCs w:val="16"/>
              </w:rPr>
              <w:t>6299</w:t>
            </w:r>
          </w:p>
        </w:tc>
        <w:tc>
          <w:tcPr>
            <w:tcW w:w="715" w:type="pct"/>
            <w:vAlign w:val="center"/>
          </w:tcPr>
          <w:p w14:paraId="54032F16" w14:textId="65255141" w:rsidR="006F594E" w:rsidRPr="006F594E" w:rsidRDefault="006F594E" w:rsidP="006F594E">
            <w:pPr>
              <w:pStyle w:val="Tabletexte"/>
              <w:spacing w:before="40" w:after="40" w:line="220" w:lineRule="exact"/>
              <w:jc w:val="center"/>
              <w:rPr>
                <w:sz w:val="16"/>
                <w:szCs w:val="16"/>
              </w:rPr>
            </w:pPr>
            <w:r w:rsidRPr="006F594E">
              <w:rPr>
                <w:sz w:val="16"/>
                <w:szCs w:val="16"/>
              </w:rPr>
              <w:t>3056</w:t>
            </w:r>
          </w:p>
        </w:tc>
        <w:tc>
          <w:tcPr>
            <w:tcW w:w="615" w:type="pct"/>
            <w:vAlign w:val="center"/>
          </w:tcPr>
          <w:p w14:paraId="028BFB26" w14:textId="27C3D9AA" w:rsidR="006F594E" w:rsidRPr="006F594E" w:rsidRDefault="006F594E" w:rsidP="006F594E">
            <w:pPr>
              <w:pStyle w:val="Tabletexte"/>
              <w:spacing w:before="40" w:after="40" w:line="220" w:lineRule="exact"/>
              <w:jc w:val="center"/>
              <w:rPr>
                <w:sz w:val="16"/>
                <w:szCs w:val="16"/>
              </w:rPr>
            </w:pPr>
            <w:r w:rsidRPr="006F594E">
              <w:rPr>
                <w:sz w:val="16"/>
                <w:szCs w:val="16"/>
              </w:rPr>
              <w:t>2025-09-30</w:t>
            </w:r>
          </w:p>
        </w:tc>
        <w:tc>
          <w:tcPr>
            <w:tcW w:w="540" w:type="pct"/>
            <w:vAlign w:val="center"/>
          </w:tcPr>
          <w:p w14:paraId="4C4A108C" w14:textId="4815AC9E" w:rsidR="006F594E" w:rsidRPr="006F594E" w:rsidRDefault="006F594E" w:rsidP="006F594E">
            <w:pPr>
              <w:pStyle w:val="Tabletexte"/>
              <w:spacing w:before="40" w:after="40" w:line="220" w:lineRule="exact"/>
              <w:jc w:val="center"/>
              <w:rPr>
                <w:sz w:val="16"/>
                <w:szCs w:val="16"/>
              </w:rPr>
            </w:pPr>
            <w:r w:rsidRPr="006F594E">
              <w:rPr>
                <w:sz w:val="16"/>
                <w:szCs w:val="16"/>
              </w:rPr>
              <w:t>14,20</w:t>
            </w:r>
          </w:p>
        </w:tc>
      </w:tr>
      <w:tr w:rsidR="006F594E" w:rsidRPr="00821CDC" w14:paraId="47348271" w14:textId="77777777" w:rsidTr="006F594E">
        <w:trPr>
          <w:trHeight w:val="295"/>
        </w:trPr>
        <w:tc>
          <w:tcPr>
            <w:tcW w:w="471" w:type="pct"/>
            <w:vAlign w:val="center"/>
          </w:tcPr>
          <w:p w14:paraId="102B1012" w14:textId="7CB1467F" w:rsidR="006F594E" w:rsidRPr="006F594E" w:rsidRDefault="006F594E" w:rsidP="006F594E">
            <w:pPr>
              <w:pStyle w:val="Tabletexte"/>
              <w:spacing w:before="40" w:after="40" w:line="220" w:lineRule="exact"/>
              <w:jc w:val="center"/>
              <w:rPr>
                <w:sz w:val="16"/>
                <w:szCs w:val="16"/>
              </w:rPr>
            </w:pPr>
            <w:r w:rsidRPr="006F594E">
              <w:rPr>
                <w:sz w:val="16"/>
                <w:szCs w:val="16"/>
              </w:rPr>
              <w:t>124520137</w:t>
            </w:r>
          </w:p>
        </w:tc>
        <w:tc>
          <w:tcPr>
            <w:tcW w:w="547" w:type="pct"/>
            <w:vAlign w:val="center"/>
          </w:tcPr>
          <w:p w14:paraId="02A02D0E" w14:textId="1D5C42D9" w:rsidR="006F594E" w:rsidRPr="006F594E" w:rsidRDefault="006F594E" w:rsidP="006F594E">
            <w:pPr>
              <w:pStyle w:val="Tabletexte"/>
              <w:spacing w:before="40" w:after="40" w:line="220" w:lineRule="exact"/>
              <w:jc w:val="center"/>
              <w:rPr>
                <w:sz w:val="16"/>
                <w:szCs w:val="16"/>
              </w:rPr>
            </w:pPr>
            <w:r w:rsidRPr="006F594E">
              <w:rPr>
                <w:sz w:val="16"/>
                <w:szCs w:val="16"/>
              </w:rPr>
              <w:t>SAUDISAT_7.9E</w:t>
            </w:r>
          </w:p>
        </w:tc>
        <w:tc>
          <w:tcPr>
            <w:tcW w:w="626" w:type="pct"/>
            <w:vAlign w:val="center"/>
          </w:tcPr>
          <w:p w14:paraId="26BC1E23" w14:textId="36FCBC21" w:rsidR="006F594E" w:rsidRPr="006F594E" w:rsidRDefault="006F594E" w:rsidP="006F594E">
            <w:pPr>
              <w:pStyle w:val="Tabletexte"/>
              <w:spacing w:before="40" w:after="40" w:line="220" w:lineRule="exact"/>
              <w:jc w:val="center"/>
              <w:rPr>
                <w:sz w:val="16"/>
                <w:szCs w:val="16"/>
              </w:rPr>
            </w:pPr>
            <w:r w:rsidRPr="006F594E">
              <w:rPr>
                <w:sz w:val="16"/>
                <w:szCs w:val="16"/>
                <w:rtl/>
              </w:rPr>
              <w:t>مستقر بالنسبة إلى الأرض</w:t>
            </w:r>
          </w:p>
        </w:tc>
        <w:tc>
          <w:tcPr>
            <w:tcW w:w="667" w:type="pct"/>
            <w:noWrap/>
            <w:vAlign w:val="center"/>
          </w:tcPr>
          <w:p w14:paraId="6FD69659" w14:textId="215A9479" w:rsidR="006F594E" w:rsidRPr="006F594E" w:rsidRDefault="006F594E" w:rsidP="006F594E">
            <w:pPr>
              <w:pStyle w:val="Tabletexte"/>
              <w:spacing w:before="40" w:after="40" w:line="220" w:lineRule="exact"/>
              <w:jc w:val="center"/>
              <w:rPr>
                <w:sz w:val="16"/>
                <w:szCs w:val="16"/>
              </w:rPr>
            </w:pPr>
            <w:r w:rsidRPr="006F594E">
              <w:rPr>
                <w:sz w:val="16"/>
                <w:szCs w:val="16"/>
              </w:rPr>
              <w:t>2024-07-15</w:t>
            </w:r>
          </w:p>
        </w:tc>
        <w:tc>
          <w:tcPr>
            <w:tcW w:w="428" w:type="pct"/>
            <w:noWrap/>
            <w:vAlign w:val="center"/>
          </w:tcPr>
          <w:p w14:paraId="1652D450" w14:textId="4C1BA375" w:rsidR="006F594E" w:rsidRPr="006F594E" w:rsidRDefault="006F594E" w:rsidP="006F594E">
            <w:pPr>
              <w:pStyle w:val="Tabletexte"/>
              <w:spacing w:before="40" w:after="40" w:line="220" w:lineRule="exact"/>
              <w:jc w:val="center"/>
              <w:rPr>
                <w:sz w:val="16"/>
                <w:szCs w:val="16"/>
              </w:rPr>
            </w:pPr>
            <w:r w:rsidRPr="006F594E">
              <w:rPr>
                <w:sz w:val="16"/>
                <w:szCs w:val="16"/>
                <w:rtl/>
              </w:rPr>
              <w:t>طلبات التنسيق</w:t>
            </w:r>
          </w:p>
        </w:tc>
        <w:tc>
          <w:tcPr>
            <w:tcW w:w="391" w:type="pct"/>
            <w:noWrap/>
            <w:vAlign w:val="center"/>
          </w:tcPr>
          <w:p w14:paraId="02A7BDD5" w14:textId="73A6F282" w:rsidR="006F594E" w:rsidRPr="006F594E" w:rsidRDefault="006F594E" w:rsidP="006F594E">
            <w:pPr>
              <w:pStyle w:val="Tabletexte"/>
              <w:spacing w:before="40" w:after="40" w:line="220" w:lineRule="exact"/>
              <w:jc w:val="center"/>
              <w:rPr>
                <w:sz w:val="16"/>
                <w:szCs w:val="16"/>
              </w:rPr>
            </w:pPr>
            <w:r w:rsidRPr="006F594E">
              <w:rPr>
                <w:sz w:val="16"/>
                <w:szCs w:val="16"/>
              </w:rPr>
              <w:t>6289</w:t>
            </w:r>
          </w:p>
        </w:tc>
        <w:tc>
          <w:tcPr>
            <w:tcW w:w="715" w:type="pct"/>
            <w:vAlign w:val="center"/>
          </w:tcPr>
          <w:p w14:paraId="3881409E" w14:textId="63AB22A6" w:rsidR="006F594E" w:rsidRPr="006F594E" w:rsidRDefault="006F594E" w:rsidP="006F594E">
            <w:pPr>
              <w:pStyle w:val="Tabletexte"/>
              <w:spacing w:before="40" w:after="40" w:line="220" w:lineRule="exact"/>
              <w:jc w:val="center"/>
              <w:rPr>
                <w:sz w:val="16"/>
                <w:szCs w:val="16"/>
              </w:rPr>
            </w:pPr>
            <w:r w:rsidRPr="006F594E">
              <w:rPr>
                <w:sz w:val="16"/>
                <w:szCs w:val="16"/>
              </w:rPr>
              <w:t>3055</w:t>
            </w:r>
          </w:p>
        </w:tc>
        <w:tc>
          <w:tcPr>
            <w:tcW w:w="615" w:type="pct"/>
            <w:vAlign w:val="center"/>
          </w:tcPr>
          <w:p w14:paraId="49F57494" w14:textId="1F82132B" w:rsidR="006F594E" w:rsidRPr="006F594E" w:rsidRDefault="006F594E" w:rsidP="006F594E">
            <w:pPr>
              <w:pStyle w:val="Tabletexte"/>
              <w:spacing w:before="40" w:after="40" w:line="220" w:lineRule="exact"/>
              <w:jc w:val="center"/>
              <w:rPr>
                <w:sz w:val="16"/>
                <w:szCs w:val="16"/>
              </w:rPr>
            </w:pPr>
            <w:r w:rsidRPr="006F594E">
              <w:rPr>
                <w:sz w:val="16"/>
                <w:szCs w:val="16"/>
              </w:rPr>
              <w:t>2025-09-16</w:t>
            </w:r>
          </w:p>
        </w:tc>
        <w:tc>
          <w:tcPr>
            <w:tcW w:w="540" w:type="pct"/>
            <w:vAlign w:val="center"/>
          </w:tcPr>
          <w:p w14:paraId="000B56C3" w14:textId="4F2E9ACC" w:rsidR="006F594E" w:rsidRPr="006F594E" w:rsidRDefault="006F594E" w:rsidP="006F594E">
            <w:pPr>
              <w:pStyle w:val="Tabletexte"/>
              <w:spacing w:before="40" w:after="40" w:line="220" w:lineRule="exact"/>
              <w:jc w:val="center"/>
              <w:rPr>
                <w:sz w:val="16"/>
                <w:szCs w:val="16"/>
              </w:rPr>
            </w:pPr>
            <w:r w:rsidRPr="006F594E">
              <w:rPr>
                <w:sz w:val="16"/>
                <w:szCs w:val="16"/>
              </w:rPr>
              <w:t>14,27</w:t>
            </w:r>
          </w:p>
        </w:tc>
      </w:tr>
    </w:tbl>
    <w:p w14:paraId="1C44B9C2" w14:textId="00A7E72F" w:rsidR="00970A92" w:rsidRDefault="00C12DCE" w:rsidP="006F594E">
      <w:pPr>
        <w:pStyle w:val="enumlev1"/>
        <w:spacing w:before="240"/>
      </w:pPr>
      <w:r>
        <w:rPr>
          <w:rFonts w:hint="cs"/>
          <w:rtl/>
          <w:lang w:bidi="ar-EG"/>
        </w:rPr>
        <w:t>ب</w:t>
      </w:r>
      <w:r w:rsidR="008359FF">
        <w:rPr>
          <w:rFonts w:hint="cs"/>
          <w:rtl/>
          <w:lang w:bidi="ar-EG"/>
        </w:rPr>
        <w:t>اء</w:t>
      </w:r>
      <w:r w:rsidR="00056440">
        <w:rPr>
          <w:rFonts w:hint="cs"/>
          <w:rtl/>
          <w:lang w:bidi="ar-EG"/>
        </w:rPr>
        <w:t>)</w:t>
      </w:r>
      <w:r w:rsidR="00056440">
        <w:rPr>
          <w:rtl/>
          <w:lang w:bidi="ar-EG"/>
        </w:rPr>
        <w:tab/>
      </w:r>
      <w:r w:rsidR="00970A92" w:rsidRPr="00970A92">
        <w:rPr>
          <w:rtl/>
        </w:rPr>
        <w:t>البطاقات قيد المعالجة*</w:t>
      </w:r>
    </w:p>
    <w:tbl>
      <w:tblPr>
        <w:bidiVisual/>
        <w:tblW w:w="50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993"/>
        <w:gridCol w:w="1134"/>
        <w:gridCol w:w="1052"/>
        <w:gridCol w:w="932"/>
        <w:gridCol w:w="706"/>
        <w:gridCol w:w="1274"/>
        <w:gridCol w:w="1140"/>
        <w:gridCol w:w="983"/>
      </w:tblGrid>
      <w:tr w:rsidR="006F594E" w:rsidRPr="006F594E" w14:paraId="40B90EBF" w14:textId="77777777" w:rsidTr="006F594E">
        <w:trPr>
          <w:trHeight w:val="295"/>
          <w:jc w:val="center"/>
        </w:trPr>
        <w:tc>
          <w:tcPr>
            <w:tcW w:w="488" w:type="pct"/>
            <w:shd w:val="clear" w:color="000000" w:fill="002060"/>
            <w:tcMar>
              <w:left w:w="0" w:type="dxa"/>
              <w:right w:w="0" w:type="dxa"/>
            </w:tcMar>
            <w:vAlign w:val="center"/>
          </w:tcPr>
          <w:p w14:paraId="04743754" w14:textId="4CBB36B1" w:rsidR="006F594E" w:rsidRPr="006F594E" w:rsidRDefault="006F594E" w:rsidP="006F594E">
            <w:pPr>
              <w:pStyle w:val="Tablehead"/>
              <w:spacing w:before="40" w:after="40" w:line="220" w:lineRule="exact"/>
              <w:rPr>
                <w:color w:val="FFFFFF"/>
                <w:sz w:val="16"/>
                <w:szCs w:val="16"/>
                <w:rtl/>
              </w:rPr>
            </w:pPr>
            <w:r w:rsidRPr="006F594E">
              <w:rPr>
                <w:sz w:val="16"/>
                <w:szCs w:val="16"/>
                <w:rtl/>
              </w:rPr>
              <w:t>رقم بطاقة التبليغ</w:t>
            </w:r>
          </w:p>
        </w:tc>
        <w:tc>
          <w:tcPr>
            <w:tcW w:w="545" w:type="pct"/>
            <w:shd w:val="clear" w:color="000000" w:fill="002060"/>
            <w:tcMar>
              <w:left w:w="0" w:type="dxa"/>
              <w:right w:w="0" w:type="dxa"/>
            </w:tcMar>
            <w:vAlign w:val="center"/>
          </w:tcPr>
          <w:p w14:paraId="1F295737" w14:textId="47978D2D" w:rsidR="006F594E" w:rsidRPr="006F594E" w:rsidRDefault="006F594E" w:rsidP="006F594E">
            <w:pPr>
              <w:pStyle w:val="Tablehead"/>
              <w:spacing w:before="40" w:after="40" w:line="220" w:lineRule="exact"/>
              <w:rPr>
                <w:color w:val="FFFFFF"/>
                <w:sz w:val="16"/>
                <w:szCs w:val="16"/>
                <w:rtl/>
              </w:rPr>
            </w:pPr>
            <w:r w:rsidRPr="006F594E">
              <w:rPr>
                <w:sz w:val="16"/>
                <w:szCs w:val="16"/>
                <w:rtl/>
              </w:rPr>
              <w:t>الشبكة</w:t>
            </w:r>
          </w:p>
        </w:tc>
        <w:tc>
          <w:tcPr>
            <w:tcW w:w="623" w:type="pct"/>
            <w:shd w:val="clear" w:color="000000" w:fill="002060"/>
            <w:tcMar>
              <w:left w:w="0" w:type="dxa"/>
              <w:right w:w="0" w:type="dxa"/>
            </w:tcMar>
            <w:vAlign w:val="center"/>
          </w:tcPr>
          <w:p w14:paraId="1DE7DF80" w14:textId="74958CE1" w:rsidR="006F594E" w:rsidRPr="006F594E" w:rsidRDefault="006F594E" w:rsidP="006F594E">
            <w:pPr>
              <w:pStyle w:val="Tablehead"/>
              <w:spacing w:before="40" w:after="40" w:line="220" w:lineRule="exact"/>
              <w:rPr>
                <w:sz w:val="16"/>
                <w:szCs w:val="16"/>
                <w:rtl/>
              </w:rPr>
            </w:pPr>
            <w:r w:rsidRPr="006F594E">
              <w:rPr>
                <w:sz w:val="16"/>
                <w:szCs w:val="16"/>
                <w:rtl/>
              </w:rPr>
              <w:t>نمط المدار</w:t>
            </w:r>
          </w:p>
        </w:tc>
        <w:tc>
          <w:tcPr>
            <w:tcW w:w="578" w:type="pct"/>
            <w:shd w:val="clear" w:color="000000" w:fill="002060"/>
            <w:tcMar>
              <w:left w:w="0" w:type="dxa"/>
              <w:right w:w="0" w:type="dxa"/>
            </w:tcMar>
            <w:vAlign w:val="center"/>
          </w:tcPr>
          <w:p w14:paraId="2D7F4F48" w14:textId="4228D02E" w:rsidR="006F594E" w:rsidRPr="006F594E" w:rsidRDefault="006F594E" w:rsidP="006F594E">
            <w:pPr>
              <w:pStyle w:val="Tablehead"/>
              <w:spacing w:before="40" w:after="40" w:line="220" w:lineRule="exact"/>
              <w:rPr>
                <w:sz w:val="16"/>
                <w:szCs w:val="16"/>
                <w:rtl/>
              </w:rPr>
            </w:pPr>
            <w:r w:rsidRPr="006F594E">
              <w:rPr>
                <w:sz w:val="16"/>
                <w:szCs w:val="16"/>
                <w:rtl/>
              </w:rPr>
              <w:t>تاريخ الاستلام</w:t>
            </w:r>
          </w:p>
        </w:tc>
        <w:tc>
          <w:tcPr>
            <w:tcW w:w="512" w:type="pct"/>
            <w:shd w:val="clear" w:color="000000" w:fill="002060"/>
            <w:tcMar>
              <w:left w:w="0" w:type="dxa"/>
              <w:right w:w="0" w:type="dxa"/>
            </w:tcMar>
            <w:vAlign w:val="center"/>
          </w:tcPr>
          <w:p w14:paraId="559A88DB" w14:textId="0E175191" w:rsidR="006F594E" w:rsidRPr="006F594E" w:rsidRDefault="006F594E" w:rsidP="006F594E">
            <w:pPr>
              <w:pStyle w:val="Tablehead"/>
              <w:spacing w:before="40" w:after="40" w:line="220" w:lineRule="exact"/>
              <w:rPr>
                <w:color w:val="FFFFFF"/>
                <w:sz w:val="16"/>
                <w:szCs w:val="16"/>
                <w:rtl/>
              </w:rPr>
            </w:pPr>
            <w:r w:rsidRPr="006F594E">
              <w:rPr>
                <w:sz w:val="16"/>
                <w:szCs w:val="16"/>
                <w:rtl/>
              </w:rPr>
              <w:t>نوع بطاقة التبليغ</w:t>
            </w:r>
          </w:p>
        </w:tc>
        <w:tc>
          <w:tcPr>
            <w:tcW w:w="388" w:type="pct"/>
            <w:shd w:val="clear" w:color="000000" w:fill="002060"/>
            <w:tcMar>
              <w:left w:w="0" w:type="dxa"/>
              <w:right w:w="0" w:type="dxa"/>
            </w:tcMar>
            <w:vAlign w:val="center"/>
          </w:tcPr>
          <w:p w14:paraId="2B6112D9" w14:textId="3830DCCB" w:rsidR="006F594E" w:rsidRPr="006F594E" w:rsidRDefault="006F594E" w:rsidP="006F594E">
            <w:pPr>
              <w:pStyle w:val="Tablehead"/>
              <w:spacing w:before="40" w:after="40" w:line="220" w:lineRule="exact"/>
              <w:rPr>
                <w:sz w:val="16"/>
                <w:szCs w:val="16"/>
                <w:rtl/>
              </w:rPr>
            </w:pPr>
            <w:r w:rsidRPr="006F594E">
              <w:rPr>
                <w:sz w:val="16"/>
                <w:szCs w:val="16"/>
                <w:rtl/>
              </w:rPr>
              <w:t xml:space="preserve">رقم </w:t>
            </w:r>
            <w:r w:rsidRPr="006F594E">
              <w:rPr>
                <w:sz w:val="16"/>
                <w:szCs w:val="16"/>
                <w:rtl/>
              </w:rPr>
              <w:br/>
              <w:t>النشر</w:t>
            </w:r>
          </w:p>
        </w:tc>
        <w:tc>
          <w:tcPr>
            <w:tcW w:w="700" w:type="pct"/>
            <w:shd w:val="clear" w:color="000000" w:fill="002060"/>
            <w:tcMar>
              <w:left w:w="0" w:type="dxa"/>
              <w:right w:w="0" w:type="dxa"/>
            </w:tcMar>
            <w:vAlign w:val="center"/>
          </w:tcPr>
          <w:p w14:paraId="047FC6A7" w14:textId="322B60C6" w:rsidR="006F594E" w:rsidRPr="006F594E" w:rsidRDefault="006F594E" w:rsidP="006F594E">
            <w:pPr>
              <w:pStyle w:val="Tablehead"/>
              <w:spacing w:before="40" w:after="40" w:line="220" w:lineRule="exact"/>
              <w:rPr>
                <w:sz w:val="16"/>
                <w:szCs w:val="16"/>
                <w:rtl/>
              </w:rPr>
            </w:pPr>
            <w:r w:rsidRPr="006F594E">
              <w:rPr>
                <w:sz w:val="16"/>
                <w:szCs w:val="16"/>
                <w:rtl/>
              </w:rPr>
              <w:t>رقم النشرة الإعلامية الدولية للترددات الصادرة عن مكتب الاتصالات الراديوية</w:t>
            </w:r>
            <w:r w:rsidRPr="006F594E">
              <w:rPr>
                <w:rFonts w:hint="cs"/>
                <w:sz w:val="16"/>
                <w:szCs w:val="16"/>
                <w:rtl/>
              </w:rPr>
              <w:t xml:space="preserve"> </w:t>
            </w:r>
            <w:r w:rsidRPr="006F594E">
              <w:rPr>
                <w:sz w:val="16"/>
                <w:szCs w:val="16"/>
              </w:rPr>
              <w:t>(BR IFIC)</w:t>
            </w:r>
          </w:p>
        </w:tc>
        <w:tc>
          <w:tcPr>
            <w:tcW w:w="626" w:type="pct"/>
            <w:shd w:val="clear" w:color="000000" w:fill="002060"/>
            <w:tcMar>
              <w:left w:w="0" w:type="dxa"/>
              <w:right w:w="0" w:type="dxa"/>
            </w:tcMar>
            <w:vAlign w:val="center"/>
          </w:tcPr>
          <w:p w14:paraId="03FDB1D9" w14:textId="0B34643A" w:rsidR="006F594E" w:rsidRPr="006F594E" w:rsidRDefault="006F594E" w:rsidP="006F594E">
            <w:pPr>
              <w:pStyle w:val="Tablehead"/>
              <w:spacing w:before="40" w:after="40" w:line="220" w:lineRule="exact"/>
              <w:rPr>
                <w:color w:val="FFFFFF"/>
                <w:sz w:val="16"/>
                <w:szCs w:val="16"/>
                <w:rtl/>
              </w:rPr>
            </w:pPr>
            <w:r w:rsidRPr="006F594E">
              <w:rPr>
                <w:sz w:val="16"/>
                <w:szCs w:val="16"/>
                <w:rtl/>
              </w:rPr>
              <w:t>تاريخ النشر</w:t>
            </w:r>
          </w:p>
        </w:tc>
        <w:tc>
          <w:tcPr>
            <w:tcW w:w="541" w:type="pct"/>
            <w:shd w:val="clear" w:color="000000" w:fill="002060"/>
            <w:tcMar>
              <w:left w:w="0" w:type="dxa"/>
              <w:right w:w="0" w:type="dxa"/>
            </w:tcMar>
            <w:vAlign w:val="center"/>
          </w:tcPr>
          <w:p w14:paraId="66D75A25" w14:textId="7FD3A9D5" w:rsidR="006F594E" w:rsidRPr="006F594E" w:rsidRDefault="006F594E" w:rsidP="006F594E">
            <w:pPr>
              <w:pStyle w:val="Tablehead"/>
              <w:spacing w:before="40" w:after="40" w:line="220" w:lineRule="exact"/>
              <w:rPr>
                <w:color w:val="FFFFFF"/>
                <w:sz w:val="16"/>
                <w:szCs w:val="16"/>
                <w:rtl/>
              </w:rPr>
            </w:pPr>
            <w:r w:rsidRPr="006F594E">
              <w:rPr>
                <w:sz w:val="16"/>
                <w:szCs w:val="16"/>
                <w:rtl/>
              </w:rPr>
              <w:t>وقت المعالجة (بالأشهر)</w:t>
            </w:r>
          </w:p>
        </w:tc>
      </w:tr>
      <w:tr w:rsidR="006F594E" w:rsidRPr="006F594E" w14:paraId="26EA0467" w14:textId="77777777" w:rsidTr="006F594E">
        <w:trPr>
          <w:trHeight w:val="295"/>
          <w:jc w:val="center"/>
        </w:trPr>
        <w:tc>
          <w:tcPr>
            <w:tcW w:w="488" w:type="pct"/>
            <w:vAlign w:val="center"/>
          </w:tcPr>
          <w:p w14:paraId="09631254" w14:textId="452DFC31" w:rsidR="006F594E" w:rsidRPr="006F594E" w:rsidRDefault="006F594E" w:rsidP="006F594E">
            <w:pPr>
              <w:pStyle w:val="Tabletexte"/>
              <w:spacing w:before="40" w:after="40" w:line="220" w:lineRule="exact"/>
              <w:jc w:val="center"/>
              <w:rPr>
                <w:sz w:val="16"/>
                <w:szCs w:val="16"/>
              </w:rPr>
            </w:pPr>
            <w:r w:rsidRPr="006F594E">
              <w:rPr>
                <w:sz w:val="16"/>
                <w:szCs w:val="16"/>
              </w:rPr>
              <w:t>125520067</w:t>
            </w:r>
          </w:p>
        </w:tc>
        <w:tc>
          <w:tcPr>
            <w:tcW w:w="545" w:type="pct"/>
            <w:vAlign w:val="center"/>
          </w:tcPr>
          <w:p w14:paraId="7386724B" w14:textId="1C0FDA55" w:rsidR="006F594E" w:rsidRPr="006F594E" w:rsidRDefault="006F594E" w:rsidP="006F594E">
            <w:pPr>
              <w:pStyle w:val="Tabletexte"/>
              <w:spacing w:before="40" w:after="40" w:line="220" w:lineRule="exact"/>
              <w:jc w:val="center"/>
              <w:rPr>
                <w:sz w:val="16"/>
                <w:szCs w:val="16"/>
              </w:rPr>
            </w:pPr>
            <w:r w:rsidRPr="006F594E">
              <w:rPr>
                <w:sz w:val="16"/>
                <w:szCs w:val="16"/>
              </w:rPr>
              <w:t>ARABSAT-12F-44.5E</w:t>
            </w:r>
          </w:p>
        </w:tc>
        <w:tc>
          <w:tcPr>
            <w:tcW w:w="623" w:type="pct"/>
            <w:vAlign w:val="center"/>
          </w:tcPr>
          <w:p w14:paraId="3CEC7BD9" w14:textId="284A7931" w:rsidR="006F594E" w:rsidRPr="006F594E" w:rsidRDefault="006F594E" w:rsidP="006F594E">
            <w:pPr>
              <w:pStyle w:val="Tabletexte"/>
              <w:spacing w:before="40" w:after="40" w:line="220" w:lineRule="exact"/>
              <w:jc w:val="center"/>
              <w:rPr>
                <w:sz w:val="16"/>
                <w:szCs w:val="16"/>
              </w:rPr>
            </w:pPr>
            <w:r w:rsidRPr="006F594E">
              <w:rPr>
                <w:sz w:val="16"/>
                <w:szCs w:val="16"/>
                <w:rtl/>
              </w:rPr>
              <w:t>مستقر بالنسبة إلى الأرض</w:t>
            </w:r>
          </w:p>
        </w:tc>
        <w:tc>
          <w:tcPr>
            <w:tcW w:w="578" w:type="pct"/>
            <w:vAlign w:val="center"/>
          </w:tcPr>
          <w:p w14:paraId="1A51FCAF" w14:textId="32C742CA" w:rsidR="006F594E" w:rsidRPr="006F594E" w:rsidRDefault="006F594E" w:rsidP="006F594E">
            <w:pPr>
              <w:pStyle w:val="Tabletexte"/>
              <w:spacing w:before="40" w:after="40" w:line="220" w:lineRule="exact"/>
              <w:jc w:val="center"/>
              <w:rPr>
                <w:sz w:val="16"/>
                <w:szCs w:val="16"/>
                <w:rtl/>
                <w:lang w:bidi="ar-SA"/>
              </w:rPr>
            </w:pPr>
            <w:r w:rsidRPr="006F594E">
              <w:rPr>
                <w:sz w:val="16"/>
                <w:szCs w:val="16"/>
              </w:rPr>
              <w:t>2025-05-20</w:t>
            </w:r>
          </w:p>
        </w:tc>
        <w:tc>
          <w:tcPr>
            <w:tcW w:w="512" w:type="pct"/>
            <w:vAlign w:val="center"/>
          </w:tcPr>
          <w:p w14:paraId="5C488561" w14:textId="5FF717A3" w:rsidR="006F594E" w:rsidRPr="006F594E" w:rsidRDefault="006F594E" w:rsidP="006F594E">
            <w:pPr>
              <w:pStyle w:val="Tabletexte"/>
              <w:spacing w:before="40" w:after="40" w:line="220" w:lineRule="exact"/>
              <w:jc w:val="center"/>
              <w:rPr>
                <w:sz w:val="16"/>
                <w:szCs w:val="16"/>
              </w:rPr>
            </w:pPr>
            <w:r w:rsidRPr="006F594E">
              <w:rPr>
                <w:sz w:val="16"/>
                <w:szCs w:val="16"/>
                <w:rtl/>
              </w:rPr>
              <w:t>طلبات التنسيق</w:t>
            </w:r>
          </w:p>
        </w:tc>
        <w:tc>
          <w:tcPr>
            <w:tcW w:w="388" w:type="pct"/>
            <w:vAlign w:val="center"/>
          </w:tcPr>
          <w:p w14:paraId="59A7733D" w14:textId="19C06343" w:rsidR="006F594E" w:rsidRPr="006F594E" w:rsidRDefault="006F594E" w:rsidP="006F594E">
            <w:pPr>
              <w:pStyle w:val="Tabletexte"/>
              <w:spacing w:before="40" w:after="40" w:line="220" w:lineRule="exact"/>
              <w:jc w:val="center"/>
              <w:rPr>
                <w:sz w:val="16"/>
                <w:szCs w:val="16"/>
              </w:rPr>
            </w:pPr>
            <w:r w:rsidRPr="006F594E">
              <w:rPr>
                <w:sz w:val="16"/>
                <w:szCs w:val="16"/>
                <w:rtl/>
                <w:lang w:bidi="ar-SA"/>
              </w:rPr>
              <w:t>غير منشورة</w:t>
            </w:r>
          </w:p>
        </w:tc>
        <w:tc>
          <w:tcPr>
            <w:tcW w:w="700" w:type="pct"/>
            <w:vAlign w:val="center"/>
          </w:tcPr>
          <w:p w14:paraId="2B75A780" w14:textId="25C64F0F" w:rsidR="006F594E" w:rsidRPr="006F594E" w:rsidRDefault="006F594E" w:rsidP="006F594E">
            <w:pPr>
              <w:pStyle w:val="Tabletexte"/>
              <w:spacing w:before="40" w:after="40" w:line="220" w:lineRule="exact"/>
              <w:jc w:val="center"/>
              <w:rPr>
                <w:sz w:val="16"/>
                <w:szCs w:val="16"/>
              </w:rPr>
            </w:pPr>
            <w:r w:rsidRPr="006F594E">
              <w:rPr>
                <w:sz w:val="16"/>
                <w:szCs w:val="16"/>
                <w:rtl/>
                <w:lang w:bidi="ar-SA"/>
              </w:rPr>
              <w:t>غير منشورة</w:t>
            </w:r>
          </w:p>
        </w:tc>
        <w:tc>
          <w:tcPr>
            <w:tcW w:w="626" w:type="pct"/>
            <w:vAlign w:val="center"/>
          </w:tcPr>
          <w:p w14:paraId="2B31F636" w14:textId="73F5CB6D" w:rsidR="006F594E" w:rsidRPr="006F594E" w:rsidRDefault="006F594E" w:rsidP="006F594E">
            <w:pPr>
              <w:pStyle w:val="Tabletexte"/>
              <w:spacing w:before="40" w:after="40" w:line="220" w:lineRule="exact"/>
              <w:jc w:val="center"/>
              <w:rPr>
                <w:sz w:val="16"/>
                <w:szCs w:val="16"/>
              </w:rPr>
            </w:pPr>
            <w:r w:rsidRPr="006F594E">
              <w:rPr>
                <w:sz w:val="16"/>
                <w:szCs w:val="16"/>
                <w:rtl/>
                <w:lang w:bidi="ar-SA"/>
              </w:rPr>
              <w:t>قيد المعالجة</w:t>
            </w:r>
          </w:p>
        </w:tc>
        <w:tc>
          <w:tcPr>
            <w:tcW w:w="541" w:type="pct"/>
            <w:vAlign w:val="center"/>
          </w:tcPr>
          <w:p w14:paraId="12C6E33B" w14:textId="762744BD" w:rsidR="006F594E" w:rsidRPr="006F594E" w:rsidRDefault="006F594E" w:rsidP="006F594E">
            <w:pPr>
              <w:pStyle w:val="Tabletexte"/>
              <w:spacing w:before="40" w:after="40" w:line="220" w:lineRule="exact"/>
              <w:jc w:val="center"/>
              <w:rPr>
                <w:sz w:val="16"/>
                <w:szCs w:val="16"/>
              </w:rPr>
            </w:pPr>
            <w:r w:rsidRPr="006F594E">
              <w:rPr>
                <w:sz w:val="16"/>
                <w:szCs w:val="16"/>
              </w:rPr>
              <w:t>10,8</w:t>
            </w:r>
          </w:p>
        </w:tc>
      </w:tr>
      <w:tr w:rsidR="006F594E" w:rsidRPr="006F594E" w14:paraId="689FCB4A" w14:textId="77777777" w:rsidTr="006F594E">
        <w:trPr>
          <w:trHeight w:val="295"/>
          <w:jc w:val="center"/>
        </w:trPr>
        <w:tc>
          <w:tcPr>
            <w:tcW w:w="488" w:type="pct"/>
            <w:vAlign w:val="center"/>
          </w:tcPr>
          <w:p w14:paraId="253489FB" w14:textId="1030C01E" w:rsidR="006F594E" w:rsidRPr="006F594E" w:rsidRDefault="006F594E" w:rsidP="006F594E">
            <w:pPr>
              <w:pStyle w:val="Tabletexte"/>
              <w:spacing w:before="40" w:after="40" w:line="220" w:lineRule="exact"/>
              <w:jc w:val="center"/>
              <w:rPr>
                <w:sz w:val="16"/>
                <w:szCs w:val="16"/>
              </w:rPr>
            </w:pPr>
            <w:r w:rsidRPr="006F594E">
              <w:rPr>
                <w:sz w:val="16"/>
                <w:szCs w:val="16"/>
              </w:rPr>
              <w:t>125520066</w:t>
            </w:r>
          </w:p>
        </w:tc>
        <w:tc>
          <w:tcPr>
            <w:tcW w:w="545" w:type="pct"/>
            <w:vAlign w:val="center"/>
          </w:tcPr>
          <w:p w14:paraId="0F5AC80C" w14:textId="2737A055" w:rsidR="006F594E" w:rsidRPr="006F594E" w:rsidRDefault="006F594E" w:rsidP="006F594E">
            <w:pPr>
              <w:pStyle w:val="Tabletexte"/>
              <w:spacing w:before="40" w:after="40" w:line="220" w:lineRule="exact"/>
              <w:jc w:val="center"/>
              <w:rPr>
                <w:sz w:val="16"/>
                <w:szCs w:val="16"/>
              </w:rPr>
            </w:pPr>
            <w:r w:rsidRPr="006F594E">
              <w:rPr>
                <w:sz w:val="16"/>
                <w:szCs w:val="16"/>
              </w:rPr>
              <w:t>ARABSAT-12G-1E</w:t>
            </w:r>
          </w:p>
        </w:tc>
        <w:tc>
          <w:tcPr>
            <w:tcW w:w="623" w:type="pct"/>
            <w:vAlign w:val="center"/>
          </w:tcPr>
          <w:p w14:paraId="64E9957F" w14:textId="4C18248B" w:rsidR="006F594E" w:rsidRPr="006F594E" w:rsidRDefault="006F594E" w:rsidP="006F594E">
            <w:pPr>
              <w:pStyle w:val="Tabletexte"/>
              <w:spacing w:before="40" w:after="40" w:line="220" w:lineRule="exact"/>
              <w:jc w:val="center"/>
              <w:rPr>
                <w:sz w:val="16"/>
                <w:szCs w:val="16"/>
              </w:rPr>
            </w:pPr>
            <w:r w:rsidRPr="006F594E">
              <w:rPr>
                <w:sz w:val="16"/>
                <w:szCs w:val="16"/>
                <w:rtl/>
              </w:rPr>
              <w:t>مستقر بالنسبة إلى الأرض</w:t>
            </w:r>
          </w:p>
        </w:tc>
        <w:tc>
          <w:tcPr>
            <w:tcW w:w="578" w:type="pct"/>
            <w:vAlign w:val="center"/>
          </w:tcPr>
          <w:p w14:paraId="7815F380" w14:textId="2159FD33" w:rsidR="006F594E" w:rsidRPr="006F594E" w:rsidRDefault="006F594E" w:rsidP="006F594E">
            <w:pPr>
              <w:pStyle w:val="Tabletexte"/>
              <w:spacing w:before="40" w:after="40" w:line="220" w:lineRule="exact"/>
              <w:jc w:val="center"/>
              <w:rPr>
                <w:sz w:val="16"/>
                <w:szCs w:val="16"/>
                <w:rtl/>
                <w:lang w:bidi="ar-SA"/>
              </w:rPr>
            </w:pPr>
            <w:r w:rsidRPr="006F594E">
              <w:rPr>
                <w:sz w:val="16"/>
                <w:szCs w:val="16"/>
              </w:rPr>
              <w:t>2025-05-20</w:t>
            </w:r>
          </w:p>
        </w:tc>
        <w:tc>
          <w:tcPr>
            <w:tcW w:w="512" w:type="pct"/>
            <w:vAlign w:val="center"/>
          </w:tcPr>
          <w:p w14:paraId="3C3390E7" w14:textId="0C79E29C" w:rsidR="006F594E" w:rsidRPr="006F594E" w:rsidRDefault="006F594E" w:rsidP="006F594E">
            <w:pPr>
              <w:pStyle w:val="Tabletexte"/>
              <w:spacing w:before="40" w:after="40" w:line="220" w:lineRule="exact"/>
              <w:jc w:val="center"/>
              <w:rPr>
                <w:sz w:val="16"/>
                <w:szCs w:val="16"/>
              </w:rPr>
            </w:pPr>
            <w:r w:rsidRPr="006F594E">
              <w:rPr>
                <w:sz w:val="16"/>
                <w:szCs w:val="16"/>
                <w:rtl/>
              </w:rPr>
              <w:t>طلبات التنسيق</w:t>
            </w:r>
          </w:p>
        </w:tc>
        <w:tc>
          <w:tcPr>
            <w:tcW w:w="388" w:type="pct"/>
            <w:vAlign w:val="center"/>
          </w:tcPr>
          <w:p w14:paraId="098866DF" w14:textId="04ACAF20" w:rsidR="006F594E" w:rsidRPr="006F594E" w:rsidRDefault="006F594E" w:rsidP="006F594E">
            <w:pPr>
              <w:pStyle w:val="Tabletexte"/>
              <w:spacing w:before="40" w:after="40" w:line="220" w:lineRule="exact"/>
              <w:jc w:val="center"/>
              <w:rPr>
                <w:sz w:val="16"/>
                <w:szCs w:val="16"/>
              </w:rPr>
            </w:pPr>
            <w:r w:rsidRPr="006F594E">
              <w:rPr>
                <w:sz w:val="16"/>
                <w:szCs w:val="16"/>
                <w:rtl/>
                <w:lang w:bidi="ar-SA"/>
              </w:rPr>
              <w:t>غير منشورة</w:t>
            </w:r>
          </w:p>
        </w:tc>
        <w:tc>
          <w:tcPr>
            <w:tcW w:w="700" w:type="pct"/>
            <w:vAlign w:val="center"/>
          </w:tcPr>
          <w:p w14:paraId="48142AC2" w14:textId="43D3B450" w:rsidR="006F594E" w:rsidRPr="006F594E" w:rsidRDefault="006F594E" w:rsidP="006F594E">
            <w:pPr>
              <w:pStyle w:val="Tabletexte"/>
              <w:spacing w:before="40" w:after="40" w:line="220" w:lineRule="exact"/>
              <w:jc w:val="center"/>
              <w:rPr>
                <w:sz w:val="16"/>
                <w:szCs w:val="16"/>
              </w:rPr>
            </w:pPr>
            <w:r w:rsidRPr="006F594E">
              <w:rPr>
                <w:sz w:val="16"/>
                <w:szCs w:val="16"/>
                <w:rtl/>
                <w:lang w:bidi="ar-SA"/>
              </w:rPr>
              <w:t>غير منشورة</w:t>
            </w:r>
          </w:p>
        </w:tc>
        <w:tc>
          <w:tcPr>
            <w:tcW w:w="626" w:type="pct"/>
            <w:vAlign w:val="center"/>
          </w:tcPr>
          <w:p w14:paraId="6404B0ED" w14:textId="378A03F1" w:rsidR="006F594E" w:rsidRPr="006F594E" w:rsidRDefault="006F594E" w:rsidP="006F594E">
            <w:pPr>
              <w:pStyle w:val="Tabletexte"/>
              <w:spacing w:before="40" w:after="40" w:line="220" w:lineRule="exact"/>
              <w:jc w:val="center"/>
              <w:rPr>
                <w:sz w:val="16"/>
                <w:szCs w:val="16"/>
              </w:rPr>
            </w:pPr>
            <w:r w:rsidRPr="006F594E">
              <w:rPr>
                <w:sz w:val="16"/>
                <w:szCs w:val="16"/>
                <w:rtl/>
                <w:lang w:bidi="ar-SA"/>
              </w:rPr>
              <w:t>قيد المعالجة</w:t>
            </w:r>
          </w:p>
        </w:tc>
        <w:tc>
          <w:tcPr>
            <w:tcW w:w="541" w:type="pct"/>
            <w:vAlign w:val="center"/>
          </w:tcPr>
          <w:p w14:paraId="15FBD0C9" w14:textId="5B850A4F" w:rsidR="006F594E" w:rsidRPr="006F594E" w:rsidRDefault="006F594E" w:rsidP="006F594E">
            <w:pPr>
              <w:pStyle w:val="Tabletexte"/>
              <w:spacing w:before="40" w:after="40" w:line="220" w:lineRule="exact"/>
              <w:jc w:val="center"/>
              <w:rPr>
                <w:sz w:val="16"/>
                <w:szCs w:val="16"/>
              </w:rPr>
            </w:pPr>
            <w:r w:rsidRPr="006F594E">
              <w:rPr>
                <w:sz w:val="16"/>
                <w:szCs w:val="16"/>
              </w:rPr>
              <w:t>10,8</w:t>
            </w:r>
          </w:p>
        </w:tc>
      </w:tr>
      <w:tr w:rsidR="006F594E" w:rsidRPr="006F594E" w14:paraId="3945B7F3" w14:textId="77777777" w:rsidTr="006F594E">
        <w:trPr>
          <w:trHeight w:val="295"/>
          <w:jc w:val="center"/>
        </w:trPr>
        <w:tc>
          <w:tcPr>
            <w:tcW w:w="488" w:type="pct"/>
            <w:vAlign w:val="center"/>
          </w:tcPr>
          <w:p w14:paraId="2F914DF1" w14:textId="3946E9FC" w:rsidR="006F594E" w:rsidRPr="006F594E" w:rsidRDefault="006F594E" w:rsidP="006F594E">
            <w:pPr>
              <w:pStyle w:val="Tabletexte"/>
              <w:spacing w:before="40" w:after="40" w:line="220" w:lineRule="exact"/>
              <w:jc w:val="center"/>
              <w:rPr>
                <w:sz w:val="16"/>
                <w:szCs w:val="16"/>
              </w:rPr>
            </w:pPr>
            <w:r w:rsidRPr="006F594E">
              <w:rPr>
                <w:sz w:val="16"/>
                <w:szCs w:val="16"/>
              </w:rPr>
              <w:t>125520065</w:t>
            </w:r>
          </w:p>
        </w:tc>
        <w:tc>
          <w:tcPr>
            <w:tcW w:w="545" w:type="pct"/>
            <w:vAlign w:val="center"/>
          </w:tcPr>
          <w:p w14:paraId="62932A67" w14:textId="1C0EB23A" w:rsidR="006F594E" w:rsidRPr="006F594E" w:rsidRDefault="006F594E" w:rsidP="006F594E">
            <w:pPr>
              <w:pStyle w:val="Tabletexte"/>
              <w:spacing w:before="40" w:after="40" w:line="220" w:lineRule="exact"/>
              <w:jc w:val="center"/>
              <w:rPr>
                <w:sz w:val="16"/>
                <w:szCs w:val="16"/>
              </w:rPr>
            </w:pPr>
            <w:r w:rsidRPr="006F594E">
              <w:rPr>
                <w:sz w:val="16"/>
                <w:szCs w:val="16"/>
              </w:rPr>
              <w:t>ARABSAT-12N-14.7E</w:t>
            </w:r>
          </w:p>
        </w:tc>
        <w:tc>
          <w:tcPr>
            <w:tcW w:w="623" w:type="pct"/>
            <w:vAlign w:val="center"/>
          </w:tcPr>
          <w:p w14:paraId="0B93D6FC" w14:textId="553EB6DF" w:rsidR="006F594E" w:rsidRPr="006F594E" w:rsidRDefault="006F594E" w:rsidP="006F594E">
            <w:pPr>
              <w:pStyle w:val="Tabletexte"/>
              <w:spacing w:before="40" w:after="40" w:line="220" w:lineRule="exact"/>
              <w:jc w:val="center"/>
              <w:rPr>
                <w:sz w:val="16"/>
                <w:szCs w:val="16"/>
              </w:rPr>
            </w:pPr>
            <w:r w:rsidRPr="006F594E">
              <w:rPr>
                <w:sz w:val="16"/>
                <w:szCs w:val="16"/>
                <w:rtl/>
              </w:rPr>
              <w:t>مستقر بالنسبة إلى الأرض</w:t>
            </w:r>
          </w:p>
        </w:tc>
        <w:tc>
          <w:tcPr>
            <w:tcW w:w="578" w:type="pct"/>
            <w:vAlign w:val="center"/>
          </w:tcPr>
          <w:p w14:paraId="04838C6B" w14:textId="145361C0" w:rsidR="006F594E" w:rsidRPr="006F594E" w:rsidRDefault="006F594E" w:rsidP="006F594E">
            <w:pPr>
              <w:pStyle w:val="Tabletexte"/>
              <w:spacing w:before="40" w:after="40" w:line="220" w:lineRule="exact"/>
              <w:jc w:val="center"/>
              <w:rPr>
                <w:sz w:val="16"/>
                <w:szCs w:val="16"/>
                <w:rtl/>
                <w:lang w:bidi="ar-SA"/>
              </w:rPr>
            </w:pPr>
            <w:r w:rsidRPr="006F594E">
              <w:rPr>
                <w:sz w:val="16"/>
                <w:szCs w:val="16"/>
              </w:rPr>
              <w:t>2025-05-20</w:t>
            </w:r>
          </w:p>
        </w:tc>
        <w:tc>
          <w:tcPr>
            <w:tcW w:w="512" w:type="pct"/>
            <w:vAlign w:val="center"/>
          </w:tcPr>
          <w:p w14:paraId="7B59530C" w14:textId="49F563C7" w:rsidR="006F594E" w:rsidRPr="006F594E" w:rsidRDefault="006F594E" w:rsidP="006F594E">
            <w:pPr>
              <w:pStyle w:val="Tabletexte"/>
              <w:spacing w:before="40" w:after="40" w:line="220" w:lineRule="exact"/>
              <w:jc w:val="center"/>
              <w:rPr>
                <w:sz w:val="16"/>
                <w:szCs w:val="16"/>
              </w:rPr>
            </w:pPr>
            <w:r w:rsidRPr="006F594E">
              <w:rPr>
                <w:sz w:val="16"/>
                <w:szCs w:val="16"/>
                <w:rtl/>
              </w:rPr>
              <w:t>طلبات التنسيق</w:t>
            </w:r>
          </w:p>
        </w:tc>
        <w:tc>
          <w:tcPr>
            <w:tcW w:w="388" w:type="pct"/>
            <w:vAlign w:val="center"/>
          </w:tcPr>
          <w:p w14:paraId="1C1C7033" w14:textId="6FC7116C" w:rsidR="006F594E" w:rsidRPr="006F594E" w:rsidRDefault="006F594E" w:rsidP="006F594E">
            <w:pPr>
              <w:pStyle w:val="Tabletexte"/>
              <w:spacing w:before="40" w:after="40" w:line="220" w:lineRule="exact"/>
              <w:jc w:val="center"/>
              <w:rPr>
                <w:sz w:val="16"/>
                <w:szCs w:val="16"/>
              </w:rPr>
            </w:pPr>
            <w:r w:rsidRPr="006F594E">
              <w:rPr>
                <w:sz w:val="16"/>
                <w:szCs w:val="16"/>
                <w:rtl/>
                <w:lang w:bidi="ar-SA"/>
              </w:rPr>
              <w:t>غير منشورة</w:t>
            </w:r>
          </w:p>
        </w:tc>
        <w:tc>
          <w:tcPr>
            <w:tcW w:w="700" w:type="pct"/>
            <w:vAlign w:val="center"/>
          </w:tcPr>
          <w:p w14:paraId="00F6A4D6" w14:textId="2BB92DF1" w:rsidR="006F594E" w:rsidRPr="006F594E" w:rsidRDefault="006F594E" w:rsidP="006F594E">
            <w:pPr>
              <w:pStyle w:val="Tabletexte"/>
              <w:spacing w:before="40" w:after="40" w:line="220" w:lineRule="exact"/>
              <w:jc w:val="center"/>
              <w:rPr>
                <w:sz w:val="16"/>
                <w:szCs w:val="16"/>
              </w:rPr>
            </w:pPr>
            <w:r w:rsidRPr="006F594E">
              <w:rPr>
                <w:sz w:val="16"/>
                <w:szCs w:val="16"/>
                <w:rtl/>
                <w:lang w:bidi="ar-SA"/>
              </w:rPr>
              <w:t>غير منشورة</w:t>
            </w:r>
          </w:p>
        </w:tc>
        <w:tc>
          <w:tcPr>
            <w:tcW w:w="626" w:type="pct"/>
            <w:vAlign w:val="center"/>
          </w:tcPr>
          <w:p w14:paraId="77C71B01" w14:textId="44C60B65" w:rsidR="006F594E" w:rsidRPr="006F594E" w:rsidRDefault="006F594E" w:rsidP="006F594E">
            <w:pPr>
              <w:pStyle w:val="Tabletexte"/>
              <w:spacing w:before="40" w:after="40" w:line="220" w:lineRule="exact"/>
              <w:jc w:val="center"/>
              <w:rPr>
                <w:sz w:val="16"/>
                <w:szCs w:val="16"/>
              </w:rPr>
            </w:pPr>
            <w:r w:rsidRPr="006F594E">
              <w:rPr>
                <w:sz w:val="16"/>
                <w:szCs w:val="16"/>
                <w:rtl/>
                <w:lang w:bidi="ar-SA"/>
              </w:rPr>
              <w:t>قيد المعالجة</w:t>
            </w:r>
          </w:p>
        </w:tc>
        <w:tc>
          <w:tcPr>
            <w:tcW w:w="541" w:type="pct"/>
            <w:vAlign w:val="center"/>
          </w:tcPr>
          <w:p w14:paraId="2F8AFA89" w14:textId="19E95816" w:rsidR="006F594E" w:rsidRPr="006F594E" w:rsidRDefault="006F594E" w:rsidP="006F594E">
            <w:pPr>
              <w:pStyle w:val="Tabletexte"/>
              <w:spacing w:before="40" w:after="40" w:line="220" w:lineRule="exact"/>
              <w:jc w:val="center"/>
              <w:rPr>
                <w:sz w:val="16"/>
                <w:szCs w:val="16"/>
              </w:rPr>
            </w:pPr>
            <w:r w:rsidRPr="006F594E">
              <w:rPr>
                <w:sz w:val="16"/>
                <w:szCs w:val="16"/>
              </w:rPr>
              <w:t>10,8</w:t>
            </w:r>
          </w:p>
        </w:tc>
      </w:tr>
      <w:tr w:rsidR="006F594E" w:rsidRPr="006F594E" w14:paraId="1CF0CB15" w14:textId="77777777" w:rsidTr="006F594E">
        <w:trPr>
          <w:trHeight w:val="295"/>
          <w:jc w:val="center"/>
        </w:trPr>
        <w:tc>
          <w:tcPr>
            <w:tcW w:w="488" w:type="pct"/>
            <w:vAlign w:val="center"/>
          </w:tcPr>
          <w:p w14:paraId="4EDAA7E7" w14:textId="708B2D07" w:rsidR="006F594E" w:rsidRPr="006F594E" w:rsidRDefault="006F594E" w:rsidP="006F594E">
            <w:pPr>
              <w:pStyle w:val="Tabletexte"/>
              <w:spacing w:before="40" w:after="40" w:line="220" w:lineRule="exact"/>
              <w:jc w:val="center"/>
              <w:rPr>
                <w:sz w:val="16"/>
                <w:szCs w:val="16"/>
              </w:rPr>
            </w:pPr>
            <w:r w:rsidRPr="006F594E">
              <w:rPr>
                <w:sz w:val="16"/>
                <w:szCs w:val="16"/>
              </w:rPr>
              <w:t>125520064</w:t>
            </w:r>
          </w:p>
        </w:tc>
        <w:tc>
          <w:tcPr>
            <w:tcW w:w="545" w:type="pct"/>
            <w:vAlign w:val="center"/>
          </w:tcPr>
          <w:p w14:paraId="0C89E912" w14:textId="7AD80A46" w:rsidR="006F594E" w:rsidRPr="006F594E" w:rsidRDefault="006F594E" w:rsidP="006F594E">
            <w:pPr>
              <w:pStyle w:val="Tabletexte"/>
              <w:spacing w:before="40" w:after="40" w:line="220" w:lineRule="exact"/>
              <w:jc w:val="center"/>
              <w:rPr>
                <w:sz w:val="16"/>
                <w:szCs w:val="16"/>
              </w:rPr>
            </w:pPr>
            <w:r w:rsidRPr="006F594E">
              <w:rPr>
                <w:sz w:val="16"/>
                <w:szCs w:val="16"/>
              </w:rPr>
              <w:t>ARABSAT-12Q-58.5E</w:t>
            </w:r>
          </w:p>
        </w:tc>
        <w:tc>
          <w:tcPr>
            <w:tcW w:w="623" w:type="pct"/>
            <w:vAlign w:val="center"/>
          </w:tcPr>
          <w:p w14:paraId="62965C66" w14:textId="61FA62B3" w:rsidR="006F594E" w:rsidRPr="006F594E" w:rsidRDefault="006F594E" w:rsidP="006F594E">
            <w:pPr>
              <w:pStyle w:val="Tabletexte"/>
              <w:spacing w:before="40" w:after="40" w:line="220" w:lineRule="exact"/>
              <w:jc w:val="center"/>
              <w:rPr>
                <w:sz w:val="16"/>
                <w:szCs w:val="16"/>
              </w:rPr>
            </w:pPr>
            <w:r w:rsidRPr="006F594E">
              <w:rPr>
                <w:sz w:val="16"/>
                <w:szCs w:val="16"/>
                <w:rtl/>
              </w:rPr>
              <w:t>مستقر بالنسبة إلى الأرض</w:t>
            </w:r>
          </w:p>
        </w:tc>
        <w:tc>
          <w:tcPr>
            <w:tcW w:w="578" w:type="pct"/>
            <w:vAlign w:val="center"/>
          </w:tcPr>
          <w:p w14:paraId="56ACD947" w14:textId="5DD9BC85" w:rsidR="006F594E" w:rsidRPr="006F594E" w:rsidRDefault="006F594E" w:rsidP="006F594E">
            <w:pPr>
              <w:pStyle w:val="Tabletexte"/>
              <w:spacing w:before="40" w:after="40" w:line="220" w:lineRule="exact"/>
              <w:jc w:val="center"/>
              <w:rPr>
                <w:sz w:val="16"/>
                <w:szCs w:val="16"/>
                <w:rtl/>
                <w:lang w:bidi="ar-SA"/>
              </w:rPr>
            </w:pPr>
            <w:r w:rsidRPr="006F594E">
              <w:rPr>
                <w:sz w:val="16"/>
                <w:szCs w:val="16"/>
              </w:rPr>
              <w:t>2025-05-20</w:t>
            </w:r>
          </w:p>
        </w:tc>
        <w:tc>
          <w:tcPr>
            <w:tcW w:w="512" w:type="pct"/>
            <w:vAlign w:val="center"/>
          </w:tcPr>
          <w:p w14:paraId="65D2B3AE" w14:textId="235A6806" w:rsidR="006F594E" w:rsidRPr="006F594E" w:rsidRDefault="006F594E" w:rsidP="006F594E">
            <w:pPr>
              <w:pStyle w:val="Tabletexte"/>
              <w:spacing w:before="40" w:after="40" w:line="220" w:lineRule="exact"/>
              <w:jc w:val="center"/>
              <w:rPr>
                <w:sz w:val="16"/>
                <w:szCs w:val="16"/>
              </w:rPr>
            </w:pPr>
            <w:r w:rsidRPr="006F594E">
              <w:rPr>
                <w:sz w:val="16"/>
                <w:szCs w:val="16"/>
                <w:rtl/>
              </w:rPr>
              <w:t>طلبات التنسيق</w:t>
            </w:r>
          </w:p>
        </w:tc>
        <w:tc>
          <w:tcPr>
            <w:tcW w:w="388" w:type="pct"/>
            <w:vAlign w:val="center"/>
          </w:tcPr>
          <w:p w14:paraId="16EC86E4" w14:textId="42F46248" w:rsidR="006F594E" w:rsidRPr="006F594E" w:rsidRDefault="006F594E" w:rsidP="006F594E">
            <w:pPr>
              <w:pStyle w:val="Tabletexte"/>
              <w:spacing w:before="40" w:after="40" w:line="220" w:lineRule="exact"/>
              <w:jc w:val="center"/>
              <w:rPr>
                <w:sz w:val="16"/>
                <w:szCs w:val="16"/>
              </w:rPr>
            </w:pPr>
            <w:r w:rsidRPr="006F594E">
              <w:rPr>
                <w:sz w:val="16"/>
                <w:szCs w:val="16"/>
                <w:rtl/>
                <w:lang w:bidi="ar-SA"/>
              </w:rPr>
              <w:t>غير منشورة</w:t>
            </w:r>
          </w:p>
        </w:tc>
        <w:tc>
          <w:tcPr>
            <w:tcW w:w="700" w:type="pct"/>
            <w:vAlign w:val="center"/>
          </w:tcPr>
          <w:p w14:paraId="566B12D5" w14:textId="7A2437F6" w:rsidR="006F594E" w:rsidRPr="006F594E" w:rsidRDefault="006F594E" w:rsidP="006F594E">
            <w:pPr>
              <w:pStyle w:val="Tabletexte"/>
              <w:spacing w:before="40" w:after="40" w:line="220" w:lineRule="exact"/>
              <w:jc w:val="center"/>
              <w:rPr>
                <w:sz w:val="16"/>
                <w:szCs w:val="16"/>
              </w:rPr>
            </w:pPr>
            <w:r w:rsidRPr="006F594E">
              <w:rPr>
                <w:sz w:val="16"/>
                <w:szCs w:val="16"/>
                <w:rtl/>
                <w:lang w:bidi="ar-SA"/>
              </w:rPr>
              <w:t>غير منشورة</w:t>
            </w:r>
          </w:p>
        </w:tc>
        <w:tc>
          <w:tcPr>
            <w:tcW w:w="626" w:type="pct"/>
            <w:vAlign w:val="center"/>
          </w:tcPr>
          <w:p w14:paraId="0DC2DC30" w14:textId="7CAFE92B" w:rsidR="006F594E" w:rsidRPr="006F594E" w:rsidRDefault="006F594E" w:rsidP="006F594E">
            <w:pPr>
              <w:pStyle w:val="Tabletexte"/>
              <w:spacing w:before="40" w:after="40" w:line="220" w:lineRule="exact"/>
              <w:jc w:val="center"/>
              <w:rPr>
                <w:sz w:val="16"/>
                <w:szCs w:val="16"/>
              </w:rPr>
            </w:pPr>
            <w:r w:rsidRPr="006F594E">
              <w:rPr>
                <w:sz w:val="16"/>
                <w:szCs w:val="16"/>
                <w:rtl/>
                <w:lang w:bidi="ar-SA"/>
              </w:rPr>
              <w:t>قيد المعالجة</w:t>
            </w:r>
          </w:p>
        </w:tc>
        <w:tc>
          <w:tcPr>
            <w:tcW w:w="541" w:type="pct"/>
            <w:vAlign w:val="center"/>
          </w:tcPr>
          <w:p w14:paraId="5CEDD547" w14:textId="27E5003D" w:rsidR="006F594E" w:rsidRPr="006F594E" w:rsidRDefault="006F594E" w:rsidP="006F594E">
            <w:pPr>
              <w:pStyle w:val="Tabletexte"/>
              <w:spacing w:before="40" w:after="40" w:line="220" w:lineRule="exact"/>
              <w:jc w:val="center"/>
              <w:rPr>
                <w:sz w:val="16"/>
                <w:szCs w:val="16"/>
              </w:rPr>
            </w:pPr>
            <w:r w:rsidRPr="006F594E">
              <w:rPr>
                <w:sz w:val="16"/>
                <w:szCs w:val="16"/>
              </w:rPr>
              <w:t>10,8</w:t>
            </w:r>
          </w:p>
        </w:tc>
      </w:tr>
      <w:tr w:rsidR="006F594E" w:rsidRPr="006F594E" w14:paraId="6D0A5CF9" w14:textId="77777777" w:rsidTr="006F594E">
        <w:trPr>
          <w:trHeight w:val="295"/>
          <w:jc w:val="center"/>
        </w:trPr>
        <w:tc>
          <w:tcPr>
            <w:tcW w:w="488" w:type="pct"/>
            <w:vAlign w:val="center"/>
          </w:tcPr>
          <w:p w14:paraId="75DF4B98" w14:textId="264B667F" w:rsidR="006F594E" w:rsidRPr="006F594E" w:rsidRDefault="006F594E" w:rsidP="006F594E">
            <w:pPr>
              <w:pStyle w:val="Tabletexte"/>
              <w:spacing w:before="40" w:after="40" w:line="220" w:lineRule="exact"/>
              <w:jc w:val="center"/>
              <w:rPr>
                <w:sz w:val="16"/>
                <w:szCs w:val="16"/>
              </w:rPr>
            </w:pPr>
            <w:r w:rsidRPr="006F594E">
              <w:rPr>
                <w:sz w:val="16"/>
                <w:szCs w:val="16"/>
              </w:rPr>
              <w:t>125520063</w:t>
            </w:r>
          </w:p>
        </w:tc>
        <w:tc>
          <w:tcPr>
            <w:tcW w:w="545" w:type="pct"/>
            <w:vAlign w:val="center"/>
          </w:tcPr>
          <w:p w14:paraId="37DD1839" w14:textId="4D0F09E7" w:rsidR="006F594E" w:rsidRPr="006F594E" w:rsidRDefault="006F594E" w:rsidP="006F594E">
            <w:pPr>
              <w:pStyle w:val="Tabletexte"/>
              <w:spacing w:before="40" w:after="40" w:line="220" w:lineRule="exact"/>
              <w:jc w:val="center"/>
              <w:rPr>
                <w:sz w:val="16"/>
                <w:szCs w:val="16"/>
              </w:rPr>
            </w:pPr>
            <w:r w:rsidRPr="006F594E">
              <w:rPr>
                <w:sz w:val="16"/>
                <w:szCs w:val="16"/>
              </w:rPr>
              <w:t>ARABSAT-12Y-9W</w:t>
            </w:r>
          </w:p>
        </w:tc>
        <w:tc>
          <w:tcPr>
            <w:tcW w:w="623" w:type="pct"/>
            <w:vAlign w:val="center"/>
          </w:tcPr>
          <w:p w14:paraId="3178E154" w14:textId="5DA95720" w:rsidR="006F594E" w:rsidRPr="006F594E" w:rsidRDefault="006F594E" w:rsidP="006F594E">
            <w:pPr>
              <w:pStyle w:val="Tabletexte"/>
              <w:spacing w:before="40" w:after="40" w:line="220" w:lineRule="exact"/>
              <w:jc w:val="center"/>
              <w:rPr>
                <w:sz w:val="16"/>
                <w:szCs w:val="16"/>
              </w:rPr>
            </w:pPr>
            <w:r w:rsidRPr="006F594E">
              <w:rPr>
                <w:sz w:val="16"/>
                <w:szCs w:val="16"/>
                <w:rtl/>
              </w:rPr>
              <w:t>مستقر بالنسبة إلى الأرض</w:t>
            </w:r>
          </w:p>
        </w:tc>
        <w:tc>
          <w:tcPr>
            <w:tcW w:w="578" w:type="pct"/>
            <w:vAlign w:val="center"/>
          </w:tcPr>
          <w:p w14:paraId="027707E3" w14:textId="052215E2" w:rsidR="006F594E" w:rsidRPr="006F594E" w:rsidRDefault="006F594E" w:rsidP="006F594E">
            <w:pPr>
              <w:pStyle w:val="Tabletexte"/>
              <w:spacing w:before="40" w:after="40" w:line="220" w:lineRule="exact"/>
              <w:jc w:val="center"/>
              <w:rPr>
                <w:sz w:val="16"/>
                <w:szCs w:val="16"/>
                <w:rtl/>
                <w:lang w:bidi="ar-SA"/>
              </w:rPr>
            </w:pPr>
            <w:r w:rsidRPr="006F594E">
              <w:rPr>
                <w:sz w:val="16"/>
                <w:szCs w:val="16"/>
              </w:rPr>
              <w:t>2025-05-20</w:t>
            </w:r>
          </w:p>
        </w:tc>
        <w:tc>
          <w:tcPr>
            <w:tcW w:w="512" w:type="pct"/>
            <w:vAlign w:val="center"/>
          </w:tcPr>
          <w:p w14:paraId="7CBBBEB3" w14:textId="5DCA11A6" w:rsidR="006F594E" w:rsidRPr="006F594E" w:rsidRDefault="006F594E" w:rsidP="006F594E">
            <w:pPr>
              <w:pStyle w:val="Tabletexte"/>
              <w:spacing w:before="40" w:after="40" w:line="220" w:lineRule="exact"/>
              <w:jc w:val="center"/>
              <w:rPr>
                <w:sz w:val="16"/>
                <w:szCs w:val="16"/>
              </w:rPr>
            </w:pPr>
            <w:r w:rsidRPr="006F594E">
              <w:rPr>
                <w:sz w:val="16"/>
                <w:szCs w:val="16"/>
                <w:rtl/>
              </w:rPr>
              <w:t>طلبات التنسيق</w:t>
            </w:r>
          </w:p>
        </w:tc>
        <w:tc>
          <w:tcPr>
            <w:tcW w:w="388" w:type="pct"/>
            <w:vAlign w:val="center"/>
          </w:tcPr>
          <w:p w14:paraId="0CA190E0" w14:textId="346B3C59" w:rsidR="006F594E" w:rsidRPr="006F594E" w:rsidRDefault="006F594E" w:rsidP="006F594E">
            <w:pPr>
              <w:pStyle w:val="Tabletexte"/>
              <w:spacing w:before="40" w:after="40" w:line="220" w:lineRule="exact"/>
              <w:jc w:val="center"/>
              <w:rPr>
                <w:sz w:val="16"/>
                <w:szCs w:val="16"/>
              </w:rPr>
            </w:pPr>
            <w:r w:rsidRPr="006F594E">
              <w:rPr>
                <w:sz w:val="16"/>
                <w:szCs w:val="16"/>
                <w:rtl/>
                <w:lang w:bidi="ar-SA"/>
              </w:rPr>
              <w:t>غير منشورة</w:t>
            </w:r>
          </w:p>
        </w:tc>
        <w:tc>
          <w:tcPr>
            <w:tcW w:w="700" w:type="pct"/>
            <w:vAlign w:val="center"/>
          </w:tcPr>
          <w:p w14:paraId="75188BB8" w14:textId="5A83C829" w:rsidR="006F594E" w:rsidRPr="006F594E" w:rsidRDefault="006F594E" w:rsidP="006F594E">
            <w:pPr>
              <w:pStyle w:val="Tabletexte"/>
              <w:spacing w:before="40" w:after="40" w:line="220" w:lineRule="exact"/>
              <w:jc w:val="center"/>
              <w:rPr>
                <w:sz w:val="16"/>
                <w:szCs w:val="16"/>
              </w:rPr>
            </w:pPr>
            <w:r w:rsidRPr="006F594E">
              <w:rPr>
                <w:sz w:val="16"/>
                <w:szCs w:val="16"/>
                <w:rtl/>
                <w:lang w:bidi="ar-SA"/>
              </w:rPr>
              <w:t>غير منشورة</w:t>
            </w:r>
          </w:p>
        </w:tc>
        <w:tc>
          <w:tcPr>
            <w:tcW w:w="626" w:type="pct"/>
            <w:vAlign w:val="center"/>
          </w:tcPr>
          <w:p w14:paraId="346D0A04" w14:textId="039121C4" w:rsidR="006F594E" w:rsidRPr="006F594E" w:rsidRDefault="006F594E" w:rsidP="006F594E">
            <w:pPr>
              <w:pStyle w:val="Tabletexte"/>
              <w:spacing w:before="40" w:after="40" w:line="220" w:lineRule="exact"/>
              <w:jc w:val="center"/>
              <w:rPr>
                <w:sz w:val="16"/>
                <w:szCs w:val="16"/>
              </w:rPr>
            </w:pPr>
            <w:r w:rsidRPr="006F594E">
              <w:rPr>
                <w:sz w:val="16"/>
                <w:szCs w:val="16"/>
                <w:rtl/>
                <w:lang w:bidi="ar-SA"/>
              </w:rPr>
              <w:t>قيد المعالجة</w:t>
            </w:r>
          </w:p>
        </w:tc>
        <w:tc>
          <w:tcPr>
            <w:tcW w:w="541" w:type="pct"/>
            <w:vAlign w:val="center"/>
          </w:tcPr>
          <w:p w14:paraId="685288DA" w14:textId="1746D923" w:rsidR="006F594E" w:rsidRPr="006F594E" w:rsidRDefault="006F594E" w:rsidP="006F594E">
            <w:pPr>
              <w:pStyle w:val="Tabletexte"/>
              <w:spacing w:before="40" w:after="40" w:line="220" w:lineRule="exact"/>
              <w:jc w:val="center"/>
              <w:rPr>
                <w:sz w:val="16"/>
                <w:szCs w:val="16"/>
              </w:rPr>
            </w:pPr>
            <w:r w:rsidRPr="006F594E">
              <w:rPr>
                <w:sz w:val="16"/>
                <w:szCs w:val="16"/>
              </w:rPr>
              <w:t>10,8</w:t>
            </w:r>
          </w:p>
        </w:tc>
      </w:tr>
      <w:tr w:rsidR="006F594E" w:rsidRPr="006F594E" w14:paraId="0648C747" w14:textId="77777777" w:rsidTr="006F594E">
        <w:trPr>
          <w:trHeight w:val="295"/>
          <w:jc w:val="center"/>
        </w:trPr>
        <w:tc>
          <w:tcPr>
            <w:tcW w:w="488" w:type="pct"/>
            <w:vAlign w:val="center"/>
          </w:tcPr>
          <w:p w14:paraId="2342E461" w14:textId="35A7E0D7" w:rsidR="006F594E" w:rsidRPr="006F594E" w:rsidRDefault="006F594E" w:rsidP="006F594E">
            <w:pPr>
              <w:pStyle w:val="Tabletexte"/>
              <w:spacing w:before="40" w:after="40" w:line="220" w:lineRule="exact"/>
              <w:jc w:val="center"/>
              <w:rPr>
                <w:sz w:val="16"/>
                <w:szCs w:val="16"/>
              </w:rPr>
            </w:pPr>
            <w:r w:rsidRPr="006F594E">
              <w:rPr>
                <w:sz w:val="16"/>
                <w:szCs w:val="16"/>
              </w:rPr>
              <w:t>125520062</w:t>
            </w:r>
          </w:p>
        </w:tc>
        <w:tc>
          <w:tcPr>
            <w:tcW w:w="545" w:type="pct"/>
            <w:vAlign w:val="center"/>
          </w:tcPr>
          <w:p w14:paraId="1C516C94" w14:textId="54FBC11A" w:rsidR="006F594E" w:rsidRPr="006F594E" w:rsidRDefault="006F594E" w:rsidP="006F594E">
            <w:pPr>
              <w:pStyle w:val="Tabletexte"/>
              <w:spacing w:before="40" w:after="40" w:line="220" w:lineRule="exact"/>
              <w:jc w:val="center"/>
              <w:rPr>
                <w:sz w:val="16"/>
                <w:szCs w:val="16"/>
              </w:rPr>
            </w:pPr>
            <w:r w:rsidRPr="006F594E">
              <w:rPr>
                <w:sz w:val="16"/>
                <w:szCs w:val="16"/>
              </w:rPr>
              <w:t>ARABSAT-12P-67.5E</w:t>
            </w:r>
          </w:p>
        </w:tc>
        <w:tc>
          <w:tcPr>
            <w:tcW w:w="623" w:type="pct"/>
            <w:vAlign w:val="center"/>
          </w:tcPr>
          <w:p w14:paraId="2BC1F2FA" w14:textId="44804842" w:rsidR="006F594E" w:rsidRPr="006F594E" w:rsidRDefault="006F594E" w:rsidP="006F594E">
            <w:pPr>
              <w:pStyle w:val="Tabletexte"/>
              <w:spacing w:before="40" w:after="40" w:line="220" w:lineRule="exact"/>
              <w:jc w:val="center"/>
              <w:rPr>
                <w:sz w:val="16"/>
                <w:szCs w:val="16"/>
              </w:rPr>
            </w:pPr>
            <w:r w:rsidRPr="006F594E">
              <w:rPr>
                <w:sz w:val="16"/>
                <w:szCs w:val="16"/>
                <w:rtl/>
              </w:rPr>
              <w:t>مستقر بالنسبة إلى الأرض</w:t>
            </w:r>
          </w:p>
        </w:tc>
        <w:tc>
          <w:tcPr>
            <w:tcW w:w="578" w:type="pct"/>
            <w:vAlign w:val="center"/>
          </w:tcPr>
          <w:p w14:paraId="7223F289" w14:textId="07AE313B" w:rsidR="006F594E" w:rsidRPr="006F594E" w:rsidRDefault="006F594E" w:rsidP="006F594E">
            <w:pPr>
              <w:pStyle w:val="Tabletexte"/>
              <w:spacing w:before="40" w:after="40" w:line="220" w:lineRule="exact"/>
              <w:jc w:val="center"/>
              <w:rPr>
                <w:sz w:val="16"/>
                <w:szCs w:val="16"/>
                <w:rtl/>
                <w:lang w:bidi="ar-SA"/>
              </w:rPr>
            </w:pPr>
            <w:r w:rsidRPr="006F594E">
              <w:rPr>
                <w:sz w:val="16"/>
                <w:szCs w:val="16"/>
              </w:rPr>
              <w:t>2025-05-20</w:t>
            </w:r>
          </w:p>
        </w:tc>
        <w:tc>
          <w:tcPr>
            <w:tcW w:w="512" w:type="pct"/>
            <w:vAlign w:val="center"/>
          </w:tcPr>
          <w:p w14:paraId="464B42B6" w14:textId="399F6F21" w:rsidR="006F594E" w:rsidRPr="006F594E" w:rsidRDefault="006F594E" w:rsidP="006F594E">
            <w:pPr>
              <w:pStyle w:val="Tabletexte"/>
              <w:spacing w:before="40" w:after="40" w:line="220" w:lineRule="exact"/>
              <w:jc w:val="center"/>
              <w:rPr>
                <w:sz w:val="16"/>
                <w:szCs w:val="16"/>
              </w:rPr>
            </w:pPr>
            <w:r w:rsidRPr="006F594E">
              <w:rPr>
                <w:sz w:val="16"/>
                <w:szCs w:val="16"/>
                <w:rtl/>
              </w:rPr>
              <w:t>طلبات التنسيق</w:t>
            </w:r>
          </w:p>
        </w:tc>
        <w:tc>
          <w:tcPr>
            <w:tcW w:w="388" w:type="pct"/>
            <w:vAlign w:val="center"/>
          </w:tcPr>
          <w:p w14:paraId="7E1B3FE3" w14:textId="10F6F428" w:rsidR="006F594E" w:rsidRPr="006F594E" w:rsidRDefault="006F594E" w:rsidP="006F594E">
            <w:pPr>
              <w:pStyle w:val="Tabletexte"/>
              <w:spacing w:before="40" w:after="40" w:line="220" w:lineRule="exact"/>
              <w:jc w:val="center"/>
              <w:rPr>
                <w:sz w:val="16"/>
                <w:szCs w:val="16"/>
              </w:rPr>
            </w:pPr>
            <w:r w:rsidRPr="006F594E">
              <w:rPr>
                <w:sz w:val="16"/>
                <w:szCs w:val="16"/>
                <w:rtl/>
                <w:lang w:bidi="ar-SA"/>
              </w:rPr>
              <w:t>غير منشورة</w:t>
            </w:r>
          </w:p>
        </w:tc>
        <w:tc>
          <w:tcPr>
            <w:tcW w:w="700" w:type="pct"/>
            <w:vAlign w:val="center"/>
          </w:tcPr>
          <w:p w14:paraId="41DB6F9B" w14:textId="0CA2A709" w:rsidR="006F594E" w:rsidRPr="006F594E" w:rsidRDefault="006F594E" w:rsidP="006F594E">
            <w:pPr>
              <w:pStyle w:val="Tabletexte"/>
              <w:spacing w:before="40" w:after="40" w:line="220" w:lineRule="exact"/>
              <w:jc w:val="center"/>
              <w:rPr>
                <w:sz w:val="16"/>
                <w:szCs w:val="16"/>
              </w:rPr>
            </w:pPr>
            <w:r w:rsidRPr="006F594E">
              <w:rPr>
                <w:sz w:val="16"/>
                <w:szCs w:val="16"/>
                <w:rtl/>
                <w:lang w:bidi="ar-SA"/>
              </w:rPr>
              <w:t>غير منشورة</w:t>
            </w:r>
          </w:p>
        </w:tc>
        <w:tc>
          <w:tcPr>
            <w:tcW w:w="626" w:type="pct"/>
            <w:vAlign w:val="center"/>
          </w:tcPr>
          <w:p w14:paraId="0CD81DC2" w14:textId="71C91B84" w:rsidR="006F594E" w:rsidRPr="006F594E" w:rsidRDefault="006F594E" w:rsidP="006F594E">
            <w:pPr>
              <w:pStyle w:val="Tabletexte"/>
              <w:spacing w:before="40" w:after="40" w:line="220" w:lineRule="exact"/>
              <w:jc w:val="center"/>
              <w:rPr>
                <w:sz w:val="16"/>
                <w:szCs w:val="16"/>
              </w:rPr>
            </w:pPr>
            <w:r w:rsidRPr="006F594E">
              <w:rPr>
                <w:sz w:val="16"/>
                <w:szCs w:val="16"/>
                <w:rtl/>
                <w:lang w:bidi="ar-SA"/>
              </w:rPr>
              <w:t>قيد المعالجة</w:t>
            </w:r>
          </w:p>
        </w:tc>
        <w:tc>
          <w:tcPr>
            <w:tcW w:w="541" w:type="pct"/>
            <w:vAlign w:val="center"/>
          </w:tcPr>
          <w:p w14:paraId="0CD4D513" w14:textId="1404D74E" w:rsidR="006F594E" w:rsidRPr="006F594E" w:rsidRDefault="006F594E" w:rsidP="006F594E">
            <w:pPr>
              <w:pStyle w:val="Tabletexte"/>
              <w:spacing w:before="40" w:after="40" w:line="220" w:lineRule="exact"/>
              <w:jc w:val="center"/>
              <w:rPr>
                <w:sz w:val="16"/>
                <w:szCs w:val="16"/>
              </w:rPr>
            </w:pPr>
            <w:r w:rsidRPr="006F594E">
              <w:rPr>
                <w:sz w:val="16"/>
                <w:szCs w:val="16"/>
              </w:rPr>
              <w:t>10,8</w:t>
            </w:r>
          </w:p>
        </w:tc>
      </w:tr>
      <w:tr w:rsidR="006F594E" w:rsidRPr="006F594E" w14:paraId="4F5D5CF8" w14:textId="77777777" w:rsidTr="006F594E">
        <w:trPr>
          <w:trHeight w:val="295"/>
          <w:jc w:val="center"/>
        </w:trPr>
        <w:tc>
          <w:tcPr>
            <w:tcW w:w="488" w:type="pct"/>
            <w:vAlign w:val="center"/>
          </w:tcPr>
          <w:p w14:paraId="2EE1D63A" w14:textId="0469759F" w:rsidR="006F594E" w:rsidRPr="006F594E" w:rsidRDefault="006F594E" w:rsidP="006F594E">
            <w:pPr>
              <w:pStyle w:val="Tabletexte"/>
              <w:spacing w:before="40" w:after="40" w:line="220" w:lineRule="exact"/>
              <w:jc w:val="center"/>
              <w:rPr>
                <w:sz w:val="16"/>
                <w:szCs w:val="16"/>
              </w:rPr>
            </w:pPr>
            <w:r w:rsidRPr="006F594E">
              <w:rPr>
                <w:sz w:val="16"/>
                <w:szCs w:val="16"/>
              </w:rPr>
              <w:t>125520159</w:t>
            </w:r>
          </w:p>
        </w:tc>
        <w:tc>
          <w:tcPr>
            <w:tcW w:w="545" w:type="pct"/>
            <w:vAlign w:val="center"/>
          </w:tcPr>
          <w:p w14:paraId="147D9AE9" w14:textId="592BE8A5" w:rsidR="006F594E" w:rsidRPr="006F594E" w:rsidRDefault="006F594E" w:rsidP="006F594E">
            <w:pPr>
              <w:pStyle w:val="Tabletexte"/>
              <w:spacing w:before="40" w:after="40" w:line="220" w:lineRule="exact"/>
              <w:jc w:val="center"/>
              <w:rPr>
                <w:sz w:val="16"/>
                <w:szCs w:val="16"/>
              </w:rPr>
            </w:pPr>
            <w:r w:rsidRPr="006F594E">
              <w:rPr>
                <w:sz w:val="16"/>
                <w:szCs w:val="16"/>
              </w:rPr>
              <w:t>SAUDISAT_19E_A</w:t>
            </w:r>
          </w:p>
        </w:tc>
        <w:tc>
          <w:tcPr>
            <w:tcW w:w="623" w:type="pct"/>
            <w:vAlign w:val="center"/>
          </w:tcPr>
          <w:p w14:paraId="0CD0FBFC" w14:textId="0860D975" w:rsidR="006F594E" w:rsidRPr="006F594E" w:rsidRDefault="006F594E" w:rsidP="006F594E">
            <w:pPr>
              <w:pStyle w:val="Tabletexte"/>
              <w:spacing w:before="40" w:after="40" w:line="220" w:lineRule="exact"/>
              <w:jc w:val="center"/>
              <w:rPr>
                <w:sz w:val="16"/>
                <w:szCs w:val="16"/>
              </w:rPr>
            </w:pPr>
            <w:r w:rsidRPr="006F594E">
              <w:rPr>
                <w:sz w:val="16"/>
                <w:szCs w:val="16"/>
                <w:rtl/>
              </w:rPr>
              <w:t>مستقر بالنسبة إلى الأرض</w:t>
            </w:r>
          </w:p>
        </w:tc>
        <w:tc>
          <w:tcPr>
            <w:tcW w:w="578" w:type="pct"/>
            <w:vAlign w:val="center"/>
          </w:tcPr>
          <w:p w14:paraId="2267BC02" w14:textId="40A36BC4" w:rsidR="006F594E" w:rsidRPr="006F594E" w:rsidRDefault="006F594E" w:rsidP="006F594E">
            <w:pPr>
              <w:pStyle w:val="Tabletexte"/>
              <w:spacing w:before="40" w:after="40" w:line="220" w:lineRule="exact"/>
              <w:jc w:val="center"/>
              <w:rPr>
                <w:sz w:val="16"/>
                <w:szCs w:val="16"/>
                <w:rtl/>
                <w:lang w:bidi="ar-SA"/>
              </w:rPr>
            </w:pPr>
            <w:r w:rsidRPr="006F594E">
              <w:rPr>
                <w:sz w:val="16"/>
                <w:szCs w:val="16"/>
              </w:rPr>
              <w:t>2025-11-13</w:t>
            </w:r>
          </w:p>
        </w:tc>
        <w:tc>
          <w:tcPr>
            <w:tcW w:w="512" w:type="pct"/>
            <w:vAlign w:val="center"/>
          </w:tcPr>
          <w:p w14:paraId="1A807355" w14:textId="0F83F412" w:rsidR="006F594E" w:rsidRPr="006F594E" w:rsidRDefault="006F594E" w:rsidP="006F594E">
            <w:pPr>
              <w:pStyle w:val="Tabletexte"/>
              <w:spacing w:before="40" w:after="40" w:line="220" w:lineRule="exact"/>
              <w:jc w:val="center"/>
              <w:rPr>
                <w:sz w:val="16"/>
                <w:szCs w:val="16"/>
              </w:rPr>
            </w:pPr>
            <w:r w:rsidRPr="006F594E">
              <w:rPr>
                <w:sz w:val="16"/>
                <w:szCs w:val="16"/>
                <w:rtl/>
              </w:rPr>
              <w:t>طلبات التنسيق</w:t>
            </w:r>
          </w:p>
        </w:tc>
        <w:tc>
          <w:tcPr>
            <w:tcW w:w="388" w:type="pct"/>
            <w:vAlign w:val="center"/>
          </w:tcPr>
          <w:p w14:paraId="15675791" w14:textId="6D01637E" w:rsidR="006F594E" w:rsidRPr="006F594E" w:rsidRDefault="006F594E" w:rsidP="006F594E">
            <w:pPr>
              <w:pStyle w:val="Tabletexte"/>
              <w:spacing w:before="40" w:after="40" w:line="220" w:lineRule="exact"/>
              <w:jc w:val="center"/>
              <w:rPr>
                <w:sz w:val="16"/>
                <w:szCs w:val="16"/>
              </w:rPr>
            </w:pPr>
            <w:r w:rsidRPr="006F594E">
              <w:rPr>
                <w:sz w:val="16"/>
                <w:szCs w:val="16"/>
                <w:rtl/>
                <w:lang w:bidi="ar-SA"/>
              </w:rPr>
              <w:t>غير منشورة</w:t>
            </w:r>
          </w:p>
        </w:tc>
        <w:tc>
          <w:tcPr>
            <w:tcW w:w="700" w:type="pct"/>
            <w:vAlign w:val="center"/>
          </w:tcPr>
          <w:p w14:paraId="5BB033F7" w14:textId="56EECB73" w:rsidR="006F594E" w:rsidRPr="006F594E" w:rsidRDefault="006F594E" w:rsidP="006F594E">
            <w:pPr>
              <w:pStyle w:val="Tabletexte"/>
              <w:spacing w:before="40" w:after="40" w:line="220" w:lineRule="exact"/>
              <w:jc w:val="center"/>
              <w:rPr>
                <w:sz w:val="16"/>
                <w:szCs w:val="16"/>
              </w:rPr>
            </w:pPr>
            <w:r w:rsidRPr="006F594E">
              <w:rPr>
                <w:sz w:val="16"/>
                <w:szCs w:val="16"/>
                <w:rtl/>
                <w:lang w:bidi="ar-SA"/>
              </w:rPr>
              <w:t>غير منشورة</w:t>
            </w:r>
          </w:p>
        </w:tc>
        <w:tc>
          <w:tcPr>
            <w:tcW w:w="626" w:type="pct"/>
            <w:vAlign w:val="center"/>
          </w:tcPr>
          <w:p w14:paraId="7579B85E" w14:textId="4B318373" w:rsidR="006F594E" w:rsidRPr="006F594E" w:rsidRDefault="006F594E" w:rsidP="006F594E">
            <w:pPr>
              <w:pStyle w:val="Tabletexte"/>
              <w:spacing w:before="40" w:after="40" w:line="220" w:lineRule="exact"/>
              <w:jc w:val="center"/>
              <w:rPr>
                <w:sz w:val="16"/>
                <w:szCs w:val="16"/>
              </w:rPr>
            </w:pPr>
            <w:r w:rsidRPr="006F594E">
              <w:rPr>
                <w:sz w:val="16"/>
                <w:szCs w:val="16"/>
                <w:rtl/>
                <w:lang w:bidi="ar-SA"/>
              </w:rPr>
              <w:t>قيد المعالجة</w:t>
            </w:r>
          </w:p>
        </w:tc>
        <w:tc>
          <w:tcPr>
            <w:tcW w:w="541" w:type="pct"/>
            <w:vAlign w:val="center"/>
          </w:tcPr>
          <w:p w14:paraId="5BCBEC18" w14:textId="18C478AC" w:rsidR="006F594E" w:rsidRPr="006F594E" w:rsidRDefault="006F594E" w:rsidP="006F594E">
            <w:pPr>
              <w:pStyle w:val="Tabletexte"/>
              <w:spacing w:before="40" w:after="40" w:line="220" w:lineRule="exact"/>
              <w:jc w:val="center"/>
              <w:rPr>
                <w:sz w:val="16"/>
                <w:szCs w:val="16"/>
              </w:rPr>
            </w:pPr>
            <w:r w:rsidRPr="006F594E">
              <w:rPr>
                <w:sz w:val="16"/>
                <w:szCs w:val="16"/>
              </w:rPr>
              <w:t>4,9</w:t>
            </w:r>
          </w:p>
        </w:tc>
      </w:tr>
    </w:tbl>
    <w:p w14:paraId="30926919" w14:textId="21CABC76" w:rsidR="00970A92" w:rsidRPr="006F594E" w:rsidRDefault="00D965F1" w:rsidP="00D965F1">
      <w:pPr>
        <w:tabs>
          <w:tab w:val="clear" w:pos="794"/>
          <w:tab w:val="left" w:pos="424"/>
        </w:tabs>
        <w:rPr>
          <w:sz w:val="18"/>
          <w:szCs w:val="18"/>
          <w:lang w:val="ar-SA" w:bidi="ar-EG"/>
        </w:rPr>
      </w:pPr>
      <w:r w:rsidRPr="006F594E">
        <w:rPr>
          <w:rFonts w:hint="cs"/>
          <w:sz w:val="18"/>
          <w:szCs w:val="18"/>
          <w:rtl/>
        </w:rPr>
        <w:t>*</w:t>
      </w:r>
      <w:r w:rsidRPr="006F594E">
        <w:rPr>
          <w:sz w:val="18"/>
          <w:szCs w:val="18"/>
          <w:rtl/>
        </w:rPr>
        <w:tab/>
      </w:r>
      <w:r w:rsidR="00970A92" w:rsidRPr="006F594E">
        <w:rPr>
          <w:sz w:val="18"/>
          <w:szCs w:val="18"/>
          <w:rtl/>
        </w:rPr>
        <w:t>بما أن البطاقات لا تزال قيد المعالجة، فقد تم حساب وقت المعالجة حتى أبريل 2026.</w:t>
      </w:r>
    </w:p>
    <w:p w14:paraId="7BD6BB72" w14:textId="61D9B3EA" w:rsidR="00970A92" w:rsidRPr="00970A92" w:rsidRDefault="00970A92" w:rsidP="006F594E">
      <w:pPr>
        <w:spacing w:before="240"/>
        <w:rPr>
          <w:spacing w:val="-2"/>
          <w:lang w:val="ar-SA" w:bidi="ar-EG"/>
        </w:rPr>
      </w:pPr>
      <w:r w:rsidRPr="00970A92">
        <w:rPr>
          <w:spacing w:val="-2"/>
          <w:rtl/>
        </w:rPr>
        <w:t>ويقدم الجدول 1 كذلك أمثلة عملية تبين أن بطاقات التبليغ المنشورة والمعلقة على السواء شهدت تأخيرات كبيرة، مما</w:t>
      </w:r>
      <w:r w:rsidR="00EB0C5C" w:rsidRPr="00EB0C5C">
        <w:rPr>
          <w:rFonts w:hint="cs"/>
          <w:spacing w:val="-2"/>
          <w:rtl/>
        </w:rPr>
        <w:t> </w:t>
      </w:r>
      <w:r w:rsidRPr="00970A92">
        <w:rPr>
          <w:spacing w:val="-2"/>
          <w:rtl/>
        </w:rPr>
        <w:t>يؤكد استمرار المسألة ويؤثر على دورة المعالجة بأكملها. ولهذه التأخيرات آثار تنظيمية مباشرة، لا سيما تقصير الوقت المتاح للإدارات والمشغلين لاستكمال إجراءات التنسيق ووضع الشبكات في الخدمة ضمن الإطار الزمني المطلوب، مما</w:t>
      </w:r>
      <w:r w:rsidR="00EB0C5C" w:rsidRPr="00EB0C5C">
        <w:rPr>
          <w:rFonts w:hint="cs"/>
          <w:spacing w:val="-2"/>
          <w:rtl/>
        </w:rPr>
        <w:t> </w:t>
      </w:r>
      <w:r w:rsidRPr="00970A92">
        <w:rPr>
          <w:spacing w:val="-2"/>
          <w:rtl/>
        </w:rPr>
        <w:t>يزيد من مخاطر عدم الامتثال. ويمتد التأثير أيضا</w:t>
      </w:r>
      <w:r w:rsidR="00EB0C5C" w:rsidRPr="00EB0C5C">
        <w:rPr>
          <w:rFonts w:hint="cs"/>
          <w:spacing w:val="-2"/>
          <w:rtl/>
        </w:rPr>
        <w:t>ً</w:t>
      </w:r>
      <w:r w:rsidRPr="00970A92">
        <w:rPr>
          <w:spacing w:val="-2"/>
          <w:rtl/>
        </w:rPr>
        <w:t xml:space="preserve"> ليشمل الجوانب التشغيلية والاستثمارية، بما في ذلك التأخير في</w:t>
      </w:r>
      <w:r w:rsidR="00EB0C5C" w:rsidRPr="00EB0C5C">
        <w:rPr>
          <w:rFonts w:hint="cs"/>
          <w:spacing w:val="-2"/>
          <w:rtl/>
        </w:rPr>
        <w:t> </w:t>
      </w:r>
      <w:r w:rsidRPr="00970A92">
        <w:rPr>
          <w:spacing w:val="-2"/>
          <w:rtl/>
        </w:rPr>
        <w:t xml:space="preserve">خطط النشر، والحد من فرص التنسيق، وزيادة عدم اليقين بسبب تطور الظروف التقنية والتنظيمية. </w:t>
      </w:r>
    </w:p>
    <w:p w14:paraId="77E1FCAC" w14:textId="4D8EF776" w:rsidR="00970A92" w:rsidRPr="00970A92" w:rsidRDefault="00970A92" w:rsidP="00970A92">
      <w:pPr>
        <w:rPr>
          <w:spacing w:val="-2"/>
          <w:lang w:val="ar-SA" w:bidi="ar-EG"/>
        </w:rPr>
      </w:pPr>
      <w:r w:rsidRPr="00970A92">
        <w:rPr>
          <w:spacing w:val="-2"/>
          <w:rtl/>
        </w:rPr>
        <w:t>ومن الناحية المالية، وصلت الإيرادات المؤجلة إلى مستويات كبيرة، إذ لا تزال العديد من بطاقات التبليغ معلقة في</w:t>
      </w:r>
      <w:r w:rsidR="00EB0C5C">
        <w:rPr>
          <w:rFonts w:hint="cs"/>
          <w:spacing w:val="-2"/>
          <w:rtl/>
        </w:rPr>
        <w:t> </w:t>
      </w:r>
      <w:r w:rsidRPr="00970A92">
        <w:rPr>
          <w:spacing w:val="-2"/>
          <w:rtl/>
        </w:rPr>
        <w:t>انتظار الفوترة، مما يؤثر بشكل مباشر على آليات استرداد التكاليف. وعلاو</w:t>
      </w:r>
      <w:r w:rsidR="008B79BF">
        <w:rPr>
          <w:rFonts w:hint="cs"/>
          <w:spacing w:val="-2"/>
          <w:rtl/>
        </w:rPr>
        <w:t>ةً</w:t>
      </w:r>
      <w:r w:rsidRPr="00970A92">
        <w:rPr>
          <w:spacing w:val="-2"/>
          <w:rtl/>
        </w:rPr>
        <w:t xml:space="preserve"> على ذلك، قد تؤثر هذه القيود أيضا</w:t>
      </w:r>
      <w:r w:rsidR="00EB0C5C">
        <w:rPr>
          <w:rFonts w:hint="cs"/>
          <w:spacing w:val="-2"/>
          <w:rtl/>
        </w:rPr>
        <w:t>ً</w:t>
      </w:r>
      <w:r w:rsidRPr="00970A92">
        <w:rPr>
          <w:spacing w:val="-2"/>
          <w:rtl/>
        </w:rPr>
        <w:t xml:space="preserve"> على قدرة المكتب على دعم أنشطة الاتصالات الراديوية الأخرى، بما في ذلك لجان الدراسات وجهود بناء القدرات. وبشكل عام، تبرز هذه الحالة الحاجة إلى استجابة شاملة لمواجهة التحديات الحالية والنمو المستمر المتوقع في الطلب على الموارد المدارية والترددية.</w:t>
      </w:r>
    </w:p>
    <w:p w14:paraId="33A740DB" w14:textId="3538E589" w:rsidR="00970A92" w:rsidRPr="00970A92" w:rsidRDefault="00970A92" w:rsidP="00EB0C5C">
      <w:pPr>
        <w:pStyle w:val="Headingb"/>
        <w:rPr>
          <w:lang w:val="ar-SA" w:bidi="ar-EG"/>
        </w:rPr>
      </w:pPr>
      <w:r w:rsidRPr="00970A92">
        <w:rPr>
          <w:rtl/>
        </w:rPr>
        <w:lastRenderedPageBreak/>
        <w:t>المقترح</w:t>
      </w:r>
    </w:p>
    <w:p w14:paraId="326FDA77" w14:textId="77777777" w:rsidR="00970A92" w:rsidRPr="00970A92" w:rsidRDefault="00970A92" w:rsidP="00970A92">
      <w:pPr>
        <w:rPr>
          <w:lang w:val="ar-SA" w:bidi="ar-EG"/>
        </w:rPr>
      </w:pPr>
      <w:r w:rsidRPr="00970A92">
        <w:rPr>
          <w:rtl/>
        </w:rPr>
        <w:t>في ضوء ما سبق، نقترح أن يقوم المجلس بما يلي:</w:t>
      </w:r>
    </w:p>
    <w:p w14:paraId="081CD6F5" w14:textId="77C5DE93" w:rsidR="00970A92" w:rsidRPr="00970A92" w:rsidRDefault="00EB0C5C" w:rsidP="003D03C1">
      <w:pPr>
        <w:pStyle w:val="enumlev1"/>
        <w:rPr>
          <w:lang w:val="ar-SA" w:bidi="ar-EG"/>
        </w:rPr>
      </w:pPr>
      <w:r>
        <w:t>1</w:t>
      </w:r>
      <w:r>
        <w:tab/>
      </w:r>
      <w:r w:rsidR="00970A92" w:rsidRPr="00970A92">
        <w:rPr>
          <w:rtl/>
        </w:rPr>
        <w:t xml:space="preserve">ضمان </w:t>
      </w:r>
      <w:r w:rsidR="003D03C1" w:rsidRPr="003D03C1">
        <w:rPr>
          <w:rtl/>
          <w:lang w:bidi="ar-SA"/>
        </w:rPr>
        <w:t xml:space="preserve">سترداد جميع التكاليف المتعلقة ببطاقات التبليغ عن الشبكات الساتلية </w:t>
      </w:r>
      <w:r w:rsidR="003D03C1">
        <w:rPr>
          <w:rFonts w:hint="cs"/>
          <w:rtl/>
          <w:lang w:bidi="ar-SA"/>
        </w:rPr>
        <w:t xml:space="preserve">عن طريق </w:t>
      </w:r>
      <w:r w:rsidR="003D03C1" w:rsidRPr="003D03C1">
        <w:rPr>
          <w:rtl/>
          <w:lang w:bidi="ar-SA"/>
        </w:rPr>
        <w:t>رسوم بطاقات التبليغ عن الشبكات الساتلية نفسها</w:t>
      </w:r>
      <w:r w:rsidR="00970A92" w:rsidRPr="00970A92">
        <w:rPr>
          <w:rtl/>
        </w:rPr>
        <w:t>، بحيث تستمر الخدمة دون السحب من موارد الاتحاد الأخرى وفق</w:t>
      </w:r>
      <w:r w:rsidR="00AB46A1">
        <w:rPr>
          <w:rFonts w:hint="cs"/>
          <w:rtl/>
        </w:rPr>
        <w:t>ا</w:t>
      </w:r>
      <w:r w:rsidR="003D03C1">
        <w:rPr>
          <w:rFonts w:hint="cs"/>
          <w:rtl/>
        </w:rPr>
        <w:t>ً</w:t>
      </w:r>
      <w:r w:rsidR="00970A92" w:rsidRPr="00970A92">
        <w:rPr>
          <w:rtl/>
        </w:rPr>
        <w:t xml:space="preserve"> للقرار</w:t>
      </w:r>
      <w:r w:rsidR="00AB46A1">
        <w:rPr>
          <w:rFonts w:hint="cs"/>
          <w:rtl/>
        </w:rPr>
        <w:t> </w:t>
      </w:r>
      <w:r w:rsidR="00970A92" w:rsidRPr="00970A92">
        <w:rPr>
          <w:rtl/>
        </w:rPr>
        <w:t>91 لمؤتمر المندوبين المفوضين،</w:t>
      </w:r>
    </w:p>
    <w:p w14:paraId="556F32AB" w14:textId="4F9A3A44" w:rsidR="00970A92" w:rsidRPr="00970A92" w:rsidRDefault="00EB0C5C" w:rsidP="00EB0C5C">
      <w:pPr>
        <w:pStyle w:val="enumlev1"/>
        <w:rPr>
          <w:lang w:val="ar-SA" w:bidi="ar-EG"/>
        </w:rPr>
      </w:pPr>
      <w:r>
        <w:t>2</w:t>
      </w:r>
      <w:r>
        <w:tab/>
      </w:r>
      <w:r w:rsidR="00970A92" w:rsidRPr="00970A92">
        <w:rPr>
          <w:rtl/>
        </w:rPr>
        <w:t>ضمان أن يظل توزيع التكاليف غير المباشرة قابل</w:t>
      </w:r>
      <w:r w:rsidR="00FB618D">
        <w:rPr>
          <w:rtl/>
        </w:rPr>
        <w:t xml:space="preserve">اً </w:t>
      </w:r>
      <w:r w:rsidR="00970A92" w:rsidRPr="00970A92">
        <w:rPr>
          <w:rtl/>
        </w:rPr>
        <w:t>للعزو بوضوح ومتناسب</w:t>
      </w:r>
      <w:r w:rsidR="00FB618D">
        <w:rPr>
          <w:rtl/>
        </w:rPr>
        <w:t xml:space="preserve">اً </w:t>
      </w:r>
      <w:r w:rsidR="00970A92" w:rsidRPr="00970A92">
        <w:rPr>
          <w:rtl/>
        </w:rPr>
        <w:t>ومدعوم</w:t>
      </w:r>
      <w:r w:rsidR="00FB618D">
        <w:rPr>
          <w:rtl/>
        </w:rPr>
        <w:t xml:space="preserve">اً </w:t>
      </w:r>
      <w:r w:rsidR="00970A92" w:rsidRPr="00970A92">
        <w:rPr>
          <w:rtl/>
        </w:rPr>
        <w:t>بمنهجيات توزيع يمكن التحقق منها، بما يتفق مع المبادئ المحددة في القرار 91 لمؤتمر المندوبين المفوضين،</w:t>
      </w:r>
    </w:p>
    <w:p w14:paraId="25F7B6C5" w14:textId="03689799" w:rsidR="00970A92" w:rsidRPr="00AB46A1" w:rsidRDefault="00EB0C5C" w:rsidP="00EB0C5C">
      <w:pPr>
        <w:pStyle w:val="enumlev1"/>
        <w:rPr>
          <w:spacing w:val="-2"/>
          <w:lang w:val="ar-SA" w:bidi="ar-EG"/>
        </w:rPr>
      </w:pPr>
      <w:r w:rsidRPr="00AB46A1">
        <w:rPr>
          <w:spacing w:val="-2"/>
        </w:rPr>
        <w:t>3</w:t>
      </w:r>
      <w:r w:rsidRPr="00AB46A1">
        <w:rPr>
          <w:spacing w:val="-2"/>
        </w:rPr>
        <w:tab/>
      </w:r>
      <w:r w:rsidR="00970A92" w:rsidRPr="00AB46A1">
        <w:rPr>
          <w:spacing w:val="-2"/>
          <w:rtl/>
        </w:rPr>
        <w:t>دعم أن تكون أي تعديلات على إطار الاستحقاق المجاني هادفة ومتناسبة، وأن تعالج إساءة الاستعمال المحتملة مع الحفاظ على النفاذ المنصف،</w:t>
      </w:r>
    </w:p>
    <w:p w14:paraId="2B2B6594" w14:textId="32E4FFC3" w:rsidR="00970A92" w:rsidRPr="00AB46A1" w:rsidRDefault="00EB0C5C" w:rsidP="00EB0C5C">
      <w:pPr>
        <w:pStyle w:val="enumlev1"/>
        <w:rPr>
          <w:spacing w:val="-2"/>
          <w:lang w:val="ar-SA" w:bidi="ar-EG"/>
        </w:rPr>
      </w:pPr>
      <w:r w:rsidRPr="00AB46A1">
        <w:rPr>
          <w:spacing w:val="-2"/>
        </w:rPr>
        <w:t>4</w:t>
      </w:r>
      <w:r w:rsidRPr="00AB46A1">
        <w:rPr>
          <w:spacing w:val="-2"/>
        </w:rPr>
        <w:tab/>
      </w:r>
      <w:r w:rsidR="00970A92" w:rsidRPr="00AB46A1">
        <w:rPr>
          <w:spacing w:val="-2"/>
          <w:rtl/>
        </w:rPr>
        <w:t>دعوة الأمانة إلى مواصلة تحسين المنهجية المقترحة، والجمع بين حساب التكاليف على أساس النشاط والتحليل المفصل لعبء العمل من أجل تحسين الكفاءة وضمان أن تعكس الرسوم جهود المعالجة الفعلية عبر مختلف فئات بطاقات التبليغ؛ بما في ذلك تقديم بيانات داعمة معززة للمجلس بشأن التنبؤ بالطلب واتجاهات التبليغ وتطور عبء العمل، لا سيما فيما يتعلق بالأنظمة الكبيرة غير المستقرة بالنسبة إلى الأرض والقرارات الأخيرة للمؤتمر العالمي للاتصالات الراديوية،</w:t>
      </w:r>
    </w:p>
    <w:p w14:paraId="3AE4B994" w14:textId="297E7834" w:rsidR="00970A92" w:rsidRPr="00970A92" w:rsidRDefault="00EB0C5C" w:rsidP="00EB0C5C">
      <w:pPr>
        <w:pStyle w:val="enumlev1"/>
        <w:rPr>
          <w:lang w:val="ar-SA" w:bidi="ar-EG"/>
        </w:rPr>
      </w:pPr>
      <w:r>
        <w:t>5</w:t>
      </w:r>
      <w:r>
        <w:tab/>
      </w:r>
      <w:r w:rsidR="00970A92" w:rsidRPr="00970A92">
        <w:rPr>
          <w:rtl/>
        </w:rPr>
        <w:t xml:space="preserve">النظر في اتخاذ التدابير المناسبة لمعالجة الآثار المتزايدة على الإدارات نتيجة للتأخير في معالجة </w:t>
      </w:r>
      <w:r w:rsidR="003D03C1">
        <w:rPr>
          <w:rFonts w:hint="cs"/>
          <w:rtl/>
        </w:rPr>
        <w:t>بطاقات التبليغ عن</w:t>
      </w:r>
      <w:r w:rsidR="00970A92" w:rsidRPr="00970A92">
        <w:rPr>
          <w:rtl/>
        </w:rPr>
        <w:t xml:space="preserve"> الشبكات الساتلية، وضمان استمرار قدرتها على الامتثال للمتطلبات التنظيمية المنصوص عليها في لوائح</w:t>
      </w:r>
      <w:r w:rsidR="003D03C1">
        <w:rPr>
          <w:rFonts w:hint="cs"/>
          <w:rtl/>
        </w:rPr>
        <w:t> </w:t>
      </w:r>
      <w:r w:rsidR="00970A92" w:rsidRPr="00970A92">
        <w:rPr>
          <w:rtl/>
        </w:rPr>
        <w:t>الراديو،</w:t>
      </w:r>
    </w:p>
    <w:p w14:paraId="73B0424C" w14:textId="5501F821" w:rsidR="00970A92" w:rsidRPr="00970A92" w:rsidRDefault="00EB0C5C" w:rsidP="00EB0C5C">
      <w:pPr>
        <w:pStyle w:val="enumlev1"/>
        <w:rPr>
          <w:lang w:val="ar-SA" w:bidi="ar-EG"/>
        </w:rPr>
      </w:pPr>
      <w:r>
        <w:t>6</w:t>
      </w:r>
      <w:r>
        <w:tab/>
      </w:r>
      <w:r w:rsidR="00970A92" w:rsidRPr="00970A92">
        <w:rPr>
          <w:rtl/>
        </w:rPr>
        <w:t>دعم التدابير الرامية إلى معالجة حالات التأخير في معالجة بطاقات التبليغ عن الشبكات الساتلية وتمكين مكتب الاتصالات الراديوية من تعزيز كفاءته التشغيلية بما في ذلك استعادة التوازن بين عبء العمل وقدرة المعالجة،</w:t>
      </w:r>
    </w:p>
    <w:p w14:paraId="58F37100" w14:textId="7B8C3D25" w:rsidR="00F50E3F" w:rsidRDefault="003D03C1" w:rsidP="003D03C1">
      <w:pPr>
        <w:pStyle w:val="enumlev1"/>
        <w:rPr>
          <w:rtl/>
          <w:lang w:bidi="ar-EG"/>
        </w:rPr>
      </w:pPr>
      <w:r>
        <w:rPr>
          <w:rFonts w:hint="cs"/>
          <w:rtl/>
        </w:rPr>
        <w:t>7</w:t>
      </w:r>
      <w:r>
        <w:rPr>
          <w:rtl/>
        </w:rPr>
        <w:tab/>
      </w:r>
      <w:r w:rsidR="00970A92" w:rsidRPr="00970A92">
        <w:rPr>
          <w:rtl/>
        </w:rPr>
        <w:t>دعم قدرة مكتب الاتصالات الراديوية على معالجة الأعمال المتراكمة الحالية والاقتراب من الامتثال للمتطلبات التنظيمية، وبالتالي تعزيز استقرار البيئة التنظيمية الدولية وخدمة مصالح الدول الأعضاء،</w:t>
      </w:r>
    </w:p>
    <w:p w14:paraId="3933E58B"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9"/>
      <w:headerReference w:type="first" r:id="rId20"/>
      <w:footerReference w:type="first" r:id="rId21"/>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10908" w14:textId="77777777" w:rsidR="00952BF5" w:rsidRDefault="00952BF5" w:rsidP="006C3242">
      <w:pPr>
        <w:spacing w:before="0" w:line="240" w:lineRule="auto"/>
      </w:pPr>
      <w:r>
        <w:separator/>
      </w:r>
    </w:p>
  </w:endnote>
  <w:endnote w:type="continuationSeparator" w:id="0">
    <w:p w14:paraId="07757989" w14:textId="77777777" w:rsidR="00952BF5" w:rsidRDefault="00952BF5"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plified Arabic">
    <w:charset w:val="B2"/>
    <w:family w:val="roman"/>
    <w:pitch w:val="variable"/>
    <w:sig w:usb0="00002003" w:usb1="80000000" w:usb2="00000008" w:usb3="00000000" w:csb0="00000041"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335324BB" w14:textId="77777777" w:rsidTr="00A67F05">
      <w:trPr>
        <w:jc w:val="center"/>
      </w:trPr>
      <w:tc>
        <w:tcPr>
          <w:tcW w:w="868" w:type="pct"/>
          <w:vAlign w:val="center"/>
        </w:tcPr>
        <w:p w14:paraId="7D687DC6" w14:textId="3EC1BB9C" w:rsidR="00F50E3F" w:rsidRPr="007B0AA0" w:rsidRDefault="00970A92"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rPr>
            <w:t>2600944</w:t>
          </w:r>
        </w:p>
      </w:tc>
      <w:tc>
        <w:tcPr>
          <w:tcW w:w="3912" w:type="pct"/>
        </w:tcPr>
        <w:p w14:paraId="2CAE0F5D" w14:textId="13B38F0B"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970A92">
            <w:rPr>
              <w:rFonts w:ascii="Calibri" w:hAnsi="Calibri" w:cs="Arial"/>
              <w:bCs/>
              <w:color w:val="7F7F7F"/>
              <w:sz w:val="18"/>
            </w:rPr>
            <w:t>98</w:t>
          </w:r>
          <w:r w:rsidRPr="007B0AA0">
            <w:rPr>
              <w:rFonts w:ascii="Calibri" w:hAnsi="Calibri" w:cs="Arial"/>
              <w:bCs/>
              <w:color w:val="7F7F7F"/>
              <w:sz w:val="18"/>
            </w:rPr>
            <w:t>-</w:t>
          </w:r>
          <w:r>
            <w:rPr>
              <w:rFonts w:ascii="Calibri" w:hAnsi="Calibri" w:cs="Arial"/>
              <w:bCs/>
              <w:color w:val="7F7F7F"/>
              <w:sz w:val="18"/>
            </w:rPr>
            <w:t>A</w:t>
          </w:r>
        </w:p>
      </w:tc>
      <w:tc>
        <w:tcPr>
          <w:tcW w:w="220" w:type="pct"/>
        </w:tcPr>
        <w:p w14:paraId="2C903522"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7B4E96F"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458F0F42" w14:textId="77777777" w:rsidTr="00A67F05">
      <w:trPr>
        <w:jc w:val="center"/>
      </w:trPr>
      <w:tc>
        <w:tcPr>
          <w:tcW w:w="1013" w:type="pct"/>
          <w:vAlign w:val="center"/>
        </w:tcPr>
        <w:p w14:paraId="222FE46D"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225AFA39" w14:textId="6E1345E0"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A6489D">
            <w:rPr>
              <w:rFonts w:ascii="Calibri" w:hAnsi="Calibri" w:cs="Arial"/>
              <w:bCs/>
              <w:color w:val="7F7F7F"/>
              <w:sz w:val="18"/>
            </w:rPr>
            <w:t>98</w:t>
          </w:r>
          <w:r w:rsidRPr="007B0AA0">
            <w:rPr>
              <w:rFonts w:ascii="Calibri" w:hAnsi="Calibri" w:cs="Arial"/>
              <w:bCs/>
              <w:color w:val="7F7F7F"/>
              <w:sz w:val="18"/>
            </w:rPr>
            <w:t>-</w:t>
          </w:r>
          <w:r>
            <w:rPr>
              <w:rFonts w:ascii="Calibri" w:hAnsi="Calibri" w:cs="Arial"/>
              <w:bCs/>
              <w:color w:val="7F7F7F"/>
              <w:sz w:val="18"/>
            </w:rPr>
            <w:t>A</w:t>
          </w:r>
        </w:p>
      </w:tc>
      <w:tc>
        <w:tcPr>
          <w:tcW w:w="220" w:type="pct"/>
        </w:tcPr>
        <w:p w14:paraId="173E2145"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C4943DA"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4DB46" w14:textId="77777777" w:rsidR="00952BF5" w:rsidRDefault="00952BF5" w:rsidP="006C3242">
      <w:pPr>
        <w:spacing w:before="0" w:line="240" w:lineRule="auto"/>
      </w:pPr>
      <w:r>
        <w:separator/>
      </w:r>
    </w:p>
  </w:footnote>
  <w:footnote w:type="continuationSeparator" w:id="0">
    <w:p w14:paraId="6DD49BB9" w14:textId="77777777" w:rsidR="00952BF5" w:rsidRDefault="00952BF5"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0C6C" w14:textId="77777777" w:rsidR="001A3E13" w:rsidRPr="00057769" w:rsidRDefault="001A3E13" w:rsidP="001A3E13">
    <w:pPr>
      <w:pStyle w:val="Header"/>
    </w:pPr>
    <w:r>
      <w:rPr>
        <w:noProof/>
      </w:rPr>
      <w:drawing>
        <wp:inline distT="0" distB="0" distL="0" distR="0" wp14:anchorId="5FB90B2F" wp14:editId="58EEF033">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C7084"/>
    <w:multiLevelType w:val="hybridMultilevel"/>
    <w:tmpl w:val="11B22A8A"/>
    <w:lvl w:ilvl="0" w:tplc="0ED45E7C">
      <w:start w:val="1"/>
      <w:numFmt w:val="arabicAlpha"/>
      <w:lvlText w:val="%1)"/>
      <w:lvlJc w:val="left"/>
      <w:pPr>
        <w:ind w:left="720" w:hanging="360"/>
      </w:pPr>
      <w:rPr>
        <w:rFonts w:ascii="Times New Roman" w:hAnsi="CG Times" w:cs="Simplified Arabic" w:hint="default"/>
        <w:sz w:val="3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09390FFA"/>
    <w:multiLevelType w:val="hybridMultilevel"/>
    <w:tmpl w:val="E7B01226"/>
    <w:lvl w:ilvl="0" w:tplc="6F8CD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F41BA7"/>
    <w:multiLevelType w:val="hybridMultilevel"/>
    <w:tmpl w:val="79787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2"/>
  </w:num>
  <w:num w:numId="12" w16cid:durableId="329449518">
    <w:abstractNumId w:val="13"/>
  </w:num>
  <w:num w:numId="13" w16cid:durableId="223025344">
    <w:abstractNumId w:val="11"/>
  </w:num>
  <w:num w:numId="14" w16cid:durableId="933973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5A4"/>
    <w:rsid w:val="000116AF"/>
    <w:rsid w:val="00056440"/>
    <w:rsid w:val="0006468A"/>
    <w:rsid w:val="00077A58"/>
    <w:rsid w:val="00090574"/>
    <w:rsid w:val="000B48DF"/>
    <w:rsid w:val="000C1C0E"/>
    <w:rsid w:val="000C548A"/>
    <w:rsid w:val="000E2761"/>
    <w:rsid w:val="000F4E83"/>
    <w:rsid w:val="001202E7"/>
    <w:rsid w:val="00135969"/>
    <w:rsid w:val="00164AAD"/>
    <w:rsid w:val="00191059"/>
    <w:rsid w:val="001A3E13"/>
    <w:rsid w:val="001B6E2B"/>
    <w:rsid w:val="001C0169"/>
    <w:rsid w:val="001C0C21"/>
    <w:rsid w:val="001D1D50"/>
    <w:rsid w:val="001D64C7"/>
    <w:rsid w:val="001D6745"/>
    <w:rsid w:val="001E446E"/>
    <w:rsid w:val="002154EE"/>
    <w:rsid w:val="002276D2"/>
    <w:rsid w:val="0023283D"/>
    <w:rsid w:val="00254393"/>
    <w:rsid w:val="0026373E"/>
    <w:rsid w:val="00271C43"/>
    <w:rsid w:val="00290728"/>
    <w:rsid w:val="002978F4"/>
    <w:rsid w:val="002B028D"/>
    <w:rsid w:val="002C3F32"/>
    <w:rsid w:val="002E6541"/>
    <w:rsid w:val="00334924"/>
    <w:rsid w:val="003409BC"/>
    <w:rsid w:val="00357185"/>
    <w:rsid w:val="00383829"/>
    <w:rsid w:val="003C34F4"/>
    <w:rsid w:val="003D03C1"/>
    <w:rsid w:val="003F4B29"/>
    <w:rsid w:val="00410B26"/>
    <w:rsid w:val="00420F8A"/>
    <w:rsid w:val="0042686F"/>
    <w:rsid w:val="004317D8"/>
    <w:rsid w:val="0043260A"/>
    <w:rsid w:val="00434183"/>
    <w:rsid w:val="00443869"/>
    <w:rsid w:val="00447F32"/>
    <w:rsid w:val="004540BC"/>
    <w:rsid w:val="00491BA9"/>
    <w:rsid w:val="00494119"/>
    <w:rsid w:val="004A006B"/>
    <w:rsid w:val="004A030E"/>
    <w:rsid w:val="004A4701"/>
    <w:rsid w:val="004B4C41"/>
    <w:rsid w:val="004B7334"/>
    <w:rsid w:val="004E11DC"/>
    <w:rsid w:val="004E5414"/>
    <w:rsid w:val="005130DE"/>
    <w:rsid w:val="00513157"/>
    <w:rsid w:val="00525DDD"/>
    <w:rsid w:val="005409AC"/>
    <w:rsid w:val="005434E0"/>
    <w:rsid w:val="005528AF"/>
    <w:rsid w:val="00552D52"/>
    <w:rsid w:val="005546CF"/>
    <w:rsid w:val="0055516A"/>
    <w:rsid w:val="00563FA5"/>
    <w:rsid w:val="0058491B"/>
    <w:rsid w:val="00592EA5"/>
    <w:rsid w:val="00594BA9"/>
    <w:rsid w:val="005A3170"/>
    <w:rsid w:val="005F2B05"/>
    <w:rsid w:val="00657019"/>
    <w:rsid w:val="00660DEA"/>
    <w:rsid w:val="00677396"/>
    <w:rsid w:val="00683F16"/>
    <w:rsid w:val="0069200F"/>
    <w:rsid w:val="0069640E"/>
    <w:rsid w:val="006A5F2A"/>
    <w:rsid w:val="006A65CB"/>
    <w:rsid w:val="006B12E5"/>
    <w:rsid w:val="006B334D"/>
    <w:rsid w:val="006B362D"/>
    <w:rsid w:val="006C3242"/>
    <w:rsid w:val="006C7CC0"/>
    <w:rsid w:val="006D6EB0"/>
    <w:rsid w:val="006E4EE4"/>
    <w:rsid w:val="006F363C"/>
    <w:rsid w:val="006F594E"/>
    <w:rsid w:val="006F63F7"/>
    <w:rsid w:val="007025C7"/>
    <w:rsid w:val="00706D7A"/>
    <w:rsid w:val="007154E8"/>
    <w:rsid w:val="00722F0D"/>
    <w:rsid w:val="00735081"/>
    <w:rsid w:val="007409CA"/>
    <w:rsid w:val="0074420E"/>
    <w:rsid w:val="007648A6"/>
    <w:rsid w:val="0077110E"/>
    <w:rsid w:val="00783E26"/>
    <w:rsid w:val="007A6684"/>
    <w:rsid w:val="007B0AA0"/>
    <w:rsid w:val="007C3BC7"/>
    <w:rsid w:val="007C3BCD"/>
    <w:rsid w:val="007D4ACF"/>
    <w:rsid w:val="007F0787"/>
    <w:rsid w:val="0080648A"/>
    <w:rsid w:val="00810B7B"/>
    <w:rsid w:val="00820962"/>
    <w:rsid w:val="0082358A"/>
    <w:rsid w:val="008235CD"/>
    <w:rsid w:val="008247DE"/>
    <w:rsid w:val="008339C0"/>
    <w:rsid w:val="008359FF"/>
    <w:rsid w:val="00840B10"/>
    <w:rsid w:val="008513CB"/>
    <w:rsid w:val="00874E9F"/>
    <w:rsid w:val="008A75AA"/>
    <w:rsid w:val="008A7F84"/>
    <w:rsid w:val="008B79BF"/>
    <w:rsid w:val="008C5F32"/>
    <w:rsid w:val="0091702E"/>
    <w:rsid w:val="00923B0C"/>
    <w:rsid w:val="00924F46"/>
    <w:rsid w:val="00935AAC"/>
    <w:rsid w:val="0093725D"/>
    <w:rsid w:val="00937F47"/>
    <w:rsid w:val="0094021C"/>
    <w:rsid w:val="00952BF5"/>
    <w:rsid w:val="00952F86"/>
    <w:rsid w:val="0096098A"/>
    <w:rsid w:val="0096716C"/>
    <w:rsid w:val="00970A92"/>
    <w:rsid w:val="00974AEE"/>
    <w:rsid w:val="00982B28"/>
    <w:rsid w:val="009868AC"/>
    <w:rsid w:val="009A3E80"/>
    <w:rsid w:val="009A46E7"/>
    <w:rsid w:val="009B131B"/>
    <w:rsid w:val="009D313F"/>
    <w:rsid w:val="00A1049B"/>
    <w:rsid w:val="00A1542B"/>
    <w:rsid w:val="00A33352"/>
    <w:rsid w:val="00A47A5A"/>
    <w:rsid w:val="00A63AE6"/>
    <w:rsid w:val="00A6489D"/>
    <w:rsid w:val="00A6683B"/>
    <w:rsid w:val="00A67F05"/>
    <w:rsid w:val="00A97F94"/>
    <w:rsid w:val="00AA7EA2"/>
    <w:rsid w:val="00AB46A1"/>
    <w:rsid w:val="00AB5A56"/>
    <w:rsid w:val="00AE2BF7"/>
    <w:rsid w:val="00B03099"/>
    <w:rsid w:val="00B05BC8"/>
    <w:rsid w:val="00B2210D"/>
    <w:rsid w:val="00B30F5E"/>
    <w:rsid w:val="00B64B47"/>
    <w:rsid w:val="00B95654"/>
    <w:rsid w:val="00B97F32"/>
    <w:rsid w:val="00BA04B2"/>
    <w:rsid w:val="00C002DE"/>
    <w:rsid w:val="00C0599D"/>
    <w:rsid w:val="00C0602B"/>
    <w:rsid w:val="00C12DCE"/>
    <w:rsid w:val="00C224DA"/>
    <w:rsid w:val="00C53BF8"/>
    <w:rsid w:val="00C66157"/>
    <w:rsid w:val="00C674FE"/>
    <w:rsid w:val="00C67501"/>
    <w:rsid w:val="00C75633"/>
    <w:rsid w:val="00CD5468"/>
    <w:rsid w:val="00CE2EE1"/>
    <w:rsid w:val="00CE3349"/>
    <w:rsid w:val="00CE36E5"/>
    <w:rsid w:val="00CE4360"/>
    <w:rsid w:val="00CE470C"/>
    <w:rsid w:val="00CF27F5"/>
    <w:rsid w:val="00CF3FFD"/>
    <w:rsid w:val="00D0653D"/>
    <w:rsid w:val="00D10CCF"/>
    <w:rsid w:val="00D13941"/>
    <w:rsid w:val="00D2157C"/>
    <w:rsid w:val="00D23F5F"/>
    <w:rsid w:val="00D43F7D"/>
    <w:rsid w:val="00D55912"/>
    <w:rsid w:val="00D63735"/>
    <w:rsid w:val="00D75E67"/>
    <w:rsid w:val="00D77D0F"/>
    <w:rsid w:val="00D965F1"/>
    <w:rsid w:val="00DA1CF0"/>
    <w:rsid w:val="00DA6A30"/>
    <w:rsid w:val="00DC1E02"/>
    <w:rsid w:val="00DC24B4"/>
    <w:rsid w:val="00DC5FB0"/>
    <w:rsid w:val="00DF16DC"/>
    <w:rsid w:val="00DF5962"/>
    <w:rsid w:val="00E11554"/>
    <w:rsid w:val="00E13245"/>
    <w:rsid w:val="00E45211"/>
    <w:rsid w:val="00E473C5"/>
    <w:rsid w:val="00E54D55"/>
    <w:rsid w:val="00E61BE8"/>
    <w:rsid w:val="00E83FF1"/>
    <w:rsid w:val="00E92863"/>
    <w:rsid w:val="00E979B2"/>
    <w:rsid w:val="00EB0C5C"/>
    <w:rsid w:val="00EB796D"/>
    <w:rsid w:val="00EE0F6B"/>
    <w:rsid w:val="00F00933"/>
    <w:rsid w:val="00F058DC"/>
    <w:rsid w:val="00F24FC4"/>
    <w:rsid w:val="00F2676C"/>
    <w:rsid w:val="00F363FE"/>
    <w:rsid w:val="00F40575"/>
    <w:rsid w:val="00F501F2"/>
    <w:rsid w:val="00F50E3F"/>
    <w:rsid w:val="00F779BC"/>
    <w:rsid w:val="00F84366"/>
    <w:rsid w:val="00F85089"/>
    <w:rsid w:val="00F974C5"/>
    <w:rsid w:val="00FA3763"/>
    <w:rsid w:val="00FA5EA2"/>
    <w:rsid w:val="00FA6F46"/>
    <w:rsid w:val="00FB2E26"/>
    <w:rsid w:val="00FB618D"/>
    <w:rsid w:val="00FC0E94"/>
    <w:rsid w:val="00FC4592"/>
    <w:rsid w:val="00FD527F"/>
    <w:rsid w:val="00FE35A4"/>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B17AB"/>
  <w15:chartTrackingRefBased/>
  <w15:docId w15:val="{B663452B-6332-4152-B564-464F027A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customStyle="1" w:styleId="Figure">
    <w:name w:val="Figure"/>
    <w:basedOn w:val="Normal"/>
    <w:qFormat/>
    <w:rsid w:val="0096098A"/>
    <w:pPr>
      <w:tabs>
        <w:tab w:val="clear" w:pos="794"/>
        <w:tab w:val="left" w:pos="1842"/>
      </w:tabs>
      <w:spacing w:before="100" w:beforeAutospacing="1" w:after="100" w:afterAutospacing="1" w:line="240" w:lineRule="auto"/>
    </w:pPr>
    <w:rPr>
      <w:rFonts w:eastAsia="Malgun Gothic"/>
      <w:noProof/>
      <w:szCs w:val="24"/>
      <w:lang w:eastAsia="ko-KR"/>
    </w:rPr>
  </w:style>
  <w:style w:type="character" w:styleId="CommentReference">
    <w:name w:val="annotation reference"/>
    <w:basedOn w:val="DefaultParagraphFont"/>
    <w:uiPriority w:val="99"/>
    <w:semiHidden/>
    <w:unhideWhenUsed/>
    <w:rsid w:val="008359FF"/>
    <w:rPr>
      <w:sz w:val="16"/>
      <w:szCs w:val="16"/>
    </w:rPr>
  </w:style>
  <w:style w:type="paragraph" w:styleId="CommentText">
    <w:name w:val="annotation text"/>
    <w:basedOn w:val="Normal"/>
    <w:link w:val="CommentTextChar"/>
    <w:uiPriority w:val="99"/>
    <w:semiHidden/>
    <w:unhideWhenUsed/>
    <w:rsid w:val="008359FF"/>
    <w:pPr>
      <w:spacing w:line="240" w:lineRule="auto"/>
    </w:pPr>
    <w:rPr>
      <w:sz w:val="20"/>
      <w:szCs w:val="20"/>
    </w:rPr>
  </w:style>
  <w:style w:type="character" w:customStyle="1" w:styleId="CommentTextChar">
    <w:name w:val="Comment Text Char"/>
    <w:basedOn w:val="DefaultParagraphFont"/>
    <w:link w:val="CommentText"/>
    <w:uiPriority w:val="99"/>
    <w:semiHidden/>
    <w:rsid w:val="008359FF"/>
    <w:rPr>
      <w:rFonts w:ascii="Dubai" w:hAnsi="Dubai" w:cs="Dubai"/>
      <w:sz w:val="20"/>
      <w:szCs w:val="20"/>
    </w:rPr>
  </w:style>
  <w:style w:type="paragraph" w:styleId="CommentSubject">
    <w:name w:val="annotation subject"/>
    <w:basedOn w:val="CommentText"/>
    <w:next w:val="CommentText"/>
    <w:link w:val="CommentSubjectChar"/>
    <w:uiPriority w:val="99"/>
    <w:semiHidden/>
    <w:unhideWhenUsed/>
    <w:rsid w:val="008359FF"/>
    <w:rPr>
      <w:b/>
      <w:bCs/>
    </w:rPr>
  </w:style>
  <w:style w:type="character" w:customStyle="1" w:styleId="CommentSubjectChar">
    <w:name w:val="Comment Subject Char"/>
    <w:basedOn w:val="CommentTextChar"/>
    <w:link w:val="CommentSubject"/>
    <w:uiPriority w:val="99"/>
    <w:semiHidden/>
    <w:rsid w:val="008359FF"/>
    <w:rPr>
      <w:rFonts w:ascii="Dubai" w:hAnsi="Dubai" w:cs="Duba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RES-091-A.pdf" TargetMode="External"/><Relationship Id="rId13" Type="http://schemas.openxmlformats.org/officeDocument/2006/relationships/hyperlink" Target="https://www.itu.int/md/R23-RAG-C-0058/en" TargetMode="External"/><Relationship Id="rId18" Type="http://schemas.openxmlformats.org/officeDocument/2006/relationships/hyperlink" Target="https://www.itu.int/ITU-R/go/space-statistics/en"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tu.int/md/R00-CA-CIR-0281/en" TargetMode="External"/><Relationship Id="rId17" Type="http://schemas.openxmlformats.org/officeDocument/2006/relationships/hyperlink" Target="https://www.itu.int/ITU-R/go/space-statistics/en"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meetingdoc.asp?lang=en&amp;parent=S26-CL-C-0019" TargetMode="External"/><Relationship Id="rId5" Type="http://schemas.openxmlformats.org/officeDocument/2006/relationships/webSettings" Target="webSettings.xml"/><Relationship Id="rId15" Type="http://schemas.openxmlformats.org/officeDocument/2006/relationships/hyperlink" Target="https://www.itu.int/md/R23-RAG-C-0058/en" TargetMode="External"/><Relationship Id="rId23" Type="http://schemas.openxmlformats.org/officeDocument/2006/relationships/theme" Target="theme/theme1.xml"/><Relationship Id="rId10" Type="http://schemas.openxmlformats.org/officeDocument/2006/relationships/hyperlink" Target="https://www.itu.int/md/meetingdoc.asp?lang=en&amp;parent=S26-CL-C-001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S25-CL-C-0125/en" TargetMode="External"/><Relationship Id="rId14" Type="http://schemas.openxmlformats.org/officeDocument/2006/relationships/hyperlink" Target="https://www.itu.int/md/R00-CA-CIR-0281/e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yabdul\Desktop\type\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1</TotalTime>
  <Pages>6</Pages>
  <Words>2461</Words>
  <Characters>14154</Characters>
  <Application>Microsoft Office Word</Application>
  <DocSecurity>0</DocSecurity>
  <Lines>362</Lines>
  <Paragraphs>202</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Enhancing satellite network filing (SNF) cost recovery and addressing processing delays in the Radiocommunication Bureau</dc:title>
  <dc:subject>ITU Council 2026</dc:subject>
  <cp:keywords>C26; C2026; Council 2026; PP26</cp:keywords>
  <dc:description/>
  <dcterms:created xsi:type="dcterms:W3CDTF">2026-04-29T18:05:00Z</dcterms:created>
  <dcterms:modified xsi:type="dcterms:W3CDTF">2026-04-29T18:05:00Z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