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4B493C" w14:paraId="7E4CFA47" w14:textId="77777777" w:rsidTr="00C4421B">
        <w:trPr>
          <w:cantSplit/>
          <w:trHeight w:val="23"/>
        </w:trPr>
        <w:tc>
          <w:tcPr>
            <w:tcW w:w="3969" w:type="dxa"/>
            <w:vMerge w:val="restart"/>
            <w:tcMar>
              <w:left w:w="0" w:type="dxa"/>
            </w:tcMar>
          </w:tcPr>
          <w:p w14:paraId="5890000D" w14:textId="10F8B368" w:rsidR="00FE57F6" w:rsidRPr="004B493C" w:rsidRDefault="00CC1FAF" w:rsidP="00C4421B">
            <w:pPr>
              <w:tabs>
                <w:tab w:val="left" w:pos="851"/>
              </w:tabs>
              <w:spacing w:before="0" w:line="240" w:lineRule="atLeast"/>
              <w:rPr>
                <w:b/>
                <w:lang w:val="es-ES"/>
              </w:rPr>
            </w:pPr>
            <w:bookmarkStart w:id="0" w:name="_Hlk133421839"/>
            <w:r w:rsidRPr="004B493C">
              <w:rPr>
                <w:b/>
                <w:lang w:val="es-ES"/>
              </w:rPr>
              <w:t>Punto del o</w:t>
            </w:r>
            <w:r w:rsidR="00BB6FD8" w:rsidRPr="004B493C">
              <w:rPr>
                <w:b/>
                <w:lang w:val="es-ES"/>
              </w:rPr>
              <w:t>rden del día</w:t>
            </w:r>
            <w:r w:rsidR="00FE57F6" w:rsidRPr="004B493C">
              <w:rPr>
                <w:b/>
                <w:lang w:val="es-ES"/>
              </w:rPr>
              <w:t xml:space="preserve">: </w:t>
            </w:r>
            <w:r w:rsidR="00574A2E" w:rsidRPr="004B493C">
              <w:rPr>
                <w:b/>
                <w:lang w:val="es-ES"/>
              </w:rPr>
              <w:t>PL-3</w:t>
            </w:r>
          </w:p>
        </w:tc>
        <w:tc>
          <w:tcPr>
            <w:tcW w:w="5245" w:type="dxa"/>
          </w:tcPr>
          <w:p w14:paraId="275EE391" w14:textId="302F9409" w:rsidR="00FE57F6" w:rsidRPr="004B493C" w:rsidRDefault="00FE57F6" w:rsidP="00C4421B">
            <w:pPr>
              <w:tabs>
                <w:tab w:val="left" w:pos="851"/>
              </w:tabs>
              <w:spacing w:before="0" w:line="240" w:lineRule="atLeast"/>
              <w:jc w:val="right"/>
              <w:rPr>
                <w:b/>
                <w:lang w:val="es-ES"/>
              </w:rPr>
            </w:pPr>
            <w:r w:rsidRPr="004B493C">
              <w:rPr>
                <w:b/>
                <w:lang w:val="es-ES"/>
              </w:rPr>
              <w:t>Document</w:t>
            </w:r>
            <w:r w:rsidR="00F24B71" w:rsidRPr="004B493C">
              <w:rPr>
                <w:b/>
                <w:lang w:val="es-ES"/>
              </w:rPr>
              <w:t>o</w:t>
            </w:r>
            <w:r w:rsidRPr="004B493C">
              <w:rPr>
                <w:b/>
                <w:lang w:val="es-ES"/>
              </w:rPr>
              <w:t xml:space="preserve"> C2</w:t>
            </w:r>
            <w:r w:rsidR="00F85E5C" w:rsidRPr="004B493C">
              <w:rPr>
                <w:b/>
                <w:lang w:val="es-ES"/>
              </w:rPr>
              <w:t>6</w:t>
            </w:r>
            <w:r w:rsidRPr="004B493C">
              <w:rPr>
                <w:b/>
                <w:lang w:val="es-ES"/>
              </w:rPr>
              <w:t>/</w:t>
            </w:r>
            <w:r w:rsidR="00574A2E" w:rsidRPr="004B493C">
              <w:rPr>
                <w:b/>
                <w:lang w:val="es-ES"/>
              </w:rPr>
              <w:t>97</w:t>
            </w:r>
            <w:r w:rsidRPr="004B493C">
              <w:rPr>
                <w:b/>
                <w:lang w:val="es-ES"/>
              </w:rPr>
              <w:t>-</w:t>
            </w:r>
            <w:r w:rsidR="00F24B71" w:rsidRPr="004B493C">
              <w:rPr>
                <w:b/>
                <w:lang w:val="es-ES"/>
              </w:rPr>
              <w:t>S</w:t>
            </w:r>
          </w:p>
        </w:tc>
      </w:tr>
      <w:tr w:rsidR="00FE57F6" w:rsidRPr="004B493C" w14:paraId="35E9868B" w14:textId="77777777" w:rsidTr="00C4421B">
        <w:trPr>
          <w:cantSplit/>
        </w:trPr>
        <w:tc>
          <w:tcPr>
            <w:tcW w:w="3969" w:type="dxa"/>
            <w:vMerge/>
          </w:tcPr>
          <w:p w14:paraId="6A2A765E" w14:textId="77777777" w:rsidR="00FE57F6" w:rsidRPr="004B493C" w:rsidRDefault="00FE57F6" w:rsidP="00C4421B">
            <w:pPr>
              <w:tabs>
                <w:tab w:val="left" w:pos="851"/>
              </w:tabs>
              <w:spacing w:line="240" w:lineRule="atLeast"/>
              <w:rPr>
                <w:b/>
                <w:lang w:val="es-ES"/>
              </w:rPr>
            </w:pPr>
          </w:p>
        </w:tc>
        <w:tc>
          <w:tcPr>
            <w:tcW w:w="5245" w:type="dxa"/>
          </w:tcPr>
          <w:p w14:paraId="7A0BE8A9" w14:textId="1FB3D6EB" w:rsidR="00FE57F6" w:rsidRPr="004B493C" w:rsidRDefault="00574A2E" w:rsidP="00C4421B">
            <w:pPr>
              <w:tabs>
                <w:tab w:val="left" w:pos="851"/>
              </w:tabs>
              <w:spacing w:before="0"/>
              <w:jc w:val="right"/>
              <w:rPr>
                <w:b/>
                <w:lang w:val="es-ES"/>
              </w:rPr>
            </w:pPr>
            <w:r w:rsidRPr="004B493C">
              <w:rPr>
                <w:b/>
                <w:lang w:val="es-ES"/>
              </w:rPr>
              <w:t>14 de abril de 2026</w:t>
            </w:r>
          </w:p>
        </w:tc>
      </w:tr>
      <w:tr w:rsidR="00FE57F6" w:rsidRPr="004B493C" w14:paraId="0E309865" w14:textId="77777777" w:rsidTr="00C4421B">
        <w:trPr>
          <w:cantSplit/>
          <w:trHeight w:val="23"/>
        </w:trPr>
        <w:tc>
          <w:tcPr>
            <w:tcW w:w="3969" w:type="dxa"/>
            <w:vMerge/>
          </w:tcPr>
          <w:p w14:paraId="5ADB52BE" w14:textId="77777777" w:rsidR="00FE57F6" w:rsidRPr="004B493C" w:rsidRDefault="00FE57F6" w:rsidP="00C4421B">
            <w:pPr>
              <w:tabs>
                <w:tab w:val="left" w:pos="851"/>
              </w:tabs>
              <w:spacing w:line="240" w:lineRule="atLeast"/>
              <w:rPr>
                <w:b/>
                <w:lang w:val="es-ES"/>
              </w:rPr>
            </w:pPr>
          </w:p>
        </w:tc>
        <w:tc>
          <w:tcPr>
            <w:tcW w:w="5245" w:type="dxa"/>
          </w:tcPr>
          <w:p w14:paraId="2B023178" w14:textId="77777777" w:rsidR="00FE57F6" w:rsidRPr="004B493C" w:rsidRDefault="00F24B71" w:rsidP="00C4421B">
            <w:pPr>
              <w:tabs>
                <w:tab w:val="left" w:pos="851"/>
              </w:tabs>
              <w:spacing w:before="0" w:line="240" w:lineRule="atLeast"/>
              <w:jc w:val="right"/>
              <w:rPr>
                <w:b/>
                <w:bCs/>
                <w:lang w:val="es-ES"/>
              </w:rPr>
            </w:pPr>
            <w:r w:rsidRPr="004B493C">
              <w:rPr>
                <w:rFonts w:cstheme="minorHAnsi"/>
                <w:b/>
                <w:bCs/>
                <w:lang w:val="es-ES"/>
              </w:rPr>
              <w:t>Original: inglés</w:t>
            </w:r>
          </w:p>
        </w:tc>
      </w:tr>
      <w:tr w:rsidR="00FE57F6" w:rsidRPr="004B493C" w14:paraId="779224AB" w14:textId="77777777" w:rsidTr="00C4421B">
        <w:trPr>
          <w:cantSplit/>
          <w:trHeight w:val="23"/>
        </w:trPr>
        <w:tc>
          <w:tcPr>
            <w:tcW w:w="3969" w:type="dxa"/>
          </w:tcPr>
          <w:p w14:paraId="79531F53" w14:textId="77777777" w:rsidR="00FE57F6" w:rsidRPr="004B493C" w:rsidRDefault="00FE57F6" w:rsidP="00C4421B">
            <w:pPr>
              <w:tabs>
                <w:tab w:val="left" w:pos="851"/>
              </w:tabs>
              <w:spacing w:line="240" w:lineRule="atLeast"/>
              <w:rPr>
                <w:b/>
                <w:lang w:val="es-ES"/>
              </w:rPr>
            </w:pPr>
          </w:p>
        </w:tc>
        <w:tc>
          <w:tcPr>
            <w:tcW w:w="5245" w:type="dxa"/>
          </w:tcPr>
          <w:p w14:paraId="04E59BAE" w14:textId="77777777" w:rsidR="00FE57F6" w:rsidRPr="004B493C" w:rsidRDefault="00FE57F6" w:rsidP="00C4421B">
            <w:pPr>
              <w:tabs>
                <w:tab w:val="left" w:pos="851"/>
              </w:tabs>
              <w:spacing w:before="0" w:line="240" w:lineRule="atLeast"/>
              <w:jc w:val="right"/>
              <w:rPr>
                <w:b/>
                <w:lang w:val="es-ES"/>
              </w:rPr>
            </w:pPr>
          </w:p>
        </w:tc>
      </w:tr>
      <w:tr w:rsidR="00FE57F6" w:rsidRPr="00446E8D" w14:paraId="56DD3E58" w14:textId="77777777" w:rsidTr="00C4421B">
        <w:trPr>
          <w:cantSplit/>
        </w:trPr>
        <w:tc>
          <w:tcPr>
            <w:tcW w:w="9214" w:type="dxa"/>
            <w:gridSpan w:val="2"/>
            <w:tcMar>
              <w:left w:w="0" w:type="dxa"/>
            </w:tcMar>
          </w:tcPr>
          <w:p w14:paraId="3C95B8BF" w14:textId="2FA2534B" w:rsidR="00FE57F6" w:rsidRPr="00C54926" w:rsidRDefault="00574A2E" w:rsidP="00C54926">
            <w:pPr>
              <w:pStyle w:val="Source"/>
              <w:framePr w:hSpace="0" w:wrap="auto" w:vAnchor="margin" w:hAnchor="text" w:xAlign="left" w:yAlign="inline"/>
            </w:pPr>
            <w:r w:rsidRPr="00C54926">
              <w:t>Contribución de los Estados Unidos de América</w:t>
            </w:r>
          </w:p>
        </w:tc>
      </w:tr>
      <w:tr w:rsidR="00FE57F6" w:rsidRPr="00446E8D" w14:paraId="1D86E8F8" w14:textId="77777777" w:rsidTr="00C4421B">
        <w:trPr>
          <w:cantSplit/>
        </w:trPr>
        <w:tc>
          <w:tcPr>
            <w:tcW w:w="9214" w:type="dxa"/>
            <w:gridSpan w:val="2"/>
            <w:tcMar>
              <w:left w:w="0" w:type="dxa"/>
            </w:tcMar>
          </w:tcPr>
          <w:p w14:paraId="00AD9056" w14:textId="01A473A0" w:rsidR="00FE57F6" w:rsidRPr="004B493C" w:rsidRDefault="00C54926" w:rsidP="00574A2E">
            <w:pPr>
              <w:pStyle w:val="Subtitle"/>
              <w:framePr w:hSpace="0" w:wrap="auto" w:hAnchor="text" w:xAlign="left" w:yAlign="inline"/>
              <w:rPr>
                <w:lang w:val="es-ES"/>
              </w:rPr>
            </w:pPr>
            <w:r w:rsidRPr="004B493C">
              <w:rPr>
                <w:lang w:val="es-ES"/>
              </w:rPr>
              <w:t>GESTIÓN CLARA, COHERENTE Y RESPETUOSA DEL TIEMPO DE LAS CONFERENCIAS Y ASAMBLEAS DE LA UIT</w:t>
            </w:r>
          </w:p>
        </w:tc>
      </w:tr>
      <w:tr w:rsidR="00FE57F6" w:rsidRPr="00446E8D" w14:paraId="792A1884" w14:textId="77777777" w:rsidTr="00C4421B">
        <w:trPr>
          <w:cantSplit/>
        </w:trPr>
        <w:tc>
          <w:tcPr>
            <w:tcW w:w="9214" w:type="dxa"/>
            <w:gridSpan w:val="2"/>
            <w:tcBorders>
              <w:top w:val="single" w:sz="4" w:space="0" w:color="auto"/>
              <w:bottom w:val="single" w:sz="4" w:space="0" w:color="auto"/>
            </w:tcBorders>
            <w:tcMar>
              <w:left w:w="0" w:type="dxa"/>
            </w:tcMar>
          </w:tcPr>
          <w:p w14:paraId="5BA42EA3" w14:textId="77777777" w:rsidR="00FE57F6" w:rsidRPr="004B493C" w:rsidRDefault="00F24B71" w:rsidP="00C4421B">
            <w:pPr>
              <w:spacing w:before="160"/>
              <w:rPr>
                <w:b/>
                <w:bCs/>
                <w:sz w:val="26"/>
                <w:szCs w:val="26"/>
                <w:lang w:val="es-ES"/>
              </w:rPr>
            </w:pPr>
            <w:r w:rsidRPr="004B493C">
              <w:rPr>
                <w:b/>
                <w:bCs/>
                <w:sz w:val="26"/>
                <w:szCs w:val="26"/>
                <w:lang w:val="es-ES"/>
              </w:rPr>
              <w:t>Finalidad</w:t>
            </w:r>
          </w:p>
          <w:p w14:paraId="449DFF90" w14:textId="320A2933" w:rsidR="00FE57F6" w:rsidRPr="004B493C" w:rsidRDefault="00574A2E" w:rsidP="00C54926">
            <w:pPr>
              <w:jc w:val="both"/>
              <w:rPr>
                <w:lang w:val="es-ES"/>
              </w:rPr>
            </w:pPr>
            <w:r w:rsidRPr="004B493C">
              <w:rPr>
                <w:lang w:val="es-ES"/>
              </w:rPr>
              <w:t>En esta contribución se propone una nueva Resolución del Consejo sobre la gestión clara, coherente y respetuosa del tiempo de las conferencias y asambleas de la UIT, que orientaría de manera coherente a las comisiones de dirección (Comisión 1) de todas las conferencias y asambleas de la UIT para que adoptasen de manera uniforme las mismas prácticas y procedimientos.</w:t>
            </w:r>
          </w:p>
          <w:p w14:paraId="7C621F76" w14:textId="77777777" w:rsidR="00FE57F6" w:rsidRPr="004B493C" w:rsidRDefault="00F24B71" w:rsidP="00C4421B">
            <w:pPr>
              <w:spacing w:before="160"/>
              <w:rPr>
                <w:b/>
                <w:bCs/>
                <w:sz w:val="26"/>
                <w:szCs w:val="26"/>
                <w:lang w:val="es-ES"/>
              </w:rPr>
            </w:pPr>
            <w:r w:rsidRPr="004B493C">
              <w:rPr>
                <w:b/>
                <w:bCs/>
                <w:sz w:val="26"/>
                <w:szCs w:val="26"/>
                <w:lang w:val="es-ES"/>
              </w:rPr>
              <w:t xml:space="preserve">Acción solicitada </w:t>
            </w:r>
            <w:r w:rsidR="00677A97" w:rsidRPr="004B493C">
              <w:rPr>
                <w:b/>
                <w:bCs/>
                <w:sz w:val="26"/>
                <w:szCs w:val="26"/>
                <w:lang w:val="es-ES"/>
              </w:rPr>
              <w:t>al</w:t>
            </w:r>
            <w:r w:rsidRPr="004B493C">
              <w:rPr>
                <w:b/>
                <w:bCs/>
                <w:sz w:val="26"/>
                <w:szCs w:val="26"/>
                <w:lang w:val="es-ES"/>
              </w:rPr>
              <w:t xml:space="preserve"> Consejo</w:t>
            </w:r>
          </w:p>
          <w:p w14:paraId="5B5DDE23" w14:textId="3E78CC84" w:rsidR="00F92BED" w:rsidRPr="004B493C" w:rsidRDefault="00574A2E" w:rsidP="00C54926">
            <w:pPr>
              <w:spacing w:before="160"/>
              <w:jc w:val="both"/>
              <w:rPr>
                <w:szCs w:val="24"/>
                <w:lang w:val="es-ES"/>
              </w:rPr>
            </w:pPr>
            <w:r w:rsidRPr="004B493C">
              <w:rPr>
                <w:color w:val="000000"/>
                <w:lang w:val="es-ES"/>
              </w:rPr>
              <w:t xml:space="preserve">Se invita al Consejo a </w:t>
            </w:r>
            <w:r w:rsidRPr="004B493C">
              <w:rPr>
                <w:b/>
                <w:bCs/>
                <w:color w:val="000000"/>
                <w:lang w:val="es-ES"/>
              </w:rPr>
              <w:t>examinar</w:t>
            </w:r>
            <w:r w:rsidRPr="004B493C">
              <w:rPr>
                <w:color w:val="000000"/>
                <w:lang w:val="es-ES"/>
              </w:rPr>
              <w:t xml:space="preserve"> las cuestiones planteadas en la presente contribución y a </w:t>
            </w:r>
            <w:r w:rsidRPr="004B493C">
              <w:rPr>
                <w:b/>
                <w:bCs/>
                <w:color w:val="000000"/>
                <w:lang w:val="es-ES"/>
              </w:rPr>
              <w:t>aprobar</w:t>
            </w:r>
            <w:r w:rsidRPr="004B493C">
              <w:rPr>
                <w:color w:val="000000"/>
                <w:lang w:val="es-ES"/>
              </w:rPr>
              <w:t xml:space="preserve"> la propuesta de nueva resolución.</w:t>
            </w:r>
          </w:p>
          <w:p w14:paraId="57B599EC" w14:textId="77777777" w:rsidR="00FE57F6" w:rsidRPr="004B493C" w:rsidRDefault="00FE57F6" w:rsidP="00C4421B">
            <w:pPr>
              <w:spacing w:before="160"/>
              <w:rPr>
                <w:caps/>
                <w:sz w:val="22"/>
                <w:lang w:val="es-ES"/>
              </w:rPr>
            </w:pPr>
            <w:r w:rsidRPr="004B493C">
              <w:rPr>
                <w:sz w:val="22"/>
                <w:lang w:val="es-ES"/>
              </w:rPr>
              <w:t>__________________</w:t>
            </w:r>
          </w:p>
          <w:p w14:paraId="6CDEE5D2" w14:textId="33B73323" w:rsidR="00FE57F6" w:rsidRPr="004B493C" w:rsidRDefault="00F24B71" w:rsidP="00C4421B">
            <w:pPr>
              <w:spacing w:before="160"/>
              <w:rPr>
                <w:b/>
                <w:bCs/>
                <w:sz w:val="26"/>
                <w:szCs w:val="26"/>
                <w:lang w:val="es-ES"/>
              </w:rPr>
            </w:pPr>
            <w:r w:rsidRPr="004B493C">
              <w:rPr>
                <w:b/>
                <w:bCs/>
                <w:sz w:val="26"/>
                <w:szCs w:val="26"/>
                <w:lang w:val="es-ES"/>
              </w:rPr>
              <w:t>Referencia</w:t>
            </w:r>
            <w:r w:rsidR="00F92BED" w:rsidRPr="004B493C">
              <w:rPr>
                <w:b/>
                <w:bCs/>
                <w:sz w:val="26"/>
                <w:szCs w:val="26"/>
                <w:lang w:val="es-ES"/>
              </w:rPr>
              <w:t>s</w:t>
            </w:r>
          </w:p>
          <w:p w14:paraId="3E23A97E" w14:textId="76DB0C7F" w:rsidR="00FE57F6" w:rsidRPr="004B493C" w:rsidRDefault="00574A2E" w:rsidP="00C54926">
            <w:pPr>
              <w:spacing w:after="160"/>
              <w:jc w:val="both"/>
              <w:rPr>
                <w:i/>
                <w:iCs/>
                <w:sz w:val="22"/>
                <w:szCs w:val="22"/>
                <w:lang w:val="es-ES"/>
              </w:rPr>
            </w:pPr>
            <w:r w:rsidRPr="004B493C">
              <w:rPr>
                <w:i/>
                <w:iCs/>
                <w:sz w:val="22"/>
                <w:szCs w:val="22"/>
                <w:lang w:val="es-ES"/>
              </w:rPr>
              <w:t xml:space="preserve">Documentos </w:t>
            </w:r>
            <w:hyperlink r:id="rId6" w:history="1">
              <w:proofErr w:type="spellStart"/>
              <w:r w:rsidRPr="004B493C">
                <w:rPr>
                  <w:rStyle w:val="Hyperlink"/>
                  <w:rFonts w:eastAsia="Times New Roman" w:cs="Times New Roman"/>
                  <w:i/>
                  <w:iCs/>
                  <w:sz w:val="22"/>
                  <w:lang w:val="es-ES"/>
                </w:rPr>
                <w:t>C24</w:t>
              </w:r>
              <w:proofErr w:type="spellEnd"/>
              <w:r w:rsidRPr="004B493C">
                <w:rPr>
                  <w:rStyle w:val="Hyperlink"/>
                  <w:rFonts w:eastAsia="Times New Roman" w:cs="Times New Roman"/>
                  <w:i/>
                  <w:iCs/>
                  <w:sz w:val="22"/>
                  <w:lang w:val="es-ES"/>
                </w:rPr>
                <w:t>/4</w:t>
              </w:r>
            </w:hyperlink>
            <w:r w:rsidRPr="004B493C">
              <w:rPr>
                <w:i/>
                <w:iCs/>
                <w:sz w:val="22"/>
                <w:szCs w:val="22"/>
                <w:lang w:val="es-ES"/>
              </w:rPr>
              <w:t xml:space="preserve"> (Resultado de las consultas sobre las mejoras propuestas para la Conferencia de Plenipotenciarios), </w:t>
            </w:r>
            <w:hyperlink r:id="rId7" w:history="1">
              <w:proofErr w:type="spellStart"/>
              <w:r w:rsidRPr="004B493C">
                <w:rPr>
                  <w:rStyle w:val="Hyperlink"/>
                  <w:rFonts w:eastAsia="Times New Roman" w:cs="Times New Roman"/>
                  <w:i/>
                  <w:iCs/>
                  <w:sz w:val="22"/>
                  <w:lang w:val="es-ES"/>
                </w:rPr>
                <w:t>C24</w:t>
              </w:r>
              <w:proofErr w:type="spellEnd"/>
              <w:r w:rsidRPr="004B493C">
                <w:rPr>
                  <w:rStyle w:val="Hyperlink"/>
                  <w:rFonts w:eastAsia="Times New Roman" w:cs="Times New Roman"/>
                  <w:i/>
                  <w:iCs/>
                  <w:sz w:val="22"/>
                  <w:lang w:val="es-ES"/>
                </w:rPr>
                <w:t>/113</w:t>
              </w:r>
            </w:hyperlink>
            <w:r w:rsidRPr="004B493C">
              <w:rPr>
                <w:i/>
                <w:iCs/>
                <w:sz w:val="22"/>
                <w:szCs w:val="22"/>
                <w:lang w:val="es-ES"/>
              </w:rPr>
              <w:t xml:space="preserve"> (Resumen de los debates de la tercera sesión plenaria), </w:t>
            </w:r>
            <w:hyperlink r:id="rId8" w:history="1">
              <w:proofErr w:type="spellStart"/>
              <w:r w:rsidRPr="004B493C">
                <w:rPr>
                  <w:rStyle w:val="Hyperlink"/>
                  <w:rFonts w:eastAsia="Times New Roman" w:cs="Times New Roman"/>
                  <w:i/>
                  <w:iCs/>
                  <w:sz w:val="22"/>
                  <w:lang w:val="es-ES"/>
                </w:rPr>
                <w:t>C25</w:t>
              </w:r>
              <w:proofErr w:type="spellEnd"/>
              <w:r w:rsidRPr="004B493C">
                <w:rPr>
                  <w:rStyle w:val="Hyperlink"/>
                  <w:rFonts w:eastAsia="Times New Roman" w:cs="Times New Roman"/>
                  <w:i/>
                  <w:iCs/>
                  <w:sz w:val="22"/>
                  <w:lang w:val="es-ES"/>
                </w:rPr>
                <w:t>/4</w:t>
              </w:r>
            </w:hyperlink>
            <w:r w:rsidRPr="004B493C">
              <w:rPr>
                <w:i/>
                <w:iCs/>
                <w:sz w:val="22"/>
                <w:szCs w:val="22"/>
                <w:lang w:val="es-ES"/>
              </w:rPr>
              <w:t xml:space="preserve"> (Preparativos para la Conferencia de Plenipotenciarios de 2026), </w:t>
            </w:r>
            <w:hyperlink r:id="rId9" w:history="1">
              <w:proofErr w:type="spellStart"/>
              <w:r w:rsidRPr="004B493C">
                <w:rPr>
                  <w:rStyle w:val="Hyperlink"/>
                  <w:rFonts w:eastAsia="Times New Roman" w:cs="Times New Roman"/>
                  <w:i/>
                  <w:iCs/>
                  <w:sz w:val="22"/>
                  <w:lang w:val="es-ES"/>
                </w:rPr>
                <w:t>ASBN-AHDGC</w:t>
              </w:r>
              <w:proofErr w:type="spellEnd"/>
            </w:hyperlink>
            <w:r w:rsidRPr="004B493C">
              <w:rPr>
                <w:i/>
                <w:iCs/>
                <w:sz w:val="22"/>
                <w:szCs w:val="22"/>
                <w:lang w:val="es-ES"/>
              </w:rPr>
              <w:t xml:space="preserve"> (Nota informativa para los presidentes del grupo ad hoc de la AMNT y los presidentes del grupo de redacción), </w:t>
            </w:r>
            <w:hyperlink r:id="rId10" w:history="1">
              <w:proofErr w:type="spellStart"/>
              <w:r w:rsidRPr="004B493C">
                <w:rPr>
                  <w:rStyle w:val="Hyperlink"/>
                  <w:rFonts w:eastAsia="Times New Roman" w:cs="Times New Roman"/>
                  <w:i/>
                  <w:iCs/>
                  <w:sz w:val="22"/>
                  <w:lang w:val="es-ES"/>
                </w:rPr>
                <w:t>C25</w:t>
              </w:r>
              <w:proofErr w:type="spellEnd"/>
              <w:r w:rsidRPr="004B493C">
                <w:rPr>
                  <w:rStyle w:val="Hyperlink"/>
                  <w:rFonts w:eastAsia="Times New Roman" w:cs="Times New Roman"/>
                  <w:i/>
                  <w:iCs/>
                  <w:sz w:val="22"/>
                  <w:lang w:val="es-ES"/>
                </w:rPr>
                <w:t>/105</w:t>
              </w:r>
            </w:hyperlink>
            <w:r w:rsidRPr="004B493C">
              <w:rPr>
                <w:i/>
                <w:iCs/>
                <w:sz w:val="22"/>
                <w:szCs w:val="22"/>
                <w:lang w:val="es-ES"/>
              </w:rPr>
              <w:t xml:space="preserve"> (Anexo B – Directrices sobre la gestión de reuniones totalmente virtuales y presenciales con participación a distancia)</w:t>
            </w:r>
          </w:p>
        </w:tc>
      </w:tr>
      <w:bookmarkEnd w:id="0"/>
    </w:tbl>
    <w:p w14:paraId="5EFB86AC" w14:textId="77777777" w:rsidR="00093EEB" w:rsidRPr="004B493C" w:rsidRDefault="00093EEB">
      <w:pPr>
        <w:rPr>
          <w:lang w:val="es-ES"/>
        </w:rPr>
      </w:pPr>
    </w:p>
    <w:p w14:paraId="726A6519" w14:textId="77777777" w:rsidR="001559F5" w:rsidRPr="004B493C"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4B493C">
        <w:rPr>
          <w:lang w:val="es-ES"/>
        </w:rPr>
        <w:br w:type="page"/>
      </w:r>
    </w:p>
    <w:p w14:paraId="0214F02B" w14:textId="77777777" w:rsidR="00574A2E" w:rsidRPr="004B493C" w:rsidRDefault="00574A2E" w:rsidP="002807E4">
      <w:pPr>
        <w:pStyle w:val="Headingb"/>
        <w:rPr>
          <w:lang w:val="es-ES"/>
        </w:rPr>
      </w:pPr>
      <w:r w:rsidRPr="004B493C">
        <w:rPr>
          <w:lang w:val="es-ES"/>
        </w:rPr>
        <w:lastRenderedPageBreak/>
        <w:t>Antecedentes y debate</w:t>
      </w:r>
    </w:p>
    <w:p w14:paraId="784E5E9C" w14:textId="4236272B" w:rsidR="00574A2E" w:rsidRPr="004B493C" w:rsidRDefault="00574A2E" w:rsidP="00C54926">
      <w:pPr>
        <w:jc w:val="both"/>
        <w:rPr>
          <w:rFonts w:cs="Calibri"/>
          <w:lang w:val="es-ES"/>
        </w:rPr>
      </w:pPr>
      <w:r w:rsidRPr="004B493C">
        <w:rPr>
          <w:lang w:val="es-ES"/>
        </w:rPr>
        <w:t>Todos los delegados de la UIT pueden dar fe del difícil entorno de trabajo que se vive en las conferencias y asambleas de la UIT, que con demasiada frecuencia se caracteriza por reuniones que se prolongan hasta altas horas de la noche —con pocos o ningún descanso— y comienzan de nuevo a primera hora de la mañana siguiente. Estas dinámicas no solo repercuten negativamente en la experiencia general y el equilibrio entre el trabajo y la vida personal de los delegados, sino también en su capacidad para negociar productivamente y crear consenso.</w:t>
      </w:r>
    </w:p>
    <w:p w14:paraId="71908154" w14:textId="4D1D2091" w:rsidR="00574A2E" w:rsidRPr="004B493C" w:rsidRDefault="00574A2E" w:rsidP="00C54926">
      <w:pPr>
        <w:jc w:val="both"/>
        <w:rPr>
          <w:lang w:val="es-ES"/>
        </w:rPr>
      </w:pPr>
      <w:r w:rsidRPr="004B493C">
        <w:rPr>
          <w:lang w:val="es-ES"/>
        </w:rPr>
        <w:t>En su reunión de 2024, el Consejo debatió el resultado de las consultas relativas a las mejoras propuestas a la PP. En sus respuestas, los Estados Miembros hicieron hincapié en la importancia de los plazos de trabajo, sin que "hubiera reuniones de largas horas/tardías en la noche/en el fin de semana", así como la importancia de fijar límites de duración (Documento</w:t>
      </w:r>
      <w:r w:rsidR="0022797A">
        <w:rPr>
          <w:lang w:val="es-ES"/>
        </w:rPr>
        <w:t> </w:t>
      </w:r>
      <w:proofErr w:type="spellStart"/>
      <w:r>
        <w:fldChar w:fldCharType="begin"/>
      </w:r>
      <w:r w:rsidRPr="00446E8D">
        <w:rPr>
          <w:lang w:val="es-ES"/>
        </w:rPr>
        <w:instrText>HYPERLINK "https://www.itu.int/md/S24-CL-C-0004/es"</w:instrText>
      </w:r>
      <w:r>
        <w:fldChar w:fldCharType="separate"/>
      </w:r>
      <w:r w:rsidRPr="004B493C">
        <w:rPr>
          <w:rStyle w:val="Hyperlink"/>
          <w:lang w:val="es-ES"/>
        </w:rPr>
        <w:t>C24</w:t>
      </w:r>
      <w:proofErr w:type="spellEnd"/>
      <w:r w:rsidRPr="004B493C">
        <w:rPr>
          <w:rStyle w:val="Hyperlink"/>
          <w:lang w:val="es-ES"/>
        </w:rPr>
        <w:t>/4</w:t>
      </w:r>
      <w:r>
        <w:fldChar w:fldCharType="end"/>
      </w:r>
      <w:r w:rsidRPr="004B493C">
        <w:rPr>
          <w:lang w:val="es-ES"/>
        </w:rPr>
        <w:t xml:space="preserve">). En consecuencia, el Consejo solicitó a la Secretaría que siguiera aplicando las medidas adoptadas con éxito en la PP-22 sobre gestión del tiempo (entre otros factores) y que colaborara con el país anfitrión para aplicar posibles mejoras en los procesos de la PP-26 (véanse los Documentos </w:t>
      </w:r>
      <w:hyperlink r:id="rId11" w:history="1">
        <w:proofErr w:type="spellStart"/>
        <w:r w:rsidRPr="004B493C">
          <w:rPr>
            <w:rStyle w:val="Hyperlink"/>
            <w:lang w:val="es-ES"/>
          </w:rPr>
          <w:t>C24</w:t>
        </w:r>
        <w:proofErr w:type="spellEnd"/>
        <w:r w:rsidRPr="004B493C">
          <w:rPr>
            <w:rStyle w:val="Hyperlink"/>
            <w:lang w:val="es-ES"/>
          </w:rPr>
          <w:t>/113</w:t>
        </w:r>
      </w:hyperlink>
      <w:r w:rsidRPr="004B493C">
        <w:rPr>
          <w:lang w:val="es-ES"/>
        </w:rPr>
        <w:t xml:space="preserve"> y </w:t>
      </w:r>
      <w:hyperlink r:id="rId12" w:history="1">
        <w:proofErr w:type="spellStart"/>
        <w:r w:rsidRPr="004B493C">
          <w:rPr>
            <w:rStyle w:val="Hyperlink"/>
            <w:lang w:val="es-ES"/>
          </w:rPr>
          <w:t>C25</w:t>
        </w:r>
        <w:proofErr w:type="spellEnd"/>
        <w:r w:rsidRPr="004B493C">
          <w:rPr>
            <w:rStyle w:val="Hyperlink"/>
            <w:lang w:val="es-ES"/>
          </w:rPr>
          <w:t>/4</w:t>
        </w:r>
      </w:hyperlink>
      <w:r w:rsidRPr="004B493C">
        <w:rPr>
          <w:lang w:val="es-ES"/>
        </w:rPr>
        <w:t>).</w:t>
      </w:r>
      <w:hyperlink r:id="rId13" w:history="1"/>
      <w:hyperlink r:id="rId14" w:history="1"/>
      <w:hyperlink r:id="rId15" w:history="1"/>
    </w:p>
    <w:p w14:paraId="4FBE719F" w14:textId="24E173D8" w:rsidR="00574A2E" w:rsidRPr="004B493C" w:rsidRDefault="00574A2E" w:rsidP="00C54926">
      <w:pPr>
        <w:jc w:val="both"/>
        <w:rPr>
          <w:rFonts w:cs="Calibri"/>
          <w:szCs w:val="24"/>
          <w:lang w:val="es-ES"/>
        </w:rPr>
      </w:pPr>
      <w:r w:rsidRPr="004B493C">
        <w:rPr>
          <w:lang w:val="es-ES"/>
        </w:rPr>
        <w:t xml:space="preserve">Este cambio positivo en la cultura y los métodos de trabajo de la UIT también ha influido positivamente en otras conferencias y asambleas posteriores a la PP. Por ejemplo, antes de la Asamblea Mundial de Normalización de las Telecomunicaciones de 2024 (AMNT-24), en la nota informativa para los presidentes </w:t>
      </w:r>
      <w:r w:rsidRPr="004B493C">
        <w:rPr>
          <w:i/>
          <w:iCs/>
          <w:lang w:val="es-ES"/>
        </w:rPr>
        <w:t>ad hoc</w:t>
      </w:r>
      <w:r w:rsidRPr="004B493C">
        <w:rPr>
          <w:lang w:val="es-ES"/>
        </w:rPr>
        <w:t xml:space="preserve"> y de los grupos de redacción de la AMNT se hizo hincapié en la importancia de la gestión eficaz del tiempo y en la necesidad de ser conscientes del tiempo en varios frentes (</w:t>
      </w:r>
      <w:proofErr w:type="spellStart"/>
      <w:r>
        <w:fldChar w:fldCharType="begin"/>
      </w:r>
      <w:r w:rsidRPr="00446E8D">
        <w:rPr>
          <w:lang w:val="es-ES"/>
        </w:rPr>
        <w:instrText>HYPERLINK "https://www.itu.int/md/T22-WTSA.24-INF-0003/es"</w:instrText>
      </w:r>
      <w:r>
        <w:fldChar w:fldCharType="separate"/>
      </w:r>
      <w:r w:rsidRPr="004B493C">
        <w:rPr>
          <w:rStyle w:val="Hyperlink"/>
          <w:lang w:val="es-ES"/>
        </w:rPr>
        <w:t>ASBN-AHDGC</w:t>
      </w:r>
      <w:proofErr w:type="spellEnd"/>
      <w:r>
        <w:fldChar w:fldCharType="end"/>
      </w:r>
      <w:r w:rsidRPr="004B493C">
        <w:rPr>
          <w:lang w:val="es-ES"/>
        </w:rPr>
        <w:t>).</w:t>
      </w:r>
      <w:hyperlink r:id="rId16" w:history="1"/>
    </w:p>
    <w:p w14:paraId="5819AF36" w14:textId="77777777" w:rsidR="00574A2E" w:rsidRPr="004B493C" w:rsidRDefault="00574A2E" w:rsidP="00C54926">
      <w:pPr>
        <w:jc w:val="both"/>
        <w:rPr>
          <w:rFonts w:cstheme="minorBidi"/>
          <w:lang w:val="es-ES"/>
        </w:rPr>
      </w:pPr>
      <w:r w:rsidRPr="004B493C">
        <w:rPr>
          <w:lang w:val="es-ES"/>
        </w:rPr>
        <w:t xml:space="preserve">No obstante, las enseñanzas extraídas de la Conferencia Mundial de Desarrollo de las Telecomunicaciones de 2025 (CMDT-25) ponen de manifiesto que todavía hay margen de mejora. Por ejemplo, algunos grupos </w:t>
      </w:r>
      <w:r w:rsidRPr="004B493C">
        <w:rPr>
          <w:i/>
          <w:iCs/>
          <w:lang w:val="es-ES"/>
        </w:rPr>
        <w:t>ad hoc</w:t>
      </w:r>
      <w:r w:rsidRPr="004B493C">
        <w:rPr>
          <w:lang w:val="es-ES"/>
        </w:rPr>
        <w:t xml:space="preserve"> tuvieron dificultades para concluir los trabajos del día a pesar del horario de trabajo acordado para la conferencia, el horario de funcionamiento del centro de conferencias y el horario de los autobuses lanzadera, y las múltiples solicitudes de palabra de los Estados Miembros para dar por terminadas las reuniones.</w:t>
      </w:r>
    </w:p>
    <w:p w14:paraId="6C638B46" w14:textId="02765FB9" w:rsidR="00574A2E" w:rsidRPr="004B493C" w:rsidRDefault="00574A2E" w:rsidP="00C54926">
      <w:pPr>
        <w:jc w:val="both"/>
        <w:rPr>
          <w:lang w:val="es-ES"/>
        </w:rPr>
      </w:pPr>
      <w:r w:rsidRPr="004B493C">
        <w:rPr>
          <w:lang w:val="es-ES"/>
        </w:rPr>
        <w:t xml:space="preserve">En la actualidad no existen mecanismos oficiales para hacer frente a estas dificultades. Es interesante señalar que en las "Directrices sobre la gestión de reuniones plenamente virtuales y reuniones presenciales con participación a distancia" (Anexo B al Documento </w:t>
      </w:r>
      <w:hyperlink r:id="rId17" w:history="1">
        <w:proofErr w:type="spellStart"/>
        <w:r w:rsidRPr="004B493C">
          <w:rPr>
            <w:rStyle w:val="Hyperlink"/>
            <w:lang w:val="es-ES"/>
          </w:rPr>
          <w:t>C25</w:t>
        </w:r>
        <w:proofErr w:type="spellEnd"/>
        <w:r w:rsidRPr="004B493C">
          <w:rPr>
            <w:rStyle w:val="Hyperlink"/>
            <w:lang w:val="es-ES"/>
          </w:rPr>
          <w:t>/105</w:t>
        </w:r>
      </w:hyperlink>
      <w:r w:rsidRPr="004B493C">
        <w:rPr>
          <w:lang w:val="es-ES"/>
        </w:rPr>
        <w:t>) se definen las horas de trabajo principales de las reuniones presenciales con participación a distancia, así como de las reuniones totalmente virtuales, pero no existen normas semejantes para el desarrollo de las conferencias y asambleas de la UIT.</w:t>
      </w:r>
      <w:hyperlink r:id="rId18" w:history="1"/>
    </w:p>
    <w:p w14:paraId="41E2E268" w14:textId="77777777" w:rsidR="00574A2E" w:rsidRPr="004B493C" w:rsidRDefault="00574A2E" w:rsidP="00C54926">
      <w:pPr>
        <w:jc w:val="both"/>
        <w:rPr>
          <w:lang w:val="es-ES"/>
        </w:rPr>
      </w:pPr>
      <w:r w:rsidRPr="004B493C">
        <w:rPr>
          <w:lang w:val="es-ES"/>
        </w:rPr>
        <w:t>Esta cuestión no debería dejarse en manos de determinaciones caso por caso entre la Secretaría y el país anfitrión en cada conferencia y asamblea. Acogemos con agrado y apreciamos los esfuerzos en curso para continuar con las prácticas idóneas de gestión del tiempo y, por lo tanto, creemos que estas medidas deberían oficializarse para garantizar un enfoque uniforme en todas las conferencias y asambleas de la UIT en el futuro.</w:t>
      </w:r>
    </w:p>
    <w:p w14:paraId="381491DD" w14:textId="77777777" w:rsidR="00574A2E" w:rsidRPr="004B493C" w:rsidRDefault="00574A2E" w:rsidP="002807E4">
      <w:pPr>
        <w:pStyle w:val="Headingb"/>
        <w:rPr>
          <w:lang w:val="es-ES"/>
        </w:rPr>
      </w:pPr>
      <w:r w:rsidRPr="004B493C">
        <w:rPr>
          <w:lang w:val="es-ES"/>
        </w:rPr>
        <w:t>Propuesta</w:t>
      </w:r>
    </w:p>
    <w:p w14:paraId="082C9C36" w14:textId="16AEAACC" w:rsidR="00574A2E" w:rsidRPr="004B493C" w:rsidRDefault="00574A2E" w:rsidP="00C54926">
      <w:pPr>
        <w:jc w:val="both"/>
        <w:rPr>
          <w:lang w:val="es-ES"/>
        </w:rPr>
      </w:pPr>
      <w:r w:rsidRPr="004B493C">
        <w:rPr>
          <w:lang w:val="es-ES"/>
        </w:rPr>
        <w:t>A fin de trabajar en esta cuestión, no sería factible proponer revisiones a la(s) Resolución(es) pertinente(s) de Conferencias de Plenipotenciario a tiempo para que esos cambios pudieran aplicarse en la propia PP-26.</w:t>
      </w:r>
    </w:p>
    <w:p w14:paraId="32717DB0" w14:textId="2A341EDB" w:rsidR="00574A2E" w:rsidRPr="004B493C" w:rsidRDefault="00574A2E" w:rsidP="00C54926">
      <w:pPr>
        <w:jc w:val="both"/>
        <w:rPr>
          <w:lang w:val="es-ES"/>
        </w:rPr>
      </w:pPr>
      <w:r w:rsidRPr="004B493C">
        <w:rPr>
          <w:lang w:val="es-ES"/>
        </w:rPr>
        <w:lastRenderedPageBreak/>
        <w:t>Por consiguiente, los Estados Unidos proponen una nueva Resolución del Consejo sobre la gestión clara, coherente y respetuosa del tiempo de las conferencias y asambleas de la UIT (adjunta).</w:t>
      </w:r>
    </w:p>
    <w:p w14:paraId="46EF9A03" w14:textId="77777777" w:rsidR="00574A2E" w:rsidRPr="004B493C" w:rsidRDefault="00574A2E" w:rsidP="00C54926">
      <w:pPr>
        <w:jc w:val="both"/>
        <w:rPr>
          <w:lang w:val="es-ES"/>
        </w:rPr>
      </w:pPr>
      <w:r w:rsidRPr="004B493C">
        <w:rPr>
          <w:lang w:val="es-ES"/>
        </w:rPr>
        <w:t>De este modo se proporcionaría una orientación coherente a las Comisiones de Dirección (Comisión 1) de todas las conferencias y asambleas de la UIT para que adopten fácilmente las mismas prácticas y procedimientos.</w:t>
      </w:r>
    </w:p>
    <w:p w14:paraId="70F42D18" w14:textId="3CE11EA5" w:rsidR="00574A2E" w:rsidRDefault="00574A2E" w:rsidP="00C54926">
      <w:pPr>
        <w:jc w:val="both"/>
        <w:rPr>
          <w:lang w:val="es-ES"/>
        </w:rPr>
      </w:pPr>
      <w:r w:rsidRPr="004B493C">
        <w:rPr>
          <w:lang w:val="es-ES"/>
        </w:rPr>
        <w:t>Al mismo tiempo, alentamos a los Estados Miembros a que, en sus procesos preparatorios nacionales y regionales para la PP-26, consideren la posibilidad de revisar la(s) Resolución(es) pertinente(s) de la Conferencia de Plenipotenciarios para resolver de manera más definitiva las cuestiones planteadas en esta contribución.</w:t>
      </w:r>
    </w:p>
    <w:p w14:paraId="23616FE4" w14:textId="7C2F3956" w:rsidR="00107434" w:rsidRDefault="00107434" w:rsidP="00C54926">
      <w:pPr>
        <w:jc w:val="both"/>
        <w:rPr>
          <w:lang w:val="es-ES"/>
        </w:rPr>
      </w:pPr>
      <w:r>
        <w:rPr>
          <w:lang w:val="es-ES"/>
        </w:rPr>
        <w:br w:type="page"/>
      </w:r>
    </w:p>
    <w:p w14:paraId="6272E0E9" w14:textId="77777777" w:rsidR="00574A2E" w:rsidRPr="004B493C" w:rsidRDefault="00574A2E" w:rsidP="00574A2E">
      <w:pPr>
        <w:pStyle w:val="AnnexNo"/>
        <w:rPr>
          <w:lang w:val="es-ES"/>
        </w:rPr>
      </w:pPr>
      <w:r w:rsidRPr="004B493C">
        <w:rPr>
          <w:lang w:val="es-ES"/>
        </w:rPr>
        <w:lastRenderedPageBreak/>
        <w:t>Adjunto</w:t>
      </w:r>
    </w:p>
    <w:p w14:paraId="6C2B39C3" w14:textId="77777777" w:rsidR="00574A2E" w:rsidRPr="004B493C" w:rsidRDefault="00574A2E" w:rsidP="00767C37">
      <w:pPr>
        <w:pStyle w:val="Annextitle"/>
        <w:rPr>
          <w:lang w:val="es-ES"/>
        </w:rPr>
      </w:pPr>
      <w:r w:rsidRPr="004B493C">
        <w:rPr>
          <w:lang w:val="es-ES"/>
        </w:rPr>
        <w:t>Propuesta de nueva Resolución del Consejo</w:t>
      </w:r>
    </w:p>
    <w:p w14:paraId="5153D5FD" w14:textId="77777777" w:rsidR="00574A2E" w:rsidRPr="004B493C" w:rsidRDefault="00574A2E" w:rsidP="002807E4">
      <w:pPr>
        <w:pStyle w:val="ResNo"/>
        <w:rPr>
          <w:lang w:val="es-ES"/>
        </w:rPr>
      </w:pPr>
      <w:r w:rsidRPr="004B493C">
        <w:rPr>
          <w:lang w:val="es-ES"/>
        </w:rPr>
        <w:t>Proyecto de nueva RESOLUCIÓN [...]</w:t>
      </w:r>
    </w:p>
    <w:p w14:paraId="18453756" w14:textId="4D44ECC3" w:rsidR="00574A2E" w:rsidRPr="004B493C" w:rsidRDefault="00574A2E" w:rsidP="002807E4">
      <w:pPr>
        <w:pStyle w:val="Restitle"/>
        <w:rPr>
          <w:lang w:val="es-ES"/>
        </w:rPr>
      </w:pPr>
      <w:r w:rsidRPr="004B493C">
        <w:rPr>
          <w:lang w:val="es-ES"/>
        </w:rPr>
        <w:t xml:space="preserve">Gestión clara, coherente y respetuosa del tiempo </w:t>
      </w:r>
      <w:r w:rsidR="00767C37" w:rsidRPr="004B493C">
        <w:rPr>
          <w:lang w:val="es-ES"/>
        </w:rPr>
        <w:br/>
      </w:r>
      <w:r w:rsidRPr="004B493C">
        <w:rPr>
          <w:lang w:val="es-ES"/>
        </w:rPr>
        <w:t>de las conferencias y asambleas de la UIT</w:t>
      </w:r>
    </w:p>
    <w:p w14:paraId="32688B5A" w14:textId="77777777" w:rsidR="00574A2E" w:rsidRPr="004B493C" w:rsidRDefault="00574A2E" w:rsidP="00574A2E">
      <w:pPr>
        <w:pStyle w:val="Normalaftertitle"/>
        <w:rPr>
          <w:lang w:val="es-ES"/>
        </w:rPr>
      </w:pPr>
      <w:r w:rsidRPr="004B493C">
        <w:rPr>
          <w:lang w:val="es-ES"/>
        </w:rPr>
        <w:t>El Consejo de la UIT,</w:t>
      </w:r>
    </w:p>
    <w:p w14:paraId="6FB6BC81" w14:textId="77777777" w:rsidR="00574A2E" w:rsidRPr="004B493C" w:rsidRDefault="00574A2E" w:rsidP="00574A2E">
      <w:pPr>
        <w:pStyle w:val="Call"/>
        <w:rPr>
          <w:lang w:val="es-ES"/>
        </w:rPr>
      </w:pPr>
      <w:r w:rsidRPr="004B493C">
        <w:rPr>
          <w:lang w:val="es-ES"/>
        </w:rPr>
        <w:t>reconociendo</w:t>
      </w:r>
    </w:p>
    <w:p w14:paraId="506AA5A3" w14:textId="77777777" w:rsidR="00574A2E" w:rsidRPr="004B493C" w:rsidRDefault="00574A2E" w:rsidP="00C54926">
      <w:pPr>
        <w:jc w:val="both"/>
        <w:rPr>
          <w:lang w:val="es-ES"/>
        </w:rPr>
      </w:pPr>
      <w:r w:rsidRPr="004B493C">
        <w:rPr>
          <w:i/>
          <w:iCs/>
          <w:lang w:val="es-ES"/>
        </w:rPr>
        <w:t>a)</w:t>
      </w:r>
      <w:r w:rsidRPr="004B493C">
        <w:rPr>
          <w:lang w:val="es-ES"/>
        </w:rPr>
        <w:tab/>
        <w:t>los esfuerzos en curso para aplicar medidas eficaces sobre la gestión del tiempo y la mejora de los procesos conexos en las conferencias y asambleas de la UIT, a fin de fomentar un entorno de trabajo más sostenible;</w:t>
      </w:r>
    </w:p>
    <w:p w14:paraId="266132F6" w14:textId="77777777" w:rsidR="00574A2E" w:rsidRPr="004B493C" w:rsidRDefault="00574A2E" w:rsidP="00C54926">
      <w:pPr>
        <w:jc w:val="both"/>
        <w:rPr>
          <w:lang w:val="es-ES"/>
        </w:rPr>
      </w:pPr>
      <w:r w:rsidRPr="004B493C">
        <w:rPr>
          <w:i/>
          <w:iCs/>
          <w:lang w:val="es-ES"/>
        </w:rPr>
        <w:t>b)</w:t>
      </w:r>
      <w:r w:rsidRPr="004B493C">
        <w:rPr>
          <w:lang w:val="es-ES"/>
        </w:rPr>
        <w:tab/>
        <w:t xml:space="preserve">el interés generalizado entre los Estados Miembros por programar las reuniones dentro de horarios razonables, evitar las reuniones tardías en la noche y evitar los fines de semana, y dentro los plazos establecidos, ya sea para intervenciones individuales o para debates o grupos </w:t>
      </w:r>
      <w:r w:rsidRPr="004B493C">
        <w:rPr>
          <w:i/>
          <w:iCs/>
          <w:lang w:val="es-ES"/>
        </w:rPr>
        <w:t>ad hoc</w:t>
      </w:r>
      <w:r w:rsidRPr="004B493C">
        <w:rPr>
          <w:lang w:val="es-ES"/>
        </w:rPr>
        <w:t xml:space="preserve"> específicos,</w:t>
      </w:r>
    </w:p>
    <w:p w14:paraId="79ECCB8C" w14:textId="77777777" w:rsidR="00574A2E" w:rsidRPr="004B493C" w:rsidRDefault="00574A2E" w:rsidP="00574A2E">
      <w:pPr>
        <w:pStyle w:val="Call"/>
        <w:rPr>
          <w:lang w:val="es-ES"/>
        </w:rPr>
      </w:pPr>
      <w:r w:rsidRPr="004B493C">
        <w:rPr>
          <w:lang w:val="es-ES"/>
        </w:rPr>
        <w:t>considerando</w:t>
      </w:r>
    </w:p>
    <w:p w14:paraId="0C49C54E" w14:textId="77777777" w:rsidR="00574A2E" w:rsidRPr="004B493C" w:rsidRDefault="00574A2E" w:rsidP="00C54926">
      <w:pPr>
        <w:jc w:val="both"/>
        <w:rPr>
          <w:lang w:val="es-ES"/>
        </w:rPr>
      </w:pPr>
      <w:r w:rsidRPr="004B493C">
        <w:rPr>
          <w:i/>
          <w:iCs/>
          <w:lang w:val="es-ES"/>
        </w:rPr>
        <w:t>a)</w:t>
      </w:r>
      <w:r w:rsidRPr="004B493C">
        <w:rPr>
          <w:lang w:val="es-ES"/>
        </w:rPr>
        <w:tab/>
        <w:t>que no existen normas oficiales que rijan la gestión del tiempo en las conferencias y asambleas de la UIT, la cual, pese a la evolución de las prácticas idóneas, se sigue dejando a la discreción de la Secretaría y del país anfitrión en cada conferencia y asamblea, caso por caso;</w:t>
      </w:r>
    </w:p>
    <w:p w14:paraId="0522F62A" w14:textId="77777777" w:rsidR="00574A2E" w:rsidRPr="004B493C" w:rsidRDefault="00574A2E" w:rsidP="00C54926">
      <w:pPr>
        <w:jc w:val="both"/>
        <w:rPr>
          <w:lang w:val="es-ES"/>
        </w:rPr>
      </w:pPr>
      <w:r w:rsidRPr="004B493C">
        <w:rPr>
          <w:i/>
          <w:iCs/>
          <w:lang w:val="es-ES"/>
        </w:rPr>
        <w:t>b)</w:t>
      </w:r>
      <w:r w:rsidRPr="004B493C">
        <w:rPr>
          <w:lang w:val="es-ES"/>
        </w:rPr>
        <w:tab/>
        <w:t>las ventajas de un enfoque claro y coherente de la gestión del tiempo en todas las conferencias y asambleas de la UIT,</w:t>
      </w:r>
    </w:p>
    <w:p w14:paraId="294A5EE8" w14:textId="644BEE50" w:rsidR="00574A2E" w:rsidRPr="004B493C" w:rsidRDefault="00574A2E" w:rsidP="00574A2E">
      <w:pPr>
        <w:pStyle w:val="Call"/>
        <w:rPr>
          <w:lang w:val="es-ES"/>
        </w:rPr>
      </w:pPr>
      <w:r w:rsidRPr="004B493C">
        <w:rPr>
          <w:lang w:val="es-ES"/>
        </w:rPr>
        <w:t>resuelve</w:t>
      </w:r>
    </w:p>
    <w:p w14:paraId="2527C638" w14:textId="50026314" w:rsidR="00574A2E" w:rsidRPr="004B493C" w:rsidRDefault="00574A2E" w:rsidP="00C54926">
      <w:pPr>
        <w:jc w:val="both"/>
        <w:rPr>
          <w:lang w:val="es-ES"/>
        </w:rPr>
      </w:pPr>
      <w:r w:rsidRPr="004B493C">
        <w:rPr>
          <w:lang w:val="es-ES"/>
        </w:rPr>
        <w:t>1</w:t>
      </w:r>
      <w:r w:rsidRPr="004B493C">
        <w:rPr>
          <w:lang w:val="es-ES"/>
        </w:rPr>
        <w:tab/>
        <w:t>que los días de trabajo de las conferencias y asambleas de la UIT sean de lunes a viernes, más los sábados o domingos si se estima necesario, con un día de descanso de fin de semana como mínimo;</w:t>
      </w:r>
    </w:p>
    <w:p w14:paraId="01EC2751" w14:textId="069FE550" w:rsidR="00574A2E" w:rsidRPr="004B493C" w:rsidRDefault="00574A2E" w:rsidP="00C54926">
      <w:pPr>
        <w:jc w:val="both"/>
        <w:rPr>
          <w:lang w:val="es-ES"/>
        </w:rPr>
      </w:pPr>
      <w:r w:rsidRPr="004B493C">
        <w:rPr>
          <w:lang w:val="es-ES"/>
        </w:rPr>
        <w:t>2</w:t>
      </w:r>
      <w:r w:rsidRPr="004B493C">
        <w:rPr>
          <w:lang w:val="es-ES"/>
        </w:rPr>
        <w:tab/>
        <w:t>que el horario de trabajo de las conferencias y asambleas de la UIT no exceda de las 08.00 a las 22.00 horas, sino que sea lo más corto posible, dependiendo de la carga de trabajo;</w:t>
      </w:r>
    </w:p>
    <w:p w14:paraId="5BAD0127" w14:textId="3F2CE8E2" w:rsidR="00574A2E" w:rsidRPr="004B493C" w:rsidRDefault="00574A2E" w:rsidP="00C54926">
      <w:pPr>
        <w:jc w:val="both"/>
        <w:rPr>
          <w:lang w:val="es-ES"/>
        </w:rPr>
      </w:pPr>
      <w:r w:rsidRPr="004B493C">
        <w:rPr>
          <w:lang w:val="es-ES"/>
        </w:rPr>
        <w:t>3</w:t>
      </w:r>
      <w:r w:rsidRPr="004B493C">
        <w:rPr>
          <w:lang w:val="es-ES"/>
        </w:rPr>
        <w:tab/>
        <w:t xml:space="preserve">que en los planes de gestión del tiempo de las conferencias y asambleas de la UIT se evite programar reuniones paralelas sobre temas conexos y se reduzca al mínimo, en la medida de lo posible, el número de reuniones simultáneas de grupos </w:t>
      </w:r>
      <w:r w:rsidRPr="004B493C">
        <w:rPr>
          <w:i/>
          <w:iCs/>
          <w:lang w:val="es-ES"/>
        </w:rPr>
        <w:t>ad hoc</w:t>
      </w:r>
      <w:r w:rsidRPr="004B493C">
        <w:rPr>
          <w:lang w:val="es-ES"/>
        </w:rPr>
        <w:t xml:space="preserve"> y grupos oficiosos;</w:t>
      </w:r>
    </w:p>
    <w:p w14:paraId="17120DE3" w14:textId="77777777" w:rsidR="00574A2E" w:rsidRPr="004B493C" w:rsidRDefault="00574A2E" w:rsidP="00C54926">
      <w:pPr>
        <w:jc w:val="both"/>
        <w:rPr>
          <w:lang w:val="es-ES"/>
        </w:rPr>
      </w:pPr>
      <w:r w:rsidRPr="004B493C">
        <w:rPr>
          <w:lang w:val="es-ES"/>
        </w:rPr>
        <w:t>4</w:t>
      </w:r>
      <w:r w:rsidRPr="004B493C">
        <w:rPr>
          <w:lang w:val="es-ES"/>
        </w:rPr>
        <w:tab/>
        <w:t xml:space="preserve">que los Presidentes de las Comisiones fijen plazos concretos (es decir, un número determinado de reuniones y un número determinado de horas cada una) dentro de los cuales los grupos </w:t>
      </w:r>
      <w:r w:rsidRPr="004B493C">
        <w:rPr>
          <w:i/>
          <w:iCs/>
          <w:lang w:val="es-ES"/>
        </w:rPr>
        <w:t>ad hoc</w:t>
      </w:r>
      <w:r w:rsidRPr="004B493C">
        <w:rPr>
          <w:lang w:val="es-ES"/>
        </w:rPr>
        <w:t xml:space="preserve"> y los grupos oficiosos deban concluir sus trabajos;</w:t>
      </w:r>
    </w:p>
    <w:p w14:paraId="2AAB8A58" w14:textId="77777777" w:rsidR="00574A2E" w:rsidRPr="004B493C" w:rsidRDefault="00574A2E" w:rsidP="00C54926">
      <w:pPr>
        <w:jc w:val="both"/>
        <w:rPr>
          <w:lang w:val="es-ES"/>
        </w:rPr>
      </w:pPr>
      <w:r w:rsidRPr="004B493C">
        <w:rPr>
          <w:lang w:val="es-ES"/>
        </w:rPr>
        <w:t>5</w:t>
      </w:r>
      <w:r w:rsidRPr="004B493C">
        <w:rPr>
          <w:lang w:val="es-ES"/>
        </w:rPr>
        <w:tab/>
        <w:t>que la Secretaría ayude a los Presidentes a respetar estrictamente los plazos establecidos,</w:t>
      </w:r>
    </w:p>
    <w:p w14:paraId="11E71362" w14:textId="77777777" w:rsidR="00574A2E" w:rsidRPr="004B493C" w:rsidRDefault="00574A2E" w:rsidP="002807E4">
      <w:pPr>
        <w:pStyle w:val="Call"/>
        <w:rPr>
          <w:lang w:val="es-ES"/>
        </w:rPr>
      </w:pPr>
      <w:r w:rsidRPr="004B493C">
        <w:rPr>
          <w:lang w:val="es-ES"/>
        </w:rPr>
        <w:lastRenderedPageBreak/>
        <w:t>invita</w:t>
      </w:r>
    </w:p>
    <w:p w14:paraId="68DF6007" w14:textId="030E5785" w:rsidR="00574A2E" w:rsidRPr="004B493C" w:rsidRDefault="00574A2E" w:rsidP="00C54926">
      <w:pPr>
        <w:jc w:val="both"/>
        <w:rPr>
          <w:lang w:val="es-ES"/>
        </w:rPr>
      </w:pPr>
      <w:r w:rsidRPr="004B493C">
        <w:rPr>
          <w:lang w:val="es-ES"/>
        </w:rPr>
        <w:t>a la Comisión de Dirección (Comisión 1) que adopte uniformemente estas prácticas y procedimientos al comienzo de cada conferencia y asamblea de la UIT.</w:t>
      </w:r>
    </w:p>
    <w:p w14:paraId="338E67BD" w14:textId="77777777" w:rsidR="00574A2E" w:rsidRPr="004B493C" w:rsidRDefault="00574A2E" w:rsidP="00411C49">
      <w:pPr>
        <w:pStyle w:val="Reasons"/>
        <w:rPr>
          <w:lang w:val="es-ES"/>
        </w:rPr>
      </w:pPr>
    </w:p>
    <w:p w14:paraId="792E9ED7" w14:textId="77777777" w:rsidR="00574A2E" w:rsidRPr="004B493C" w:rsidRDefault="00574A2E">
      <w:pPr>
        <w:jc w:val="center"/>
        <w:rPr>
          <w:lang w:val="es-ES"/>
        </w:rPr>
      </w:pPr>
      <w:r w:rsidRPr="004B493C">
        <w:rPr>
          <w:lang w:val="es-ES"/>
        </w:rPr>
        <w:t>______________</w:t>
      </w:r>
    </w:p>
    <w:sectPr w:rsidR="00574A2E" w:rsidRPr="004B493C" w:rsidSect="00C538FC">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7477" w14:textId="77777777" w:rsidR="00574A2E" w:rsidRDefault="00574A2E">
      <w:r>
        <w:separator/>
      </w:r>
    </w:p>
  </w:endnote>
  <w:endnote w:type="continuationSeparator" w:id="0">
    <w:p w14:paraId="6CD3AE00" w14:textId="77777777" w:rsidR="00574A2E" w:rsidRDefault="0057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8C16AF4" w14:textId="77777777" w:rsidTr="00E31DCE">
      <w:trPr>
        <w:jc w:val="center"/>
      </w:trPr>
      <w:tc>
        <w:tcPr>
          <w:tcW w:w="1803" w:type="dxa"/>
          <w:vAlign w:val="center"/>
        </w:tcPr>
        <w:p w14:paraId="68465CE9" w14:textId="4AF8BC70" w:rsidR="003273A4" w:rsidRDefault="00574A2E" w:rsidP="003273A4">
          <w:pPr>
            <w:pStyle w:val="Header"/>
            <w:jc w:val="left"/>
            <w:rPr>
              <w:noProof/>
            </w:rPr>
          </w:pPr>
          <w:r>
            <w:rPr>
              <w:noProof/>
            </w:rPr>
            <w:t>2600943</w:t>
          </w:r>
        </w:p>
      </w:tc>
      <w:tc>
        <w:tcPr>
          <w:tcW w:w="8261" w:type="dxa"/>
        </w:tcPr>
        <w:p w14:paraId="6E67374D" w14:textId="41AA6A4B"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574A2E">
            <w:rPr>
              <w:bCs/>
            </w:rPr>
            <w:t>97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F30CE5B"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D9C25F2" w14:textId="77777777" w:rsidTr="00E31DCE">
      <w:trPr>
        <w:jc w:val="center"/>
      </w:trPr>
      <w:tc>
        <w:tcPr>
          <w:tcW w:w="1803" w:type="dxa"/>
          <w:vAlign w:val="center"/>
        </w:tcPr>
        <w:p w14:paraId="12B8A9EF"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515BE63A" w14:textId="63779345"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574A2E">
            <w:rPr>
              <w:bCs/>
            </w:rPr>
            <w:t>97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A689DCF"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E9DA" w14:textId="77777777" w:rsidR="00574A2E" w:rsidRDefault="00574A2E">
      <w:r>
        <w:t>____________________</w:t>
      </w:r>
    </w:p>
  </w:footnote>
  <w:footnote w:type="continuationSeparator" w:id="0">
    <w:p w14:paraId="15EBC0CE" w14:textId="77777777" w:rsidR="00574A2E" w:rsidRDefault="0057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C066" w14:textId="77777777" w:rsidR="001559F5" w:rsidRPr="00B1560D" w:rsidRDefault="00B1560D" w:rsidP="00B1560D">
    <w:pPr>
      <w:pStyle w:val="Header"/>
    </w:pPr>
    <w:r>
      <w:rPr>
        <w:noProof/>
      </w:rPr>
      <w:drawing>
        <wp:inline distT="0" distB="0" distL="0" distR="0" wp14:anchorId="35BFA5FF" wp14:editId="1450047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2E"/>
    <w:rsid w:val="000007D1"/>
    <w:rsid w:val="0006007D"/>
    <w:rsid w:val="00093EEB"/>
    <w:rsid w:val="000B0D00"/>
    <w:rsid w:val="000B7C15"/>
    <w:rsid w:val="000D1D0F"/>
    <w:rsid w:val="000E3F07"/>
    <w:rsid w:val="000F5290"/>
    <w:rsid w:val="000F5A95"/>
    <w:rsid w:val="0010165C"/>
    <w:rsid w:val="00107434"/>
    <w:rsid w:val="00146BFB"/>
    <w:rsid w:val="001559F5"/>
    <w:rsid w:val="00157AC4"/>
    <w:rsid w:val="0016169C"/>
    <w:rsid w:val="001958F5"/>
    <w:rsid w:val="001B6E2B"/>
    <w:rsid w:val="001F14A2"/>
    <w:rsid w:val="0022797A"/>
    <w:rsid w:val="00277DEA"/>
    <w:rsid w:val="002801AA"/>
    <w:rsid w:val="002807E4"/>
    <w:rsid w:val="002946E2"/>
    <w:rsid w:val="002C3F32"/>
    <w:rsid w:val="002C4676"/>
    <w:rsid w:val="002C70B0"/>
    <w:rsid w:val="002F3CC4"/>
    <w:rsid w:val="003032E2"/>
    <w:rsid w:val="0031300A"/>
    <w:rsid w:val="003273A4"/>
    <w:rsid w:val="0034796E"/>
    <w:rsid w:val="00446E8D"/>
    <w:rsid w:val="004571B0"/>
    <w:rsid w:val="00465C35"/>
    <w:rsid w:val="00473962"/>
    <w:rsid w:val="004B493C"/>
    <w:rsid w:val="004B5D49"/>
    <w:rsid w:val="004D3A3C"/>
    <w:rsid w:val="00513630"/>
    <w:rsid w:val="00560125"/>
    <w:rsid w:val="00574A2E"/>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55194"/>
    <w:rsid w:val="00760F1C"/>
    <w:rsid w:val="007611C0"/>
    <w:rsid w:val="007657F0"/>
    <w:rsid w:val="00767C37"/>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4926"/>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A2D7B"/>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C3534B"/>
  <w15:docId w15:val="{2700ACB9-F956-4002-9EDE-A3C28247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C54926"/>
    <w:pPr>
      <w:framePr w:hSpace="181" w:wrap="around" w:vAnchor="page" w:hAnchor="page" w:x="1589" w:y="2314"/>
      <w:spacing w:before="840"/>
    </w:pPr>
    <w:rPr>
      <w:rFonts w:cstheme="minorHAnsi"/>
      <w:b/>
      <w:bCs/>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04/es" TargetMode="External"/><Relationship Id="rId13" Type="http://schemas.openxmlformats.org/officeDocument/2006/relationships/hyperlink" Target="https://www.itu.int/md/S24-CL-C-0004/en" TargetMode="External"/><Relationship Id="rId18" Type="http://schemas.openxmlformats.org/officeDocument/2006/relationships/hyperlink" Target="https://www.itu.int/md/S25-CL-C-0105/en"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itu.int/md/S24-CL-C-0113/en" TargetMode="External"/><Relationship Id="rId12" Type="http://schemas.openxmlformats.org/officeDocument/2006/relationships/hyperlink" Target="https://www.itu.int/md/S25-CL-C-0004/es" TargetMode="External"/><Relationship Id="rId17" Type="http://schemas.openxmlformats.org/officeDocument/2006/relationships/hyperlink" Target="https://www.itu.int/md/S25-CL-C-0105/es" TargetMode="External"/><Relationship Id="rId2" Type="http://schemas.openxmlformats.org/officeDocument/2006/relationships/settings" Target="settings.xml"/><Relationship Id="rId16" Type="http://schemas.openxmlformats.org/officeDocument/2006/relationships/hyperlink" Target="https://www.itu.int/md/T22-WTSA.24-INF-0003/en"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itu.int/md/S24-CL-C-0004/es" TargetMode="External"/><Relationship Id="rId11" Type="http://schemas.openxmlformats.org/officeDocument/2006/relationships/hyperlink" Target="https://www.itu.int/md/S24-CL-C-0113/es" TargetMode="External"/><Relationship Id="rId5" Type="http://schemas.openxmlformats.org/officeDocument/2006/relationships/endnotes" Target="endnotes.xml"/><Relationship Id="rId15" Type="http://schemas.openxmlformats.org/officeDocument/2006/relationships/hyperlink" Target="https://www.itu.int/md/S25-CL-C-0004/en" TargetMode="External"/><Relationship Id="rId23" Type="http://schemas.openxmlformats.org/officeDocument/2006/relationships/theme" Target="theme/theme1.xml"/><Relationship Id="rId10" Type="http://schemas.openxmlformats.org/officeDocument/2006/relationships/hyperlink" Target="https://www.itu.int/md/S25-CL-C-0105/e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T22-WTSA.24-INF-0003/es" TargetMode="External"/><Relationship Id="rId14" Type="http://schemas.openxmlformats.org/officeDocument/2006/relationships/hyperlink" Target="https://www.itu.int/md/S24-CL-C-0113/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11</TotalTime>
  <Pages>5</Pages>
  <Words>1253</Words>
  <Characters>7411</Characters>
  <Application>Microsoft Office Word</Application>
  <DocSecurity>0</DocSecurity>
  <Lines>164</Lines>
  <Paragraphs>78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8586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Gestión clara, coherente y respetuosa del tiempo de las conferencias y asambleas de la UIT</dc:title>
  <dc:subject>Consejo 2026 de la UIT</dc:subject>
  <cp:keywords>C26; C2026; Council 2026; PP26</cp:keywords>
  <dc:description/>
  <cp:lastPrinted>2006-03-24T09:51:00Z</cp:lastPrinted>
  <dcterms:created xsi:type="dcterms:W3CDTF">2026-04-21T15:42:00Z</dcterms:created>
  <dcterms:modified xsi:type="dcterms:W3CDTF">2026-04-21T15:53:00Z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