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1F60DD" w14:paraId="703939D1" w14:textId="77777777" w:rsidTr="00C4421B">
        <w:trPr>
          <w:cantSplit/>
          <w:trHeight w:val="23"/>
        </w:trPr>
        <w:tc>
          <w:tcPr>
            <w:tcW w:w="3969" w:type="dxa"/>
            <w:vMerge w:val="restart"/>
            <w:tcMar>
              <w:left w:w="0" w:type="dxa"/>
            </w:tcMar>
          </w:tcPr>
          <w:p w14:paraId="2251B49E" w14:textId="279DD648" w:rsidR="00FE57F6" w:rsidRPr="001F60DD" w:rsidRDefault="00CC1FAF" w:rsidP="00C4421B">
            <w:pPr>
              <w:tabs>
                <w:tab w:val="left" w:pos="851"/>
              </w:tabs>
              <w:spacing w:before="0" w:line="240" w:lineRule="atLeast"/>
              <w:rPr>
                <w:b/>
                <w:lang w:val="es-ES"/>
              </w:rPr>
            </w:pPr>
            <w:bookmarkStart w:id="0" w:name="_Hlk133421839"/>
            <w:r w:rsidRPr="001F60DD">
              <w:rPr>
                <w:b/>
                <w:lang w:val="es-ES"/>
              </w:rPr>
              <w:t>Punto del o</w:t>
            </w:r>
            <w:r w:rsidR="00BB6FD8" w:rsidRPr="001F60DD">
              <w:rPr>
                <w:b/>
                <w:lang w:val="es-ES"/>
              </w:rPr>
              <w:t>rden del día</w:t>
            </w:r>
            <w:r w:rsidR="00FE57F6" w:rsidRPr="001F60DD">
              <w:rPr>
                <w:b/>
                <w:lang w:val="es-ES"/>
              </w:rPr>
              <w:t xml:space="preserve">: </w:t>
            </w:r>
            <w:r w:rsidR="00B07352" w:rsidRPr="001F60DD">
              <w:rPr>
                <w:b/>
                <w:lang w:val="es-ES"/>
              </w:rPr>
              <w:t>AMD 1</w:t>
            </w:r>
          </w:p>
        </w:tc>
        <w:tc>
          <w:tcPr>
            <w:tcW w:w="5245" w:type="dxa"/>
          </w:tcPr>
          <w:p w14:paraId="338AD5CF" w14:textId="77B1CCF9" w:rsidR="00FE57F6" w:rsidRPr="001F60DD" w:rsidRDefault="00FE57F6" w:rsidP="00C4421B">
            <w:pPr>
              <w:tabs>
                <w:tab w:val="left" w:pos="851"/>
              </w:tabs>
              <w:spacing w:before="0" w:line="240" w:lineRule="atLeast"/>
              <w:jc w:val="right"/>
              <w:rPr>
                <w:b/>
                <w:lang w:val="es-ES"/>
              </w:rPr>
            </w:pPr>
            <w:r w:rsidRPr="001F60DD">
              <w:rPr>
                <w:b/>
                <w:lang w:val="es-ES"/>
              </w:rPr>
              <w:t>Document</w:t>
            </w:r>
            <w:r w:rsidR="00F24B71" w:rsidRPr="001F60DD">
              <w:rPr>
                <w:b/>
                <w:lang w:val="es-ES"/>
              </w:rPr>
              <w:t>o</w:t>
            </w:r>
            <w:r w:rsidRPr="001F60DD">
              <w:rPr>
                <w:b/>
                <w:lang w:val="es-ES"/>
              </w:rPr>
              <w:t xml:space="preserve"> C2</w:t>
            </w:r>
            <w:r w:rsidR="00F85E5C" w:rsidRPr="001F60DD">
              <w:rPr>
                <w:b/>
                <w:lang w:val="es-ES"/>
              </w:rPr>
              <w:t>6</w:t>
            </w:r>
            <w:r w:rsidRPr="001F60DD">
              <w:rPr>
                <w:b/>
                <w:lang w:val="es-ES"/>
              </w:rPr>
              <w:t>/</w:t>
            </w:r>
            <w:r w:rsidR="00B07352" w:rsidRPr="001F60DD">
              <w:rPr>
                <w:b/>
                <w:lang w:val="es-ES"/>
              </w:rPr>
              <w:t>96</w:t>
            </w:r>
            <w:r w:rsidRPr="001F60DD">
              <w:rPr>
                <w:b/>
                <w:lang w:val="es-ES"/>
              </w:rPr>
              <w:t>-</w:t>
            </w:r>
            <w:r w:rsidR="00F24B71" w:rsidRPr="001F60DD">
              <w:rPr>
                <w:b/>
                <w:lang w:val="es-ES"/>
              </w:rPr>
              <w:t>S</w:t>
            </w:r>
          </w:p>
        </w:tc>
      </w:tr>
      <w:tr w:rsidR="00FE57F6" w:rsidRPr="001F60DD" w14:paraId="6FD62AD5" w14:textId="77777777" w:rsidTr="00C4421B">
        <w:trPr>
          <w:cantSplit/>
        </w:trPr>
        <w:tc>
          <w:tcPr>
            <w:tcW w:w="3969" w:type="dxa"/>
            <w:vMerge/>
          </w:tcPr>
          <w:p w14:paraId="5E6BFC0A" w14:textId="77777777" w:rsidR="00FE57F6" w:rsidRPr="001F60DD" w:rsidRDefault="00FE57F6" w:rsidP="00C4421B">
            <w:pPr>
              <w:tabs>
                <w:tab w:val="left" w:pos="851"/>
              </w:tabs>
              <w:spacing w:line="240" w:lineRule="atLeast"/>
              <w:rPr>
                <w:b/>
                <w:lang w:val="es-ES"/>
              </w:rPr>
            </w:pPr>
          </w:p>
        </w:tc>
        <w:tc>
          <w:tcPr>
            <w:tcW w:w="5245" w:type="dxa"/>
          </w:tcPr>
          <w:p w14:paraId="6FB0E1DF" w14:textId="5E41CE76" w:rsidR="00FE57F6" w:rsidRPr="001F60DD" w:rsidRDefault="00B07352" w:rsidP="00C4421B">
            <w:pPr>
              <w:tabs>
                <w:tab w:val="left" w:pos="851"/>
              </w:tabs>
              <w:spacing w:before="0"/>
              <w:jc w:val="right"/>
              <w:rPr>
                <w:b/>
                <w:lang w:val="es-ES"/>
              </w:rPr>
            </w:pPr>
            <w:r w:rsidRPr="001F60DD">
              <w:rPr>
                <w:b/>
                <w:lang w:val="es-ES"/>
              </w:rPr>
              <w:t>14 de abril de 2026</w:t>
            </w:r>
          </w:p>
        </w:tc>
      </w:tr>
      <w:tr w:rsidR="00FE57F6" w:rsidRPr="001F60DD" w14:paraId="5E1AA76C" w14:textId="77777777" w:rsidTr="00C4421B">
        <w:trPr>
          <w:cantSplit/>
          <w:trHeight w:val="23"/>
        </w:trPr>
        <w:tc>
          <w:tcPr>
            <w:tcW w:w="3969" w:type="dxa"/>
            <w:vMerge/>
          </w:tcPr>
          <w:p w14:paraId="06363348" w14:textId="77777777" w:rsidR="00FE57F6" w:rsidRPr="001F60DD" w:rsidRDefault="00FE57F6" w:rsidP="00C4421B">
            <w:pPr>
              <w:tabs>
                <w:tab w:val="left" w:pos="851"/>
              </w:tabs>
              <w:spacing w:line="240" w:lineRule="atLeast"/>
              <w:rPr>
                <w:b/>
                <w:lang w:val="es-ES"/>
              </w:rPr>
            </w:pPr>
          </w:p>
        </w:tc>
        <w:tc>
          <w:tcPr>
            <w:tcW w:w="5245" w:type="dxa"/>
          </w:tcPr>
          <w:p w14:paraId="6859F50B" w14:textId="77777777" w:rsidR="00FE57F6" w:rsidRPr="001F60DD" w:rsidRDefault="00F24B71" w:rsidP="00C4421B">
            <w:pPr>
              <w:tabs>
                <w:tab w:val="left" w:pos="851"/>
              </w:tabs>
              <w:spacing w:before="0" w:line="240" w:lineRule="atLeast"/>
              <w:jc w:val="right"/>
              <w:rPr>
                <w:b/>
                <w:bCs/>
                <w:lang w:val="es-ES"/>
              </w:rPr>
            </w:pPr>
            <w:r w:rsidRPr="001F60DD">
              <w:rPr>
                <w:rFonts w:cstheme="minorHAnsi"/>
                <w:b/>
                <w:bCs/>
                <w:lang w:val="es-ES"/>
              </w:rPr>
              <w:t>Original: inglés</w:t>
            </w:r>
          </w:p>
        </w:tc>
      </w:tr>
      <w:tr w:rsidR="00FE57F6" w:rsidRPr="001F60DD" w14:paraId="3C404835" w14:textId="77777777" w:rsidTr="00C4421B">
        <w:trPr>
          <w:cantSplit/>
          <w:trHeight w:val="23"/>
        </w:trPr>
        <w:tc>
          <w:tcPr>
            <w:tcW w:w="3969" w:type="dxa"/>
          </w:tcPr>
          <w:p w14:paraId="3F95C0D0" w14:textId="77777777" w:rsidR="00FE57F6" w:rsidRPr="001F60DD" w:rsidRDefault="00FE57F6" w:rsidP="00C4421B">
            <w:pPr>
              <w:tabs>
                <w:tab w:val="left" w:pos="851"/>
              </w:tabs>
              <w:spacing w:line="240" w:lineRule="atLeast"/>
              <w:rPr>
                <w:b/>
                <w:lang w:val="es-ES"/>
              </w:rPr>
            </w:pPr>
          </w:p>
        </w:tc>
        <w:tc>
          <w:tcPr>
            <w:tcW w:w="5245" w:type="dxa"/>
          </w:tcPr>
          <w:p w14:paraId="6F12B896" w14:textId="77777777" w:rsidR="00FE57F6" w:rsidRPr="001F60DD" w:rsidRDefault="00FE57F6" w:rsidP="00C4421B">
            <w:pPr>
              <w:tabs>
                <w:tab w:val="left" w:pos="851"/>
              </w:tabs>
              <w:spacing w:before="0" w:line="240" w:lineRule="atLeast"/>
              <w:jc w:val="right"/>
              <w:rPr>
                <w:b/>
                <w:lang w:val="es-ES"/>
              </w:rPr>
            </w:pPr>
          </w:p>
        </w:tc>
      </w:tr>
      <w:tr w:rsidR="00FE57F6" w:rsidRPr="00E81C3B" w14:paraId="7FB1DBCE" w14:textId="77777777" w:rsidTr="00C4421B">
        <w:trPr>
          <w:cantSplit/>
        </w:trPr>
        <w:tc>
          <w:tcPr>
            <w:tcW w:w="9214" w:type="dxa"/>
            <w:gridSpan w:val="2"/>
            <w:tcMar>
              <w:left w:w="0" w:type="dxa"/>
            </w:tcMar>
          </w:tcPr>
          <w:p w14:paraId="091EDA85" w14:textId="5D9C6B13" w:rsidR="00FE57F6" w:rsidRPr="007E5E45" w:rsidRDefault="00B07352" w:rsidP="007E5E45">
            <w:pPr>
              <w:pStyle w:val="Source"/>
              <w:framePr w:hSpace="0" w:wrap="auto" w:vAnchor="margin" w:hAnchor="text" w:xAlign="left" w:yAlign="inline"/>
            </w:pPr>
            <w:r w:rsidRPr="007E5E45">
              <w:t>Contribución de los Estados Unidos de América</w:t>
            </w:r>
          </w:p>
        </w:tc>
      </w:tr>
      <w:tr w:rsidR="00FE57F6" w:rsidRPr="00E81C3B" w14:paraId="74B3F8A2" w14:textId="77777777" w:rsidTr="00C4421B">
        <w:trPr>
          <w:cantSplit/>
        </w:trPr>
        <w:tc>
          <w:tcPr>
            <w:tcW w:w="9214" w:type="dxa"/>
            <w:gridSpan w:val="2"/>
            <w:tcMar>
              <w:left w:w="0" w:type="dxa"/>
            </w:tcMar>
          </w:tcPr>
          <w:p w14:paraId="654A7694" w14:textId="29AD04F5" w:rsidR="00FE57F6" w:rsidRPr="001F60DD" w:rsidRDefault="007E5E45" w:rsidP="00B07352">
            <w:pPr>
              <w:pStyle w:val="Subtitle"/>
              <w:framePr w:hSpace="0" w:wrap="auto" w:hAnchor="text" w:xAlign="left" w:yAlign="inline"/>
              <w:rPr>
                <w:lang w:val="es-ES"/>
              </w:rPr>
            </w:pPr>
            <w:bookmarkStart w:id="1" w:name="_Hlk218585084"/>
            <w:r w:rsidRPr="001F60DD">
              <w:rPr>
                <w:lang w:val="es-ES"/>
              </w:rPr>
              <w:t>COMENTARIOS Y PROPUESTAS SOBRE EL PROYECTO DE METODOLOGÍA DE LAS NOTIFICACIONES DE REDES DE SATÉLITE</w:t>
            </w:r>
            <w:bookmarkEnd w:id="1"/>
          </w:p>
        </w:tc>
      </w:tr>
      <w:tr w:rsidR="00FE57F6" w:rsidRPr="00E81C3B" w14:paraId="59B6E454" w14:textId="77777777" w:rsidTr="00C4421B">
        <w:trPr>
          <w:cantSplit/>
        </w:trPr>
        <w:tc>
          <w:tcPr>
            <w:tcW w:w="9214" w:type="dxa"/>
            <w:gridSpan w:val="2"/>
            <w:tcBorders>
              <w:top w:val="single" w:sz="4" w:space="0" w:color="auto"/>
              <w:bottom w:val="single" w:sz="4" w:space="0" w:color="auto"/>
            </w:tcBorders>
            <w:tcMar>
              <w:left w:w="0" w:type="dxa"/>
            </w:tcMar>
          </w:tcPr>
          <w:p w14:paraId="37565C22" w14:textId="77777777" w:rsidR="00FE57F6" w:rsidRPr="001F60DD" w:rsidRDefault="00F24B71" w:rsidP="00C4421B">
            <w:pPr>
              <w:spacing w:before="160"/>
              <w:rPr>
                <w:b/>
                <w:bCs/>
                <w:sz w:val="26"/>
                <w:szCs w:val="26"/>
                <w:lang w:val="es-ES"/>
              </w:rPr>
            </w:pPr>
            <w:r w:rsidRPr="001F60DD">
              <w:rPr>
                <w:b/>
                <w:bCs/>
                <w:sz w:val="26"/>
                <w:szCs w:val="26"/>
                <w:lang w:val="es-ES"/>
              </w:rPr>
              <w:t>Finalidad</w:t>
            </w:r>
          </w:p>
          <w:p w14:paraId="071952CE" w14:textId="6DE14C91" w:rsidR="00FE57F6" w:rsidRPr="001F60DD" w:rsidRDefault="00B07352" w:rsidP="007E5E45">
            <w:pPr>
              <w:jc w:val="both"/>
              <w:rPr>
                <w:lang w:val="es-ES"/>
              </w:rPr>
            </w:pPr>
            <w:r w:rsidRPr="001F60DD">
              <w:rPr>
                <w:color w:val="000000"/>
                <w:lang w:val="es-ES"/>
              </w:rPr>
              <w:t xml:space="preserve">En la presente contribución se comenta el Documento </w:t>
            </w:r>
            <w:hyperlink r:id="rId6" w:history="1">
              <w:proofErr w:type="spellStart"/>
              <w:r w:rsidRPr="001F60DD">
                <w:rPr>
                  <w:rStyle w:val="Hyperlink"/>
                  <w:lang w:val="es-ES"/>
                </w:rPr>
                <w:t>C26</w:t>
              </w:r>
              <w:proofErr w:type="spellEnd"/>
              <w:r w:rsidRPr="001F60DD">
                <w:rPr>
                  <w:rStyle w:val="Hyperlink"/>
                  <w:lang w:val="es-ES"/>
                </w:rPr>
                <w:t>/19</w:t>
              </w:r>
            </w:hyperlink>
            <w:r w:rsidRPr="001F60DD">
              <w:rPr>
                <w:color w:val="000000"/>
                <w:lang w:val="es-ES"/>
              </w:rPr>
              <w:t>, metodología propuesta por la Secretaría para la recuperación de los costes de las notificaciones de redes de satélites. Estados Unidos agradece a la Secretaría su propuesta. Debido a las preocupaciones que se reflejan a continuación, muchas de las cuales han sido expresadas anteriormente por Estados Unidos y otros Estados Miembros durante los debates anteriores del Consejo y de los RHF, Estados Unidos se opone al Documento C26/19. Se requiere trabajo adicional.</w:t>
            </w:r>
          </w:p>
          <w:p w14:paraId="718A6321" w14:textId="77777777" w:rsidR="00FE57F6" w:rsidRPr="001F60DD" w:rsidRDefault="00F24B71" w:rsidP="00C4421B">
            <w:pPr>
              <w:spacing w:before="160"/>
              <w:rPr>
                <w:b/>
                <w:bCs/>
                <w:sz w:val="26"/>
                <w:szCs w:val="26"/>
                <w:lang w:val="es-ES"/>
              </w:rPr>
            </w:pPr>
            <w:r w:rsidRPr="001F60DD">
              <w:rPr>
                <w:b/>
                <w:bCs/>
                <w:sz w:val="26"/>
                <w:szCs w:val="26"/>
                <w:lang w:val="es-ES"/>
              </w:rPr>
              <w:t xml:space="preserve">Acción solicitada </w:t>
            </w:r>
            <w:r w:rsidR="00677A97" w:rsidRPr="001F60DD">
              <w:rPr>
                <w:b/>
                <w:bCs/>
                <w:sz w:val="26"/>
                <w:szCs w:val="26"/>
                <w:lang w:val="es-ES"/>
              </w:rPr>
              <w:t>al</w:t>
            </w:r>
            <w:r w:rsidRPr="001F60DD">
              <w:rPr>
                <w:b/>
                <w:bCs/>
                <w:sz w:val="26"/>
                <w:szCs w:val="26"/>
                <w:lang w:val="es-ES"/>
              </w:rPr>
              <w:t xml:space="preserve"> Consejo</w:t>
            </w:r>
          </w:p>
          <w:p w14:paraId="6509CEF7" w14:textId="0693CD56" w:rsidR="00F92BED" w:rsidRPr="001F60DD" w:rsidRDefault="00B07352" w:rsidP="007E5E45">
            <w:pPr>
              <w:spacing w:before="160"/>
              <w:jc w:val="both"/>
              <w:rPr>
                <w:szCs w:val="24"/>
                <w:lang w:val="es-ES"/>
              </w:rPr>
            </w:pPr>
            <w:r w:rsidRPr="001F60DD">
              <w:rPr>
                <w:color w:val="000000"/>
                <w:lang w:val="es-ES"/>
              </w:rPr>
              <w:t xml:space="preserve">Se invita al Consejo a </w:t>
            </w:r>
            <w:r w:rsidRPr="001F60DD">
              <w:rPr>
                <w:b/>
                <w:bCs/>
                <w:color w:val="000000"/>
                <w:lang w:val="es-ES"/>
              </w:rPr>
              <w:t>considerar</w:t>
            </w:r>
            <w:r w:rsidRPr="001F60DD">
              <w:rPr>
                <w:color w:val="000000"/>
                <w:lang w:val="es-ES"/>
              </w:rPr>
              <w:t xml:space="preserve"> los comentarios de EE. UU. sobre la recuperación de costes de las notificaciones de redes de satélite y a </w:t>
            </w:r>
            <w:r w:rsidRPr="001F60DD">
              <w:rPr>
                <w:b/>
                <w:bCs/>
                <w:color w:val="000000"/>
                <w:lang w:val="es-ES"/>
              </w:rPr>
              <w:t>aprobar</w:t>
            </w:r>
            <w:r w:rsidRPr="001F60DD">
              <w:rPr>
                <w:color w:val="000000"/>
                <w:lang w:val="es-ES"/>
              </w:rPr>
              <w:t xml:space="preserve"> las propuestas contenidas en la presente contribución, ya que están relacionadas con el Documento </w:t>
            </w:r>
            <w:hyperlink r:id="rId7" w:history="1">
              <w:proofErr w:type="spellStart"/>
              <w:r w:rsidRPr="001F60DD">
                <w:rPr>
                  <w:rStyle w:val="Hyperlink"/>
                  <w:lang w:val="es-ES"/>
                </w:rPr>
                <w:t>C26</w:t>
              </w:r>
              <w:proofErr w:type="spellEnd"/>
              <w:r w:rsidRPr="001F60DD">
                <w:rPr>
                  <w:rStyle w:val="Hyperlink"/>
                  <w:lang w:val="es-ES"/>
                </w:rPr>
                <w:t>/19</w:t>
              </w:r>
            </w:hyperlink>
            <w:r w:rsidRPr="001F60DD">
              <w:rPr>
                <w:color w:val="000000"/>
                <w:lang w:val="es-ES"/>
              </w:rPr>
              <w:t>.</w:t>
            </w:r>
          </w:p>
          <w:p w14:paraId="29E831A2" w14:textId="77777777" w:rsidR="00FE57F6" w:rsidRPr="001F60DD" w:rsidRDefault="00FE57F6" w:rsidP="00C4421B">
            <w:pPr>
              <w:spacing w:before="160"/>
              <w:rPr>
                <w:caps/>
                <w:sz w:val="22"/>
                <w:lang w:val="es-ES"/>
              </w:rPr>
            </w:pPr>
            <w:r w:rsidRPr="001F60DD">
              <w:rPr>
                <w:sz w:val="22"/>
                <w:lang w:val="es-ES"/>
              </w:rPr>
              <w:t>__________________</w:t>
            </w:r>
          </w:p>
          <w:p w14:paraId="4BC4EA9E" w14:textId="04B8562E" w:rsidR="00FE57F6" w:rsidRPr="001F60DD" w:rsidRDefault="00F24B71" w:rsidP="00C4421B">
            <w:pPr>
              <w:spacing w:before="160"/>
              <w:rPr>
                <w:b/>
                <w:bCs/>
                <w:sz w:val="26"/>
                <w:szCs w:val="26"/>
                <w:lang w:val="es-ES"/>
              </w:rPr>
            </w:pPr>
            <w:r w:rsidRPr="001F60DD">
              <w:rPr>
                <w:b/>
                <w:bCs/>
                <w:sz w:val="26"/>
                <w:szCs w:val="26"/>
                <w:lang w:val="es-ES"/>
              </w:rPr>
              <w:t>Referencia</w:t>
            </w:r>
            <w:r w:rsidR="00F92BED" w:rsidRPr="001F60DD">
              <w:rPr>
                <w:b/>
                <w:bCs/>
                <w:sz w:val="26"/>
                <w:szCs w:val="26"/>
                <w:lang w:val="es-ES"/>
              </w:rPr>
              <w:t>s</w:t>
            </w:r>
          </w:p>
          <w:p w14:paraId="5C699646" w14:textId="54938E36" w:rsidR="00FE57F6" w:rsidRPr="001F60DD" w:rsidRDefault="00B07352" w:rsidP="007E5E45">
            <w:pPr>
              <w:spacing w:after="160"/>
              <w:jc w:val="both"/>
              <w:rPr>
                <w:i/>
                <w:iCs/>
                <w:sz w:val="22"/>
                <w:szCs w:val="22"/>
                <w:lang w:val="es-ES"/>
              </w:rPr>
            </w:pPr>
            <w:r w:rsidRPr="001F60DD">
              <w:rPr>
                <w:i/>
                <w:iCs/>
                <w:sz w:val="22"/>
                <w:szCs w:val="22"/>
                <w:lang w:val="es-ES"/>
              </w:rPr>
              <w:t xml:space="preserve">Documentos </w:t>
            </w:r>
            <w:hyperlink r:id="rId8" w:history="1">
              <w:proofErr w:type="spellStart"/>
              <w:r w:rsidRPr="001F60DD">
                <w:rPr>
                  <w:rStyle w:val="Hyperlink"/>
                  <w:rFonts w:eastAsia="Times New Roman" w:cs="Times New Roman"/>
                  <w:i/>
                  <w:iCs/>
                  <w:sz w:val="22"/>
                  <w:lang w:val="es-ES"/>
                </w:rPr>
                <w:t>C26</w:t>
              </w:r>
              <w:proofErr w:type="spellEnd"/>
              <w:r w:rsidRPr="001F60DD">
                <w:rPr>
                  <w:rStyle w:val="Hyperlink"/>
                  <w:rFonts w:eastAsia="Times New Roman" w:cs="Times New Roman"/>
                  <w:i/>
                  <w:iCs/>
                  <w:sz w:val="22"/>
                  <w:lang w:val="es-ES"/>
                </w:rPr>
                <w:t>/19</w:t>
              </w:r>
            </w:hyperlink>
            <w:r w:rsidRPr="001F60DD">
              <w:rPr>
                <w:i/>
                <w:iCs/>
                <w:sz w:val="22"/>
                <w:szCs w:val="22"/>
                <w:lang w:val="es-ES"/>
              </w:rPr>
              <w:t xml:space="preserve">; </w:t>
            </w:r>
            <w:hyperlink r:id="rId9" w:history="1">
              <w:proofErr w:type="spellStart"/>
              <w:r w:rsidRPr="001F60DD">
                <w:rPr>
                  <w:rStyle w:val="Hyperlink"/>
                  <w:rFonts w:eastAsia="Times New Roman" w:cs="Times New Roman"/>
                  <w:i/>
                  <w:iCs/>
                  <w:sz w:val="22"/>
                  <w:lang w:val="es-ES"/>
                </w:rPr>
                <w:t>C25</w:t>
              </w:r>
              <w:proofErr w:type="spellEnd"/>
              <w:r w:rsidRPr="001F60DD">
                <w:rPr>
                  <w:rStyle w:val="Hyperlink"/>
                  <w:rFonts w:eastAsia="Times New Roman" w:cs="Times New Roman"/>
                  <w:i/>
                  <w:iCs/>
                  <w:sz w:val="22"/>
                  <w:lang w:val="es-ES"/>
                </w:rPr>
                <w:t>/10</w:t>
              </w:r>
            </w:hyperlink>
            <w:r w:rsidRPr="001F60DD">
              <w:rPr>
                <w:i/>
                <w:iCs/>
                <w:sz w:val="22"/>
                <w:szCs w:val="22"/>
                <w:lang w:val="es-ES"/>
              </w:rPr>
              <w:t xml:space="preserve"> y </w:t>
            </w:r>
            <w:hyperlink r:id="rId10" w:history="1">
              <w:proofErr w:type="spellStart"/>
              <w:r w:rsidRPr="001F60DD">
                <w:rPr>
                  <w:rStyle w:val="Hyperlink"/>
                  <w:rFonts w:eastAsia="Times New Roman" w:cs="Times New Roman"/>
                  <w:i/>
                  <w:iCs/>
                  <w:sz w:val="22"/>
                  <w:lang w:val="es-ES"/>
                </w:rPr>
                <w:t>C25</w:t>
              </w:r>
              <w:proofErr w:type="spellEnd"/>
              <w:r w:rsidRPr="001F60DD">
                <w:rPr>
                  <w:rStyle w:val="Hyperlink"/>
                  <w:rFonts w:eastAsia="Times New Roman" w:cs="Times New Roman"/>
                  <w:i/>
                  <w:iCs/>
                  <w:sz w:val="22"/>
                  <w:lang w:val="es-ES"/>
                </w:rPr>
                <w:t>/64</w:t>
              </w:r>
            </w:hyperlink>
            <w:r w:rsidRPr="001F60DD">
              <w:rPr>
                <w:i/>
                <w:iCs/>
                <w:sz w:val="22"/>
                <w:szCs w:val="22"/>
                <w:lang w:val="es-ES"/>
              </w:rPr>
              <w:t xml:space="preserve">; </w:t>
            </w:r>
            <w:hyperlink r:id="rId11" w:history="1">
              <w:proofErr w:type="spellStart"/>
              <w:r w:rsidRPr="001F60DD">
                <w:rPr>
                  <w:rStyle w:val="Hyperlink"/>
                  <w:rFonts w:eastAsia="Times New Roman" w:cs="Times New Roman"/>
                  <w:i/>
                  <w:iCs/>
                  <w:sz w:val="22"/>
                  <w:lang w:val="es-ES"/>
                </w:rPr>
                <w:t>C26</w:t>
              </w:r>
              <w:proofErr w:type="spellEnd"/>
              <w:r w:rsidRPr="001F60DD">
                <w:rPr>
                  <w:rStyle w:val="Hyperlink"/>
                  <w:rFonts w:eastAsia="Times New Roman" w:cs="Times New Roman"/>
                  <w:i/>
                  <w:iCs/>
                  <w:sz w:val="22"/>
                  <w:lang w:val="es-ES"/>
                </w:rPr>
                <w:t>/57</w:t>
              </w:r>
            </w:hyperlink>
            <w:r w:rsidRPr="001F60DD">
              <w:rPr>
                <w:i/>
                <w:iCs/>
                <w:sz w:val="22"/>
                <w:szCs w:val="22"/>
                <w:lang w:val="es-ES"/>
              </w:rPr>
              <w:t xml:space="preserve">; </w:t>
            </w:r>
            <w:hyperlink r:id="rId12" w:history="1">
              <w:proofErr w:type="spellStart"/>
              <w:r w:rsidRPr="001F60DD">
                <w:rPr>
                  <w:rStyle w:val="Hyperlink"/>
                  <w:rFonts w:eastAsia="Times New Roman" w:cs="Times New Roman"/>
                  <w:i/>
                  <w:iCs/>
                  <w:sz w:val="22"/>
                  <w:lang w:val="es-ES"/>
                </w:rPr>
                <w:t>CWG-FHR</w:t>
              </w:r>
              <w:proofErr w:type="spellEnd"/>
              <w:r w:rsidRPr="001F60DD">
                <w:rPr>
                  <w:rStyle w:val="Hyperlink"/>
                  <w:rFonts w:eastAsia="Times New Roman" w:cs="Times New Roman"/>
                  <w:i/>
                  <w:iCs/>
                  <w:sz w:val="22"/>
                  <w:lang w:val="es-ES"/>
                </w:rPr>
                <w:t xml:space="preserve"> 22/2</w:t>
              </w:r>
            </w:hyperlink>
            <w:r w:rsidRPr="001F60DD">
              <w:rPr>
                <w:i/>
                <w:iCs/>
                <w:sz w:val="22"/>
                <w:szCs w:val="22"/>
                <w:lang w:val="es-ES"/>
              </w:rPr>
              <w:t xml:space="preserve"> y </w:t>
            </w:r>
            <w:hyperlink r:id="rId13" w:history="1">
              <w:proofErr w:type="spellStart"/>
              <w:r w:rsidRPr="001F60DD">
                <w:rPr>
                  <w:rStyle w:val="Hyperlink"/>
                  <w:rFonts w:eastAsia="Times New Roman" w:cs="Times New Roman"/>
                  <w:i/>
                  <w:iCs/>
                  <w:sz w:val="22"/>
                  <w:lang w:val="es-ES"/>
                </w:rPr>
                <w:t>CWG-FHR</w:t>
              </w:r>
              <w:proofErr w:type="spellEnd"/>
              <w:r w:rsidRPr="001F60DD">
                <w:rPr>
                  <w:rStyle w:val="Hyperlink"/>
                  <w:rFonts w:eastAsia="Times New Roman" w:cs="Times New Roman"/>
                  <w:i/>
                  <w:iCs/>
                  <w:sz w:val="22"/>
                  <w:lang w:val="es-ES"/>
                </w:rPr>
                <w:t xml:space="preserve"> 22/36</w:t>
              </w:r>
            </w:hyperlink>
            <w:r w:rsidRPr="001F60DD">
              <w:rPr>
                <w:i/>
                <w:iCs/>
                <w:sz w:val="22"/>
                <w:szCs w:val="22"/>
                <w:lang w:val="es-ES"/>
              </w:rPr>
              <w:t xml:space="preserve">; Acuerdo </w:t>
            </w:r>
            <w:hyperlink r:id="rId14" w:history="1">
              <w:r w:rsidRPr="001F60DD">
                <w:rPr>
                  <w:rStyle w:val="Hyperlink"/>
                  <w:rFonts w:eastAsia="Times New Roman" w:cs="Times New Roman"/>
                  <w:i/>
                  <w:iCs/>
                  <w:sz w:val="22"/>
                  <w:lang w:val="es-ES"/>
                </w:rPr>
                <w:t>535 del Consejo (Mod. 2014)</w:t>
              </w:r>
            </w:hyperlink>
            <w:r w:rsidRPr="001F60DD">
              <w:rPr>
                <w:i/>
                <w:iCs/>
                <w:sz w:val="22"/>
                <w:szCs w:val="22"/>
                <w:lang w:val="es-ES"/>
              </w:rPr>
              <w:t xml:space="preserve">; Resolución </w:t>
            </w:r>
            <w:hyperlink r:id="rId15" w:history="1">
              <w:r w:rsidRPr="001F60DD">
                <w:rPr>
                  <w:rStyle w:val="Hyperlink"/>
                  <w:rFonts w:eastAsia="Times New Roman" w:cs="Times New Roman"/>
                  <w:i/>
                  <w:iCs/>
                  <w:sz w:val="22"/>
                  <w:lang w:val="es-ES"/>
                </w:rPr>
                <w:t>91 (Rev. Guadalajara, 2010)</w:t>
              </w:r>
            </w:hyperlink>
            <w:r w:rsidRPr="001F60DD">
              <w:rPr>
                <w:i/>
                <w:iCs/>
                <w:sz w:val="22"/>
                <w:szCs w:val="22"/>
                <w:lang w:val="es-ES"/>
              </w:rPr>
              <w:t xml:space="preserve"> de la Conferencia de Plenipotenciarios</w:t>
            </w:r>
          </w:p>
        </w:tc>
      </w:tr>
    </w:tbl>
    <w:p w14:paraId="47C7FDC5" w14:textId="77777777" w:rsidR="00B07352" w:rsidRPr="001F60DD" w:rsidRDefault="00B07352" w:rsidP="00B07352">
      <w:pPr>
        <w:tabs>
          <w:tab w:val="clear" w:pos="567"/>
          <w:tab w:val="clear" w:pos="1134"/>
          <w:tab w:val="clear" w:pos="1701"/>
          <w:tab w:val="clear" w:pos="2268"/>
          <w:tab w:val="clear" w:pos="2835"/>
        </w:tabs>
        <w:overflowPunct/>
        <w:autoSpaceDE/>
        <w:autoSpaceDN/>
        <w:adjustRightInd/>
        <w:spacing w:before="0"/>
        <w:textAlignment w:val="auto"/>
        <w:rPr>
          <w:lang w:val="es-ES"/>
        </w:rPr>
      </w:pPr>
      <w:bookmarkStart w:id="2" w:name="_Hlk133421428"/>
      <w:bookmarkEnd w:id="0"/>
    </w:p>
    <w:p w14:paraId="5E5F5511" w14:textId="77777777" w:rsidR="00B07352" w:rsidRPr="001F60DD" w:rsidRDefault="00B07352" w:rsidP="00B07352">
      <w:pPr>
        <w:tabs>
          <w:tab w:val="clear" w:pos="567"/>
          <w:tab w:val="clear" w:pos="1134"/>
          <w:tab w:val="clear" w:pos="1701"/>
          <w:tab w:val="clear" w:pos="2268"/>
          <w:tab w:val="clear" w:pos="2835"/>
        </w:tabs>
        <w:overflowPunct/>
        <w:autoSpaceDE/>
        <w:autoSpaceDN/>
        <w:adjustRightInd/>
        <w:spacing w:before="0"/>
        <w:textAlignment w:val="auto"/>
        <w:rPr>
          <w:lang w:val="es-ES"/>
        </w:rPr>
      </w:pPr>
      <w:r w:rsidRPr="001F60DD">
        <w:rPr>
          <w:lang w:val="es-ES"/>
        </w:rPr>
        <w:br w:type="page"/>
      </w:r>
    </w:p>
    <w:p w14:paraId="0A4F599A" w14:textId="25D7E13B" w:rsidR="00B07352" w:rsidRPr="001F60DD" w:rsidRDefault="00B07352" w:rsidP="007E5E45">
      <w:pPr>
        <w:jc w:val="both"/>
        <w:rPr>
          <w:lang w:val="es-ES"/>
        </w:rPr>
      </w:pPr>
      <w:r w:rsidRPr="001F60DD">
        <w:rPr>
          <w:lang w:val="es-ES"/>
        </w:rPr>
        <w:lastRenderedPageBreak/>
        <w:t xml:space="preserve">Estados Unidos agradece a la Secretaría su propuesta, que ofrece una metodología para la recuperación de los costes de las notificaciones de redes de satélite. Sin embargo, Estados Unidos se opone al Documento </w:t>
      </w:r>
      <w:hyperlink r:id="rId16" w:history="1">
        <w:proofErr w:type="spellStart"/>
        <w:r w:rsidRPr="001F60DD">
          <w:rPr>
            <w:rStyle w:val="Hyperlink"/>
            <w:lang w:val="es-ES"/>
          </w:rPr>
          <w:t>C26</w:t>
        </w:r>
        <w:proofErr w:type="spellEnd"/>
        <w:r w:rsidRPr="001F60DD">
          <w:rPr>
            <w:rStyle w:val="Hyperlink"/>
            <w:lang w:val="es-ES"/>
          </w:rPr>
          <w:t>/19</w:t>
        </w:r>
      </w:hyperlink>
      <w:r w:rsidRPr="001F60DD">
        <w:rPr>
          <w:lang w:val="es-ES"/>
        </w:rPr>
        <w:t>.</w:t>
      </w:r>
      <w:hyperlink r:id="rId17"/>
    </w:p>
    <w:p w14:paraId="212D160E" w14:textId="77777777" w:rsidR="00B07352" w:rsidRPr="001F60DD" w:rsidRDefault="00B07352" w:rsidP="007E5E45">
      <w:pPr>
        <w:jc w:val="both"/>
        <w:rPr>
          <w:lang w:val="es-ES"/>
        </w:rPr>
      </w:pPr>
      <w:r w:rsidRPr="001F60DD">
        <w:rPr>
          <w:lang w:val="es-ES"/>
        </w:rPr>
        <w:t>Los Estados Miembros no han llegado a un consenso sobre el camino a seguir. Estados Unidos reconoce que el régimen actual de recuperación de costes de las notificaciones de redes de satélite no se ajusta perfectamente a todos los costes sufragados por la Oficina de Radiocomunicaciones (BR), aunque hay consideraciones adicionales relativas a la recuperación de costes de las notificaciones de redes de satélite que obligan a elaborar una metodología de recuperación de costes adecuada a esta actividad fundamental de la UIT. Estados Unidos insta a la Secretaría a desarrollar un modelo más amplio para desarrollar una estructura de notificaciones de redes de satélite a largo plazo; se requiere trabajo adicional.</w:t>
      </w:r>
    </w:p>
    <w:p w14:paraId="59B3D7E6" w14:textId="77777777" w:rsidR="00B07352" w:rsidRPr="001F60DD" w:rsidRDefault="00B07352" w:rsidP="007E5E45">
      <w:pPr>
        <w:jc w:val="both"/>
        <w:rPr>
          <w:lang w:val="es-ES"/>
        </w:rPr>
      </w:pPr>
      <w:r w:rsidRPr="001F60DD">
        <w:rPr>
          <w:lang w:val="es-ES"/>
        </w:rPr>
        <w:t>Estados Unidos sigue preocupado por la metodología propuesta por la Secretaría y alienta a que se siga colaborando con los Estados Miembros para elaborar un modelo de recuperación de costes de las notificaciones de redes de satélite que estime con precisión y recupere un nivel adecuado de los costes directos e indirectos de la BR de tramitación de notificaciones de satélites. Además, dado que el Consejo de 2025 aprobó las tasas de las notificaciones de redes de satélite hasta el año fiscal 2027, sería prematuro respaldar cualquier modelo en el Consejo de 2026.</w:t>
      </w:r>
    </w:p>
    <w:p w14:paraId="636E70F6" w14:textId="77777777" w:rsidR="00B07352" w:rsidRPr="001F60DD" w:rsidRDefault="00B07352" w:rsidP="007E5E45">
      <w:pPr>
        <w:jc w:val="both"/>
        <w:rPr>
          <w:b/>
          <w:bCs/>
          <w:lang w:val="es-ES"/>
        </w:rPr>
      </w:pPr>
      <w:r w:rsidRPr="001F60DD">
        <w:rPr>
          <w:lang w:val="es-ES"/>
        </w:rPr>
        <w:t>Una de las principales funciones de la BR es el registro de las asignaciones de frecuencias radioeléctricas y de las posiciones orbitales asociadas. El desempeño de esta función beneficia a todos los Estados Miembros de la UIT y les permite aplicar el Reglamento de Radiocomunicaciones de la UIT. Estados Unidos subraya que la tramitación de las notificaciones de redes de satélite es una función reglamentaria estipulada en el Reglamento de Radiocomunicaciones y que toda metodología de recuperación de costos debe respetar esta función fundamental.</w:t>
      </w:r>
    </w:p>
    <w:p w14:paraId="1EF0887A" w14:textId="77777777" w:rsidR="00B07352" w:rsidRPr="001F60DD" w:rsidRDefault="00B07352" w:rsidP="007E5E45">
      <w:pPr>
        <w:jc w:val="both"/>
        <w:rPr>
          <w:lang w:val="es-ES"/>
        </w:rPr>
      </w:pPr>
      <w:r w:rsidRPr="001F60DD">
        <w:rPr>
          <w:lang w:val="es-ES"/>
        </w:rPr>
        <w:t>Para apoyar un marco transparente, justo y proporcionado de recuperación de costes de las notificaciones de redes de satélite, Estados Unidos propone que el Consejo:</w:t>
      </w:r>
    </w:p>
    <w:p w14:paraId="0CB07482" w14:textId="25ED5B36" w:rsidR="00B07352" w:rsidRPr="001F60DD" w:rsidRDefault="00B07352" w:rsidP="007E5E45">
      <w:pPr>
        <w:pStyle w:val="enumlev1"/>
        <w:jc w:val="both"/>
        <w:rPr>
          <w:lang w:val="es-ES"/>
        </w:rPr>
      </w:pPr>
      <w:r w:rsidRPr="001F60DD">
        <w:rPr>
          <w:lang w:val="es-ES"/>
        </w:rPr>
        <w:t>–</w:t>
      </w:r>
      <w:r w:rsidRPr="001F60DD">
        <w:rPr>
          <w:lang w:val="es-ES"/>
        </w:rPr>
        <w:tab/>
        <w:t xml:space="preserve">aclare el alcance previsto de la </w:t>
      </w:r>
      <w:r w:rsidR="001F60DD" w:rsidRPr="001F60DD">
        <w:rPr>
          <w:lang w:val="es-ES"/>
        </w:rPr>
        <w:t>"</w:t>
      </w:r>
      <w:r w:rsidRPr="001F60DD">
        <w:rPr>
          <w:lang w:val="es-ES"/>
        </w:rPr>
        <w:t>recuperación íntegra de costes</w:t>
      </w:r>
      <w:r w:rsidR="001F60DD" w:rsidRPr="001F60DD">
        <w:rPr>
          <w:lang w:val="es-ES"/>
        </w:rPr>
        <w:t>"</w:t>
      </w:r>
      <w:r w:rsidRPr="001F60DD">
        <w:rPr>
          <w:lang w:val="es-ES"/>
        </w:rPr>
        <w:t xml:space="preserve"> en el marco de la Resolución 91, incluidas las limitaciones a la asignación de costes indirectos;</w:t>
      </w:r>
    </w:p>
    <w:p w14:paraId="68725DF0" w14:textId="77777777" w:rsidR="00B07352" w:rsidRPr="001F60DD" w:rsidRDefault="00B07352" w:rsidP="007E5E45">
      <w:pPr>
        <w:pStyle w:val="enumlev1"/>
        <w:jc w:val="both"/>
        <w:rPr>
          <w:lang w:val="es-ES"/>
        </w:rPr>
      </w:pPr>
      <w:r w:rsidRPr="001F60DD">
        <w:rPr>
          <w:lang w:val="es-ES"/>
        </w:rPr>
        <w:t>–</w:t>
      </w:r>
      <w:r w:rsidRPr="001F60DD">
        <w:rPr>
          <w:lang w:val="es-ES"/>
        </w:rPr>
        <w:tab/>
        <w:t>mantenga el actual régimen de notificación gratuita y evitar cambios estructurales sin consultar más ampliamente a los Estados Miembros;</w:t>
      </w:r>
    </w:p>
    <w:p w14:paraId="068AC1AB" w14:textId="77777777" w:rsidR="00B07352" w:rsidRPr="001F60DD" w:rsidRDefault="00B07352" w:rsidP="007E5E45">
      <w:pPr>
        <w:pStyle w:val="enumlev1"/>
        <w:jc w:val="both"/>
        <w:rPr>
          <w:lang w:val="es-ES"/>
        </w:rPr>
      </w:pPr>
      <w:r w:rsidRPr="001F60DD">
        <w:rPr>
          <w:lang w:val="es-ES"/>
        </w:rPr>
        <w:t>–</w:t>
      </w:r>
      <w:r w:rsidRPr="001F60DD">
        <w:rPr>
          <w:lang w:val="es-ES"/>
        </w:rPr>
        <w:tab/>
        <w:t>pida a la Secretaría que distinga claramente entre los costes de modernización específicos de las notificaciones de redes de satélite y las inversiones en TIC en toda la empresa;</w:t>
      </w:r>
    </w:p>
    <w:p w14:paraId="14346BCE" w14:textId="77777777" w:rsidR="00B07352" w:rsidRPr="001F60DD" w:rsidRDefault="00B07352" w:rsidP="007E5E45">
      <w:pPr>
        <w:pStyle w:val="enumlev1"/>
        <w:jc w:val="both"/>
        <w:rPr>
          <w:lang w:val="es-ES"/>
        </w:rPr>
      </w:pPr>
      <w:r w:rsidRPr="001F60DD">
        <w:rPr>
          <w:lang w:val="es-ES"/>
        </w:rPr>
        <w:t>–</w:t>
      </w:r>
      <w:r w:rsidRPr="001F60DD">
        <w:rPr>
          <w:lang w:val="es-ES"/>
        </w:rPr>
        <w:tab/>
        <w:t>solicite a la Secretaría que proporcione otras bases de atribución para los costes indirectos distintos del personal;</w:t>
      </w:r>
    </w:p>
    <w:p w14:paraId="3A187788" w14:textId="77777777" w:rsidR="00B07352" w:rsidRPr="001F60DD" w:rsidRDefault="00B07352" w:rsidP="007E5E45">
      <w:pPr>
        <w:pStyle w:val="enumlev1"/>
        <w:jc w:val="both"/>
        <w:rPr>
          <w:lang w:val="es-ES"/>
        </w:rPr>
      </w:pPr>
      <w:r w:rsidRPr="001F60DD">
        <w:rPr>
          <w:lang w:val="es-ES"/>
        </w:rPr>
        <w:t>–</w:t>
      </w:r>
      <w:r w:rsidRPr="001F60DD">
        <w:rPr>
          <w:lang w:val="es-ES"/>
        </w:rPr>
        <w:tab/>
        <w:t>excluya el pasivo del seguro médico posterior a la separación del servicio (ASHI) de la base de costes de las notificaciones de redes de satélite por falta de relación causal;</w:t>
      </w:r>
    </w:p>
    <w:p w14:paraId="57AE7100" w14:textId="77777777" w:rsidR="00B07352" w:rsidRPr="001F60DD" w:rsidRDefault="00B07352" w:rsidP="007E5E45">
      <w:pPr>
        <w:pStyle w:val="enumlev1"/>
        <w:jc w:val="both"/>
        <w:rPr>
          <w:lang w:val="es-ES"/>
        </w:rPr>
      </w:pPr>
      <w:r w:rsidRPr="001F60DD">
        <w:rPr>
          <w:lang w:val="es-ES"/>
        </w:rPr>
        <w:t>–</w:t>
      </w:r>
      <w:r w:rsidRPr="001F60DD">
        <w:rPr>
          <w:lang w:val="es-ES"/>
        </w:rPr>
        <w:tab/>
        <w:t>solicite a la Secretaría que facilite datos y métodos de referencia en que se basa la cifra de 23,7 % de gastos indirectos de la Secretaría;</w:t>
      </w:r>
    </w:p>
    <w:p w14:paraId="5A31E99C" w14:textId="72CAC696" w:rsidR="00B07352" w:rsidRPr="001F60DD" w:rsidRDefault="00B07352" w:rsidP="007E5E45">
      <w:pPr>
        <w:pStyle w:val="enumlev1"/>
        <w:jc w:val="both"/>
        <w:rPr>
          <w:lang w:val="es-ES"/>
        </w:rPr>
      </w:pPr>
      <w:r w:rsidRPr="001F60DD">
        <w:rPr>
          <w:lang w:val="es-ES"/>
        </w:rPr>
        <w:t>–</w:t>
      </w:r>
      <w:r w:rsidRPr="001F60DD">
        <w:rPr>
          <w:lang w:val="es-ES"/>
        </w:rPr>
        <w:tab/>
        <w:t>garantice la transparencia de las hipótesis de previsión de la demanda, incluido el análisis de sensibilidad.</w:t>
      </w:r>
    </w:p>
    <w:p w14:paraId="75019AE6" w14:textId="77777777" w:rsidR="00B07352" w:rsidRPr="001F60DD" w:rsidRDefault="00B07352">
      <w:pPr>
        <w:jc w:val="center"/>
        <w:rPr>
          <w:lang w:val="es-ES"/>
        </w:rPr>
      </w:pPr>
      <w:r w:rsidRPr="001F60DD">
        <w:rPr>
          <w:lang w:val="es-ES"/>
        </w:rPr>
        <w:t>______________</w:t>
      </w:r>
    </w:p>
    <w:bookmarkEnd w:id="2"/>
    <w:sectPr w:rsidR="00B07352" w:rsidRPr="001F60DD" w:rsidSect="00C538FC">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CBC58" w14:textId="77777777" w:rsidR="00373944" w:rsidRDefault="00373944">
      <w:r>
        <w:separator/>
      </w:r>
    </w:p>
  </w:endnote>
  <w:endnote w:type="continuationSeparator" w:id="0">
    <w:p w14:paraId="41CDBAFA" w14:textId="77777777" w:rsidR="00373944" w:rsidRDefault="0037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71523E2" w14:textId="77777777" w:rsidTr="00E31DCE">
      <w:trPr>
        <w:jc w:val="center"/>
      </w:trPr>
      <w:tc>
        <w:tcPr>
          <w:tcW w:w="1803" w:type="dxa"/>
          <w:vAlign w:val="center"/>
        </w:tcPr>
        <w:p w14:paraId="44A81BC7" w14:textId="2E587F3B" w:rsidR="003273A4" w:rsidRDefault="00B07352" w:rsidP="003273A4">
          <w:pPr>
            <w:pStyle w:val="Header"/>
            <w:jc w:val="left"/>
            <w:rPr>
              <w:noProof/>
            </w:rPr>
          </w:pPr>
          <w:r>
            <w:rPr>
              <w:noProof/>
            </w:rPr>
            <w:t>2600942</w:t>
          </w:r>
        </w:p>
      </w:tc>
      <w:tc>
        <w:tcPr>
          <w:tcW w:w="8261" w:type="dxa"/>
        </w:tcPr>
        <w:p w14:paraId="003E74D8" w14:textId="5FF817F6"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B07352">
            <w:rPr>
              <w:bCs/>
            </w:rPr>
            <w:t>96</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010E95C2"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3055A4B2" w14:textId="77777777" w:rsidTr="00E31DCE">
      <w:trPr>
        <w:jc w:val="center"/>
      </w:trPr>
      <w:tc>
        <w:tcPr>
          <w:tcW w:w="1803" w:type="dxa"/>
          <w:vAlign w:val="center"/>
        </w:tcPr>
        <w:p w14:paraId="221554FD"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276A33E5" w14:textId="4C8FDE14"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1F60DD">
            <w:rPr>
              <w:bCs/>
            </w:rPr>
            <w:t>96</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609C0599"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EBC9D" w14:textId="77777777" w:rsidR="00373944" w:rsidRDefault="00373944">
      <w:r>
        <w:t>____________________</w:t>
      </w:r>
    </w:p>
  </w:footnote>
  <w:footnote w:type="continuationSeparator" w:id="0">
    <w:p w14:paraId="30C27339" w14:textId="77777777" w:rsidR="00373944" w:rsidRDefault="00373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9F80" w14:textId="77777777" w:rsidR="001559F5" w:rsidRPr="00B1560D" w:rsidRDefault="00B1560D" w:rsidP="00B1560D">
    <w:pPr>
      <w:pStyle w:val="Header"/>
    </w:pPr>
    <w:r>
      <w:rPr>
        <w:noProof/>
      </w:rPr>
      <w:drawing>
        <wp:inline distT="0" distB="0" distL="0" distR="0" wp14:anchorId="7A161F8B" wp14:editId="3DC52111">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44"/>
    <w:rsid w:val="000007D1"/>
    <w:rsid w:val="0006007D"/>
    <w:rsid w:val="00093EEB"/>
    <w:rsid w:val="000B0D00"/>
    <w:rsid w:val="000B7C15"/>
    <w:rsid w:val="000B7D0E"/>
    <w:rsid w:val="000D1D0F"/>
    <w:rsid w:val="000E3F07"/>
    <w:rsid w:val="000F5290"/>
    <w:rsid w:val="000F5A95"/>
    <w:rsid w:val="0010165C"/>
    <w:rsid w:val="00146BFB"/>
    <w:rsid w:val="001559F5"/>
    <w:rsid w:val="00157AC4"/>
    <w:rsid w:val="0016169C"/>
    <w:rsid w:val="001958F5"/>
    <w:rsid w:val="001B6E2B"/>
    <w:rsid w:val="001F14A2"/>
    <w:rsid w:val="001F60DD"/>
    <w:rsid w:val="00277DEA"/>
    <w:rsid w:val="002801AA"/>
    <w:rsid w:val="002946E2"/>
    <w:rsid w:val="002C3F32"/>
    <w:rsid w:val="002C4676"/>
    <w:rsid w:val="002C70B0"/>
    <w:rsid w:val="002F3CC4"/>
    <w:rsid w:val="003032E2"/>
    <w:rsid w:val="0031300A"/>
    <w:rsid w:val="003273A4"/>
    <w:rsid w:val="0034796E"/>
    <w:rsid w:val="00373944"/>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955DA"/>
    <w:rsid w:val="007E5DD3"/>
    <w:rsid w:val="007E5E45"/>
    <w:rsid w:val="007F350B"/>
    <w:rsid w:val="00820BE4"/>
    <w:rsid w:val="008451E8"/>
    <w:rsid w:val="0084546D"/>
    <w:rsid w:val="008F6ABC"/>
    <w:rsid w:val="00913B9C"/>
    <w:rsid w:val="00927F93"/>
    <w:rsid w:val="00956E77"/>
    <w:rsid w:val="009A338E"/>
    <w:rsid w:val="009A76A8"/>
    <w:rsid w:val="009C5528"/>
    <w:rsid w:val="009F4811"/>
    <w:rsid w:val="00A01F4F"/>
    <w:rsid w:val="00A109AF"/>
    <w:rsid w:val="00A94438"/>
    <w:rsid w:val="00AA390C"/>
    <w:rsid w:val="00AD5A4D"/>
    <w:rsid w:val="00AF0EAC"/>
    <w:rsid w:val="00B0200A"/>
    <w:rsid w:val="00B060DF"/>
    <w:rsid w:val="00B07352"/>
    <w:rsid w:val="00B1560D"/>
    <w:rsid w:val="00B574DB"/>
    <w:rsid w:val="00B826C2"/>
    <w:rsid w:val="00B8298E"/>
    <w:rsid w:val="00BB6FD8"/>
    <w:rsid w:val="00BD0723"/>
    <w:rsid w:val="00BD2518"/>
    <w:rsid w:val="00BF1D1C"/>
    <w:rsid w:val="00C20C59"/>
    <w:rsid w:val="00C25408"/>
    <w:rsid w:val="00C2727F"/>
    <w:rsid w:val="00C4421B"/>
    <w:rsid w:val="00C538FC"/>
    <w:rsid w:val="00C55B1F"/>
    <w:rsid w:val="00CC1FAF"/>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D76"/>
    <w:rsid w:val="00E8018B"/>
    <w:rsid w:val="00E81C3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E0203C0"/>
  <w15:docId w15:val="{CB011DB7-1103-453A-81F1-B3B119FE5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7E5E45"/>
    <w:pPr>
      <w:framePr w:hSpace="181" w:wrap="around" w:vAnchor="page" w:hAnchor="page" w:x="1589" w:y="2314"/>
      <w:spacing w:before="840"/>
    </w:pPr>
    <w:rPr>
      <w:rFonts w:cstheme="minorHAnsi"/>
      <w:b/>
      <w:bCs/>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19/es" TargetMode="External"/><Relationship Id="rId13" Type="http://schemas.openxmlformats.org/officeDocument/2006/relationships/hyperlink" Target="https://www.itu.int/md/S26-CWGFHR22-C-0036/es"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itu.int/md/S26-CL-C-0019/es" TargetMode="External"/><Relationship Id="rId12" Type="http://schemas.openxmlformats.org/officeDocument/2006/relationships/hyperlink" Target="https://www.itu.int/md/S26-CWGFHR22-C-0002/es" TargetMode="External"/><Relationship Id="rId17" Type="http://schemas.openxmlformats.org/officeDocument/2006/relationships/hyperlink" Target="https://www.itu.int/md/S26-CL-C-0019/en" TargetMode="External"/><Relationship Id="rId2" Type="http://schemas.openxmlformats.org/officeDocument/2006/relationships/settings" Target="settings.xml"/><Relationship Id="rId16" Type="http://schemas.openxmlformats.org/officeDocument/2006/relationships/hyperlink" Target="https://www.itu.int/md/S26-CL-C-0019/es"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itu.int/md/S26-CL-C-0019/es" TargetMode="External"/><Relationship Id="rId11" Type="http://schemas.openxmlformats.org/officeDocument/2006/relationships/hyperlink" Target="https://www.itu.int/md/S26-CL-C-0057/es" TargetMode="External"/><Relationship Id="rId5" Type="http://schemas.openxmlformats.org/officeDocument/2006/relationships/endnotes" Target="endnotes.xml"/><Relationship Id="rId15" Type="http://schemas.openxmlformats.org/officeDocument/2006/relationships/hyperlink" Target="https://www.itu.int/en/council/Documents/basic-texts-2023/RES-091-S.pdf" TargetMode="External"/><Relationship Id="rId10" Type="http://schemas.openxmlformats.org/officeDocument/2006/relationships/hyperlink" Target="https://www.itu.int/md/S25-CL-C-0064/e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itu.int/md/S25-CL-C-0010/es" TargetMode="External"/><Relationship Id="rId14" Type="http://schemas.openxmlformats.org/officeDocument/2006/relationships/hyperlink" Target="https://www.itu.int/dms_ties/itu-s/md/14/cl/c/S14-CL-C-0102!!MSW-S.docx"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2</TotalTime>
  <Pages>2</Pages>
  <Words>704</Words>
  <Characters>4593</Characters>
  <Application>Microsoft Office Word</Application>
  <DocSecurity>0</DocSecurity>
  <Lines>72</Lines>
  <Paragraphs>20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5277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Comentarios y propuestas sobre el proyecto de metodología de las notificaciones de redes de satélite</dc:title>
  <dc:subject>Consejo 2026 de la UIT</dc:subject>
  <cp:keywords>C26; C2026; Council 2026; PP26</cp:keywords>
  <dc:description/>
  <cp:lastPrinted>2006-03-24T09:51:00Z</cp:lastPrinted>
  <dcterms:created xsi:type="dcterms:W3CDTF">2026-04-20T09:58:00Z</dcterms:created>
  <dcterms:modified xsi:type="dcterms:W3CDTF">2026-04-20T10:00:00Z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