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1AB955A6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3BA0CC8" w14:textId="7D20BAA8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议项：</w:t>
            </w:r>
            <w:r w:rsidR="00374715" w:rsidRPr="00E33A37">
              <w:rPr>
                <w:b/>
                <w:lang w:val="en-US"/>
              </w:rPr>
              <w:t>ADM</w:t>
            </w:r>
            <w:proofErr w:type="spellEnd"/>
            <w:r w:rsidR="00374715" w:rsidRPr="00E33A37">
              <w:rPr>
                <w:b/>
                <w:lang w:val="en-US"/>
              </w:rPr>
              <w:t xml:space="preserve"> 1</w:t>
            </w:r>
          </w:p>
        </w:tc>
        <w:tc>
          <w:tcPr>
            <w:tcW w:w="5245" w:type="dxa"/>
          </w:tcPr>
          <w:p w14:paraId="63890608" w14:textId="06159F7E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374715">
              <w:rPr>
                <w:b/>
                <w:lang w:val="fr-CH"/>
              </w:rPr>
              <w:t>96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11221220" w14:textId="77777777" w:rsidTr="00555C29">
        <w:trPr>
          <w:cantSplit/>
        </w:trPr>
        <w:tc>
          <w:tcPr>
            <w:tcW w:w="3969" w:type="dxa"/>
            <w:vMerge/>
          </w:tcPr>
          <w:p w14:paraId="531774A1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5E22E96" w14:textId="138D294C" w:rsidR="00E24D59" w:rsidRPr="00E85629" w:rsidRDefault="00374715" w:rsidP="00555C29">
            <w:pPr>
              <w:tabs>
                <w:tab w:val="left" w:pos="851"/>
              </w:tabs>
              <w:spacing w:before="0"/>
              <w:jc w:val="right"/>
              <w:rPr>
                <w:b/>
                <w:lang w:eastAsia="zh-CN"/>
              </w:rPr>
            </w:pPr>
            <w:r>
              <w:rPr>
                <w:b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14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1AF96C5A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631E2319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6356F3E" w14:textId="691BCA08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374715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1B222AC3" w14:textId="77777777" w:rsidTr="00555C29">
        <w:trPr>
          <w:cantSplit/>
          <w:trHeight w:val="23"/>
        </w:trPr>
        <w:tc>
          <w:tcPr>
            <w:tcW w:w="3969" w:type="dxa"/>
          </w:tcPr>
          <w:p w14:paraId="6DBE6F77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DC71FF7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12022AA4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8CF4120" w14:textId="0A26D55A" w:rsidR="00E24D59" w:rsidRPr="00C24DAC" w:rsidRDefault="00374715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374715">
              <w:rPr>
                <w:rFonts w:hint="eastAsia"/>
              </w:rPr>
              <w:t>美利坚合众国</w:t>
            </w:r>
            <w:r>
              <w:rPr>
                <w:rFonts w:hint="eastAsia"/>
              </w:rPr>
              <w:t>的文稿</w:t>
            </w:r>
          </w:p>
        </w:tc>
      </w:tr>
      <w:tr w:rsidR="00E24D59" w:rsidRPr="00813E5E" w14:paraId="12FE0E14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82A8A06" w14:textId="7C216AB8" w:rsidR="00E24D59" w:rsidRPr="00F31D49" w:rsidRDefault="00F31D49" w:rsidP="00C24DAC">
            <w:pPr>
              <w:pStyle w:val="Subtitle"/>
              <w:framePr w:hSpace="0" w:wrap="auto" w:vAnchor="margin" w:hAnchor="text" w:xAlign="left" w:yAlign="inline"/>
              <w:rPr>
                <w:lang w:val="en-GB"/>
              </w:rPr>
            </w:pPr>
            <w:bookmarkStart w:id="6" w:name="dtitle1" w:colFirst="0" w:colLast="0"/>
            <w:bookmarkEnd w:id="5"/>
            <w:r w:rsidRPr="00F31D49">
              <w:rPr>
                <w:rFonts w:hint="eastAsia"/>
              </w:rPr>
              <w:t>对卫星网络申报</w:t>
            </w:r>
            <w:r w:rsidR="00993210">
              <w:rPr>
                <w:rFonts w:hint="eastAsia"/>
              </w:rPr>
              <w:t>拟议方法</w:t>
            </w:r>
            <w:r w:rsidRPr="00F31D49">
              <w:rPr>
                <w:rFonts w:hint="eastAsia"/>
              </w:rPr>
              <w:t>的意见和提案</w:t>
            </w:r>
          </w:p>
        </w:tc>
      </w:tr>
      <w:tr w:rsidR="00E24D59" w:rsidRPr="00813E5E" w14:paraId="5E166100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76EDF85" w14:textId="22CEA825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3381CB62" w14:textId="4D5C05E5" w:rsidR="003F086E" w:rsidRPr="00993210" w:rsidRDefault="00711BB3" w:rsidP="00993210">
            <w:pPr>
              <w:ind w:firstLineChars="200" w:firstLine="480"/>
              <w:rPr>
                <w:rFonts w:cs="Calibri"/>
                <w:lang w:eastAsia="zh-CN"/>
              </w:rPr>
            </w:pPr>
            <w:r w:rsidRPr="00993210">
              <w:rPr>
                <w:rFonts w:cs="Calibri" w:hint="eastAsia"/>
                <w:lang w:eastAsia="zh-CN"/>
              </w:rPr>
              <w:t>本文稿就</w:t>
            </w:r>
            <w:hyperlink r:id="rId8" w:history="1">
              <w:r w:rsidRPr="00E00C26">
                <w:rPr>
                  <w:rStyle w:val="Hyperlink"/>
                  <w:rFonts w:eastAsia="STKaiti" w:hint="eastAsia"/>
                  <w:szCs w:val="24"/>
                  <w:u w:val="single"/>
                </w:rPr>
                <w:t>C26/19</w:t>
              </w:r>
            </w:hyperlink>
            <w:r w:rsidRPr="00993210">
              <w:rPr>
                <w:rFonts w:cs="Calibri" w:hint="eastAsia"/>
                <w:lang w:eastAsia="zh-CN"/>
              </w:rPr>
              <w:t>号文件</w:t>
            </w:r>
            <w:r w:rsidR="00ED558C">
              <w:rPr>
                <w:rFonts w:cs="Calibri" w:hint="eastAsia"/>
                <w:lang w:eastAsia="zh-CN"/>
              </w:rPr>
              <w:t>，</w:t>
            </w:r>
            <w:r w:rsidRPr="00993210">
              <w:rPr>
                <w:rFonts w:cs="Calibri" w:hint="eastAsia"/>
                <w:lang w:val="en-US" w:eastAsia="zh-CN"/>
              </w:rPr>
              <w:t>即</w:t>
            </w:r>
            <w:r w:rsidRPr="00993210">
              <w:rPr>
                <w:rFonts w:cs="Calibri" w:hint="eastAsia"/>
                <w:lang w:eastAsia="zh-CN"/>
              </w:rPr>
              <w:t>秘书处关于卫星网络申报（</w:t>
            </w:r>
            <w:r w:rsidRPr="00993210">
              <w:rPr>
                <w:rFonts w:cs="Calibri" w:hint="eastAsia"/>
                <w:lang w:eastAsia="zh-CN"/>
              </w:rPr>
              <w:t>SNF</w:t>
            </w:r>
            <w:r w:rsidRPr="00993210">
              <w:rPr>
                <w:rFonts w:cs="Calibri" w:hint="eastAsia"/>
                <w:lang w:eastAsia="zh-CN"/>
              </w:rPr>
              <w:t>）成本回收的拟议方法，提出意见。美国感谢秘书处提出这一提案。鉴于下文所述关切，其中许多关切此前已由美国和其他成员国在以往理事会</w:t>
            </w:r>
            <w:r w:rsidR="00ED558C">
              <w:rPr>
                <w:rFonts w:cs="Calibri" w:hint="eastAsia"/>
                <w:lang w:eastAsia="zh-CN"/>
              </w:rPr>
              <w:t>以及</w:t>
            </w:r>
            <w:r w:rsidRPr="00993210">
              <w:rPr>
                <w:rFonts w:cs="Calibri" w:hint="eastAsia"/>
                <w:lang w:eastAsia="zh-CN"/>
              </w:rPr>
              <w:t>财务和人力资源</w:t>
            </w:r>
            <w:r w:rsidR="00ED558C">
              <w:rPr>
                <w:rFonts w:cs="Calibri" w:hint="eastAsia"/>
                <w:lang w:eastAsia="zh-CN"/>
              </w:rPr>
              <w:t>工作组</w:t>
            </w:r>
            <w:r w:rsidRPr="00993210">
              <w:rPr>
                <w:rFonts w:cs="Calibri" w:hint="eastAsia"/>
                <w:lang w:eastAsia="zh-CN"/>
              </w:rPr>
              <w:t>讨论中提出，美国反对</w:t>
            </w:r>
            <w:r w:rsidRPr="00993210">
              <w:rPr>
                <w:rFonts w:cs="Calibri" w:hint="eastAsia"/>
                <w:lang w:eastAsia="zh-CN"/>
              </w:rPr>
              <w:t>C26/19</w:t>
            </w:r>
            <w:r w:rsidRPr="00993210">
              <w:rPr>
                <w:rFonts w:cs="Calibri" w:hint="eastAsia"/>
                <w:lang w:eastAsia="zh-CN"/>
              </w:rPr>
              <w:t>号文件。仍需开展进一步工作。</w:t>
            </w:r>
          </w:p>
          <w:p w14:paraId="15642ED1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7E763674" w14:textId="5907DB2E" w:rsidR="00E24D59" w:rsidRPr="00E00C26" w:rsidRDefault="00711BB3" w:rsidP="00993210">
            <w:pPr>
              <w:ind w:firstLineChars="200" w:firstLine="480"/>
              <w:rPr>
                <w:rFonts w:cs="Calibri"/>
                <w:lang w:eastAsia="zh-CN"/>
              </w:rPr>
            </w:pPr>
            <w:r w:rsidRPr="00E00C26">
              <w:rPr>
                <w:rFonts w:cs="Calibri" w:hint="eastAsia"/>
                <w:lang w:eastAsia="zh-CN"/>
              </w:rPr>
              <w:t>请理事会</w:t>
            </w:r>
            <w:r w:rsidRPr="00E00C26">
              <w:rPr>
                <w:rFonts w:cs="Calibri" w:hint="eastAsia"/>
                <w:b/>
                <w:bCs/>
                <w:lang w:eastAsia="zh-CN"/>
              </w:rPr>
              <w:t>审议</w:t>
            </w:r>
            <w:r w:rsidRPr="00E00C26">
              <w:rPr>
                <w:rFonts w:cs="Calibri" w:hint="eastAsia"/>
                <w:lang w:eastAsia="zh-CN"/>
              </w:rPr>
              <w:t>美国有关</w:t>
            </w:r>
            <w:r w:rsidRPr="00E00C26">
              <w:rPr>
                <w:rFonts w:cs="Calibri" w:hint="eastAsia"/>
                <w:lang w:eastAsia="zh-CN"/>
              </w:rPr>
              <w:t>SNF</w:t>
            </w:r>
            <w:r w:rsidRPr="00E00C26">
              <w:rPr>
                <w:rFonts w:cs="Calibri" w:hint="eastAsia"/>
                <w:lang w:eastAsia="zh-CN"/>
              </w:rPr>
              <w:t>成本回收的意见</w:t>
            </w:r>
            <w:r w:rsidRPr="00E00C26">
              <w:rPr>
                <w:rFonts w:cs="Calibri" w:hint="eastAsia"/>
                <w:lang w:eastAsia="zh-CN"/>
              </w:rPr>
              <w:t>,</w:t>
            </w:r>
            <w:r w:rsidRPr="00E00C26">
              <w:rPr>
                <w:rFonts w:cs="Calibri" w:hint="eastAsia"/>
                <w:lang w:eastAsia="zh-CN"/>
              </w:rPr>
              <w:t>并</w:t>
            </w:r>
            <w:r w:rsidRPr="00E00C26">
              <w:rPr>
                <w:rFonts w:cs="Calibri" w:hint="eastAsia"/>
                <w:b/>
                <w:bCs/>
                <w:lang w:eastAsia="zh-CN"/>
              </w:rPr>
              <w:t>批准</w:t>
            </w:r>
            <w:r w:rsidRPr="00E00C26">
              <w:rPr>
                <w:rFonts w:cs="Calibri" w:hint="eastAsia"/>
                <w:lang w:eastAsia="zh-CN"/>
              </w:rPr>
              <w:t>本文稿中有关</w:t>
            </w:r>
            <w:r w:rsidRPr="00E00C26">
              <w:rPr>
                <w:rStyle w:val="Hyperlink"/>
                <w:rFonts w:eastAsia="SimSun" w:cs="Calibri"/>
                <w:sz w:val="22"/>
                <w:u w:val="single"/>
                <w:lang w:eastAsia="zh-CN"/>
              </w:rPr>
              <w:t>C26/19</w:t>
            </w:r>
            <w:r w:rsidRPr="00E00C26">
              <w:rPr>
                <w:rFonts w:cs="Calibri" w:hint="eastAsia"/>
                <w:lang w:eastAsia="zh-CN"/>
              </w:rPr>
              <w:t>号文件的提案。</w:t>
            </w:r>
          </w:p>
          <w:p w14:paraId="1813F9FA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5169ACC8" w14:textId="65627F93" w:rsidR="00E24D59" w:rsidRPr="001D129A" w:rsidRDefault="001D129A" w:rsidP="00993210">
            <w:pPr>
              <w:spacing w:after="120"/>
              <w:ind w:firstLineChars="200" w:firstLine="480"/>
              <w:rPr>
                <w:rFonts w:eastAsia="STKaiti" w:cs="Calibri"/>
                <w:sz w:val="22"/>
                <w:szCs w:val="22"/>
                <w:lang w:eastAsia="zh-CN"/>
              </w:rPr>
            </w:pPr>
            <w:hyperlink r:id="rId9">
              <w:r w:rsidRPr="00E00C26">
                <w:rPr>
                  <w:rStyle w:val="Hyperlink"/>
                  <w:rFonts w:eastAsia="STKaiti"/>
                  <w:sz w:val="22"/>
                  <w:u w:val="single"/>
                  <w:lang w:eastAsia="zh-CN"/>
                </w:rPr>
                <w:t>C26/19</w:t>
              </w:r>
            </w:hyperlink>
            <w:r w:rsidRPr="001D129A">
              <w:rPr>
                <w:rFonts w:eastAsia="STKaiti" w:cs="Calibri"/>
                <w:sz w:val="22"/>
                <w:szCs w:val="22"/>
                <w:lang w:eastAsia="zh-CN"/>
              </w:rPr>
              <w:t>、</w:t>
            </w:r>
            <w:hyperlink r:id="rId10">
              <w:r w:rsidRPr="00E00C26">
                <w:rPr>
                  <w:rStyle w:val="Hyperlink"/>
                  <w:rFonts w:eastAsia="STKaiti"/>
                  <w:sz w:val="22"/>
                  <w:u w:val="single"/>
                  <w:lang w:eastAsia="zh-CN"/>
                </w:rPr>
                <w:t>C25/10</w:t>
              </w:r>
            </w:hyperlink>
            <w:r w:rsidRPr="001D129A">
              <w:rPr>
                <w:rFonts w:eastAsia="STKaiti" w:cs="Calibri"/>
                <w:sz w:val="22"/>
                <w:szCs w:val="22"/>
                <w:lang w:eastAsia="zh-CN"/>
              </w:rPr>
              <w:t>、</w:t>
            </w:r>
            <w:hyperlink r:id="rId11">
              <w:r w:rsidRPr="00E00C26">
                <w:rPr>
                  <w:rStyle w:val="Hyperlink"/>
                  <w:rFonts w:eastAsia="STKaiti"/>
                  <w:sz w:val="22"/>
                  <w:u w:val="single"/>
                  <w:lang w:eastAsia="zh-CN"/>
                </w:rPr>
                <w:t>C25/64</w:t>
              </w:r>
            </w:hyperlink>
            <w:r w:rsidRPr="001D129A">
              <w:rPr>
                <w:rFonts w:eastAsia="STKaiti" w:cs="Calibri"/>
                <w:sz w:val="22"/>
                <w:szCs w:val="22"/>
                <w:lang w:eastAsia="zh-CN"/>
              </w:rPr>
              <w:t>和</w:t>
            </w:r>
            <w:hyperlink r:id="rId12" w:history="1">
              <w:r w:rsidRPr="00E00C26">
                <w:rPr>
                  <w:rStyle w:val="Hyperlink"/>
                  <w:rFonts w:eastAsia="STKaiti"/>
                  <w:sz w:val="22"/>
                  <w:u w:val="single"/>
                  <w:lang w:eastAsia="zh-CN"/>
                </w:rPr>
                <w:t>C26/57</w:t>
              </w:r>
            </w:hyperlink>
            <w:r w:rsidRPr="001D129A">
              <w:rPr>
                <w:rFonts w:eastAsia="STKaiti" w:cs="Calibri"/>
                <w:sz w:val="22"/>
                <w:szCs w:val="22"/>
                <w:lang w:eastAsia="zh-CN"/>
              </w:rPr>
              <w:t>号文件；</w:t>
            </w:r>
            <w:hyperlink r:id="rId13">
              <w:r w:rsidRPr="00E00C26">
                <w:rPr>
                  <w:rStyle w:val="Hyperlink"/>
                  <w:rFonts w:eastAsia="STKaiti"/>
                  <w:sz w:val="22"/>
                  <w:u w:val="single"/>
                  <w:lang w:eastAsia="zh-CN"/>
                </w:rPr>
                <w:t>CWG-FHR-22/2</w:t>
              </w:r>
            </w:hyperlink>
            <w:r w:rsidRPr="001D129A">
              <w:rPr>
                <w:rFonts w:eastAsia="STKaiti" w:cs="Calibri"/>
                <w:sz w:val="22"/>
                <w:szCs w:val="22"/>
                <w:lang w:val="en-US" w:eastAsia="zh-CN"/>
              </w:rPr>
              <w:t>和</w:t>
            </w:r>
            <w:hyperlink r:id="rId14" w:history="1"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CWG-FHR-22/36</w:t>
              </w:r>
            </w:hyperlink>
            <w:r w:rsidRPr="001D129A">
              <w:rPr>
                <w:rFonts w:eastAsia="STKaiti" w:cs="Calibri"/>
                <w:sz w:val="22"/>
                <w:szCs w:val="22"/>
                <w:lang w:eastAsia="zh-CN"/>
              </w:rPr>
              <w:t>号文件；理事会</w:t>
            </w:r>
            <w:hyperlink r:id="rId15" w:history="1"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第</w:t>
              </w:r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535</w:t>
              </w:r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号</w:t>
              </w:r>
            </w:hyperlink>
            <w:r w:rsidRPr="001D129A">
              <w:rPr>
                <w:rFonts w:eastAsia="STKaiti" w:cs="Calibri"/>
                <w:sz w:val="22"/>
                <w:szCs w:val="22"/>
                <w:lang w:eastAsia="zh-CN"/>
              </w:rPr>
              <w:t>决定</w:t>
            </w:r>
            <w:hyperlink r:id="rId16" w:history="1"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（</w:t>
              </w:r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2014</w:t>
              </w:r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年，修订版）</w:t>
              </w:r>
            </w:hyperlink>
            <w:r w:rsidRPr="001D129A">
              <w:rPr>
                <w:rFonts w:eastAsia="STKaiti" w:cs="Calibri"/>
                <w:sz w:val="22"/>
                <w:szCs w:val="22"/>
                <w:lang w:eastAsia="zh-CN"/>
              </w:rPr>
              <w:t>、全权代表大会</w:t>
            </w:r>
            <w:hyperlink r:id="rId17" w:history="1"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第</w:t>
              </w:r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91</w:t>
              </w:r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号</w:t>
              </w:r>
            </w:hyperlink>
            <w:r w:rsidRPr="001D129A">
              <w:rPr>
                <w:rFonts w:eastAsia="STKaiti" w:cs="Calibri"/>
                <w:sz w:val="22"/>
                <w:szCs w:val="22"/>
                <w:lang w:eastAsia="zh-CN"/>
              </w:rPr>
              <w:t>决议</w:t>
            </w:r>
            <w:hyperlink r:id="rId18" w:history="1"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（</w:t>
              </w:r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2010</w:t>
              </w:r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年</w:t>
              </w:r>
              <w:r w:rsidR="00ED558C" w:rsidRPr="00E00C26">
                <w:rPr>
                  <w:rStyle w:val="Hyperlink"/>
                  <w:rFonts w:eastAsia="STKaiti" w:hint="eastAsia"/>
                  <w:sz w:val="22"/>
                  <w:u w:val="single"/>
                </w:rPr>
                <w:t>，</w:t>
              </w:r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瓜达拉哈拉</w:t>
              </w:r>
              <w:r w:rsidR="00ED558C" w:rsidRPr="00E00C26">
                <w:rPr>
                  <w:rStyle w:val="Hyperlink"/>
                  <w:rFonts w:eastAsia="STKaiti" w:hint="eastAsia"/>
                  <w:sz w:val="22"/>
                  <w:u w:val="single"/>
                </w:rPr>
                <w:t>，</w:t>
              </w:r>
              <w:r w:rsidRPr="00E00C26">
                <w:rPr>
                  <w:rStyle w:val="Hyperlink"/>
                  <w:rFonts w:eastAsia="STKaiti"/>
                  <w:sz w:val="22"/>
                  <w:u w:val="single"/>
                </w:rPr>
                <w:t>修订版）</w:t>
              </w:r>
            </w:hyperlink>
          </w:p>
        </w:tc>
      </w:tr>
      <w:bookmarkEnd w:id="2"/>
      <w:bookmarkEnd w:id="6"/>
    </w:tbl>
    <w:p w14:paraId="1B942FDE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1EFD1C96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3D78869" w14:textId="5DE86B94" w:rsidR="009B4068" w:rsidRDefault="009B4068" w:rsidP="00E00C26">
      <w:pPr>
        <w:ind w:firstLineChars="200" w:firstLine="480"/>
        <w:rPr>
          <w:lang w:eastAsia="zh-CN"/>
        </w:rPr>
      </w:pPr>
      <w:r w:rsidRPr="009B4068">
        <w:rPr>
          <w:rFonts w:hint="eastAsia"/>
          <w:lang w:eastAsia="zh-CN"/>
        </w:rPr>
        <w:lastRenderedPageBreak/>
        <w:t>美国感谢秘书处提出的提案，其中提出了卫星网络申报（</w:t>
      </w:r>
      <w:r w:rsidRPr="009B4068">
        <w:rPr>
          <w:rFonts w:hint="eastAsia"/>
          <w:lang w:eastAsia="zh-CN"/>
        </w:rPr>
        <w:t>SNF</w:t>
      </w:r>
      <w:r w:rsidRPr="009B4068">
        <w:rPr>
          <w:rFonts w:hint="eastAsia"/>
          <w:lang w:eastAsia="zh-CN"/>
        </w:rPr>
        <w:t>）成本回收的方法。然而，美国反对</w:t>
      </w:r>
      <w:r w:rsidR="00200372">
        <w:fldChar w:fldCharType="begin"/>
      </w:r>
      <w:r w:rsidR="00200372">
        <w:rPr>
          <w:lang w:eastAsia="zh-CN"/>
        </w:rPr>
        <w:instrText>HYPERLINK "https://www.itu.int/md/S26-CL-C-0019/en"</w:instrText>
      </w:r>
      <w:r w:rsidR="00200372">
        <w:fldChar w:fldCharType="separate"/>
      </w:r>
      <w:r w:rsidR="00200372" w:rsidRPr="00E00C26">
        <w:rPr>
          <w:rStyle w:val="Hyperlink"/>
          <w:rFonts w:eastAsia="STKaiti" w:hint="eastAsia"/>
          <w:szCs w:val="24"/>
          <w:u w:val="single"/>
          <w:lang w:eastAsia="zh-CN"/>
        </w:rPr>
        <w:t>C26/19</w:t>
      </w:r>
      <w:r w:rsidR="00200372">
        <w:fldChar w:fldCharType="end"/>
      </w:r>
      <w:r w:rsidRPr="009B4068">
        <w:rPr>
          <w:rFonts w:hint="eastAsia"/>
          <w:lang w:eastAsia="zh-CN"/>
        </w:rPr>
        <w:t>号文件。</w:t>
      </w:r>
    </w:p>
    <w:p w14:paraId="29DA98B5" w14:textId="3163A06E" w:rsidR="007E0667" w:rsidRDefault="009B4068" w:rsidP="00E00C26">
      <w:pPr>
        <w:ind w:firstLineChars="200" w:firstLine="480"/>
        <w:rPr>
          <w:lang w:eastAsia="zh-CN"/>
        </w:rPr>
      </w:pPr>
      <w:r w:rsidRPr="009B4068">
        <w:rPr>
          <w:rFonts w:hint="eastAsia"/>
          <w:lang w:eastAsia="zh-CN"/>
        </w:rPr>
        <w:t>成员国尚未就今后的工作方向达成</w:t>
      </w:r>
      <w:r w:rsidR="00ED558C">
        <w:rPr>
          <w:rFonts w:hint="eastAsia"/>
          <w:lang w:eastAsia="zh-CN"/>
        </w:rPr>
        <w:t>协商一致</w:t>
      </w:r>
      <w:r w:rsidRPr="009B4068">
        <w:rPr>
          <w:rFonts w:hint="eastAsia"/>
          <w:lang w:eastAsia="zh-CN"/>
        </w:rPr>
        <w:t>。美国认识到，现行的</w:t>
      </w:r>
      <w:r w:rsidRPr="009B4068">
        <w:rPr>
          <w:rFonts w:hint="eastAsia"/>
          <w:lang w:eastAsia="zh-CN"/>
        </w:rPr>
        <w:t>SNF</w:t>
      </w:r>
      <w:r w:rsidRPr="009B4068">
        <w:rPr>
          <w:rFonts w:hint="eastAsia"/>
          <w:lang w:eastAsia="zh-CN"/>
        </w:rPr>
        <w:t>成本回收</w:t>
      </w:r>
      <w:r>
        <w:rPr>
          <w:rFonts w:hint="eastAsia"/>
          <w:lang w:eastAsia="zh-CN"/>
        </w:rPr>
        <w:t>机制</w:t>
      </w:r>
      <w:r w:rsidRPr="009B4068">
        <w:rPr>
          <w:rFonts w:hint="eastAsia"/>
          <w:lang w:eastAsia="zh-CN"/>
        </w:rPr>
        <w:t>并未与无线电通信局（</w:t>
      </w:r>
      <w:r w:rsidRPr="009B4068">
        <w:rPr>
          <w:rFonts w:hint="eastAsia"/>
          <w:lang w:eastAsia="zh-CN"/>
        </w:rPr>
        <w:t>BR</w:t>
      </w:r>
      <w:r w:rsidRPr="009B4068">
        <w:rPr>
          <w:rFonts w:hint="eastAsia"/>
          <w:lang w:eastAsia="zh-CN"/>
        </w:rPr>
        <w:t>）所承担的全部成本完全相符；然而，</w:t>
      </w:r>
      <w:r w:rsidRPr="009B4068">
        <w:rPr>
          <w:rFonts w:hint="eastAsia"/>
          <w:lang w:eastAsia="zh-CN"/>
        </w:rPr>
        <w:t>SNF</w:t>
      </w:r>
      <w:r w:rsidRPr="009B4068">
        <w:rPr>
          <w:rFonts w:hint="eastAsia"/>
          <w:lang w:eastAsia="zh-CN"/>
        </w:rPr>
        <w:t>成本回收还涉及其他需要考虑的因素，</w:t>
      </w:r>
      <w:r>
        <w:rPr>
          <w:rFonts w:hint="eastAsia"/>
          <w:lang w:eastAsia="zh-CN"/>
        </w:rPr>
        <w:t>这涉及为</w:t>
      </w:r>
      <w:r w:rsidRPr="009B4068">
        <w:rPr>
          <w:rFonts w:hint="eastAsia"/>
          <w:lang w:eastAsia="zh-CN"/>
        </w:rPr>
        <w:t>国际电联这一核心活动</w:t>
      </w:r>
      <w:r w:rsidR="007E0667">
        <w:rPr>
          <w:rFonts w:hint="eastAsia"/>
          <w:lang w:eastAsia="zh-CN"/>
        </w:rPr>
        <w:t>制定适当的</w:t>
      </w:r>
      <w:r w:rsidRPr="009B4068">
        <w:rPr>
          <w:rFonts w:hint="eastAsia"/>
          <w:lang w:eastAsia="zh-CN"/>
        </w:rPr>
        <w:t>成本回收方法。美国敦促秘书处完善一个更为全面的模型，以制定长期的</w:t>
      </w:r>
      <w:r w:rsidRPr="009B4068">
        <w:rPr>
          <w:rFonts w:hint="eastAsia"/>
          <w:lang w:eastAsia="zh-CN"/>
        </w:rPr>
        <w:t>SNF</w:t>
      </w:r>
      <w:r w:rsidRPr="009B4068">
        <w:rPr>
          <w:rFonts w:hint="eastAsia"/>
          <w:lang w:eastAsia="zh-CN"/>
        </w:rPr>
        <w:t>成本回收框架；仍需开展更多工作。</w:t>
      </w:r>
    </w:p>
    <w:p w14:paraId="0BEBE340" w14:textId="3E414B6D" w:rsidR="007E0667" w:rsidRDefault="007E0667" w:rsidP="00E00C26">
      <w:pPr>
        <w:ind w:firstLineChars="200" w:firstLine="480"/>
        <w:rPr>
          <w:lang w:val="en-US" w:eastAsia="zh-CN"/>
        </w:rPr>
      </w:pPr>
      <w:r w:rsidRPr="007E0667">
        <w:rPr>
          <w:rFonts w:hint="eastAsia"/>
          <w:lang w:eastAsia="zh-CN"/>
        </w:rPr>
        <w:t>美国仍对秘书处拟议的方法表示关切，并鼓励与成员国进一步协作，以形成一个能够准确估算并</w:t>
      </w:r>
      <w:r w:rsidR="00ED558C">
        <w:rPr>
          <w:rFonts w:hint="eastAsia"/>
          <w:lang w:eastAsia="zh-CN"/>
        </w:rPr>
        <w:t>适当</w:t>
      </w:r>
      <w:r w:rsidR="00ED558C" w:rsidRPr="007E0667">
        <w:rPr>
          <w:rFonts w:hint="eastAsia"/>
          <w:lang w:eastAsia="zh-CN"/>
        </w:rPr>
        <w:t>回</w:t>
      </w:r>
      <w:r w:rsidRPr="007E0667">
        <w:rPr>
          <w:rFonts w:hint="eastAsia"/>
          <w:lang w:eastAsia="zh-CN"/>
        </w:rPr>
        <w:t>收</w:t>
      </w:r>
      <w:r>
        <w:rPr>
          <w:rFonts w:hint="eastAsia"/>
          <w:lang w:eastAsia="zh-CN"/>
        </w:rPr>
        <w:t>BR</w:t>
      </w:r>
      <w:r w:rsidRPr="007E0667">
        <w:rPr>
          <w:rFonts w:hint="eastAsia"/>
          <w:lang w:eastAsia="zh-CN"/>
        </w:rPr>
        <w:t>处理卫星申报</w:t>
      </w:r>
      <w:r w:rsidR="00ED558C">
        <w:rPr>
          <w:rFonts w:hint="eastAsia"/>
          <w:lang w:eastAsia="zh-CN"/>
        </w:rPr>
        <w:t>产生的</w:t>
      </w:r>
      <w:r w:rsidRPr="007E0667">
        <w:rPr>
          <w:rFonts w:hint="eastAsia"/>
          <w:lang w:eastAsia="zh-CN"/>
        </w:rPr>
        <w:t>直接和间接成本的</w:t>
      </w:r>
      <w:r w:rsidRPr="007E0667">
        <w:rPr>
          <w:rFonts w:hint="eastAsia"/>
          <w:lang w:eastAsia="zh-CN"/>
        </w:rPr>
        <w:t>SNF CR</w:t>
      </w:r>
      <w:r w:rsidR="00ED558C">
        <w:rPr>
          <w:rFonts w:hint="eastAsia"/>
          <w:lang w:eastAsia="zh-CN"/>
        </w:rPr>
        <w:t>模型</w:t>
      </w:r>
      <w:r w:rsidRPr="007E0667">
        <w:rPr>
          <w:rFonts w:hint="eastAsia"/>
          <w:lang w:eastAsia="zh-CN"/>
        </w:rPr>
        <w:t>。此外，鉴于理事会</w:t>
      </w:r>
      <w:r>
        <w:rPr>
          <w:rFonts w:hint="eastAsia"/>
          <w:lang w:eastAsia="zh-CN"/>
        </w:rPr>
        <w:t>2025</w:t>
      </w:r>
      <w:r>
        <w:rPr>
          <w:rFonts w:hint="eastAsia"/>
          <w:lang w:eastAsia="zh-CN"/>
        </w:rPr>
        <w:t>年会议</w:t>
      </w:r>
      <w:r w:rsidRPr="007E0667">
        <w:rPr>
          <w:rFonts w:hint="eastAsia"/>
          <w:lang w:eastAsia="zh-CN"/>
        </w:rPr>
        <w:t>已批准截至</w:t>
      </w:r>
      <w:r w:rsidRPr="007E0667">
        <w:rPr>
          <w:rFonts w:hint="eastAsia"/>
          <w:lang w:eastAsia="zh-CN"/>
        </w:rPr>
        <w:t>2027</w:t>
      </w:r>
      <w:r w:rsidRPr="007E0667">
        <w:rPr>
          <w:rFonts w:hint="eastAsia"/>
          <w:lang w:eastAsia="zh-CN"/>
        </w:rPr>
        <w:t>财年的</w:t>
      </w:r>
      <w:r w:rsidRPr="007E0667">
        <w:rPr>
          <w:rFonts w:hint="eastAsia"/>
          <w:lang w:eastAsia="zh-CN"/>
        </w:rPr>
        <w:t>SNF</w:t>
      </w:r>
      <w:r w:rsidRPr="007E0667">
        <w:rPr>
          <w:rFonts w:hint="eastAsia"/>
          <w:lang w:eastAsia="zh-CN"/>
        </w:rPr>
        <w:t>费率，因此在</w:t>
      </w:r>
      <w:r w:rsidR="00ED558C" w:rsidRPr="007E0667">
        <w:rPr>
          <w:rFonts w:hint="eastAsia"/>
          <w:lang w:eastAsia="zh-CN"/>
        </w:rPr>
        <w:t>理事会</w:t>
      </w:r>
      <w:r w:rsidRPr="007E0667">
        <w:rPr>
          <w:rFonts w:hint="eastAsia"/>
          <w:lang w:eastAsia="zh-CN"/>
        </w:rPr>
        <w:t>2026</w:t>
      </w:r>
      <w:r w:rsidRPr="007E0667">
        <w:rPr>
          <w:rFonts w:hint="eastAsia"/>
          <w:lang w:eastAsia="zh-CN"/>
        </w:rPr>
        <w:t>年会议上</w:t>
      </w:r>
      <w:r w:rsidR="00ED558C">
        <w:rPr>
          <w:rFonts w:hint="eastAsia"/>
          <w:lang w:eastAsia="zh-CN"/>
        </w:rPr>
        <w:t>通过</w:t>
      </w:r>
      <w:r w:rsidRPr="007E0667">
        <w:rPr>
          <w:rFonts w:hint="eastAsia"/>
          <w:lang w:eastAsia="zh-CN"/>
        </w:rPr>
        <w:t>任何</w:t>
      </w:r>
      <w:r w:rsidR="00ED558C">
        <w:rPr>
          <w:rFonts w:hint="eastAsia"/>
          <w:lang w:eastAsia="zh-CN"/>
        </w:rPr>
        <w:t>模型</w:t>
      </w:r>
      <w:r w:rsidRPr="007E0667">
        <w:rPr>
          <w:rFonts w:hint="eastAsia"/>
          <w:lang w:eastAsia="zh-CN"/>
        </w:rPr>
        <w:t>都为时过早</w:t>
      </w:r>
      <w:r w:rsidR="00993210">
        <w:rPr>
          <w:rFonts w:hint="eastAsia"/>
          <w:lang w:eastAsia="zh-CN"/>
        </w:rPr>
        <w:t>。</w:t>
      </w:r>
    </w:p>
    <w:p w14:paraId="297A68DD" w14:textId="1B89256E" w:rsidR="00E9462B" w:rsidRDefault="00E9462B" w:rsidP="00E00C26">
      <w:pPr>
        <w:ind w:firstLineChars="200" w:firstLine="480"/>
        <w:rPr>
          <w:lang w:eastAsia="zh-CN"/>
        </w:rPr>
      </w:pPr>
      <w:r w:rsidRPr="00E9462B">
        <w:rPr>
          <w:rFonts w:hint="eastAsia"/>
          <w:lang w:eastAsia="zh-CN"/>
        </w:rPr>
        <w:t>美国重申其观点，即国际电联的核心职能之一是</w:t>
      </w:r>
      <w:r>
        <w:rPr>
          <w:rFonts w:hint="eastAsia"/>
          <w:lang w:val="en-US" w:eastAsia="zh-CN"/>
        </w:rPr>
        <w:t>登记无线电</w:t>
      </w:r>
      <w:r w:rsidRPr="00E9462B">
        <w:rPr>
          <w:rFonts w:hint="eastAsia"/>
          <w:lang w:eastAsia="zh-CN"/>
        </w:rPr>
        <w:t>频率指配及相关轨道位置。履行这一职责使所有国际电联成员国受益，并直接使国际电联成员国能够适用国际电联《无线电规则》。美国强调，根据《无线电规则》，</w:t>
      </w:r>
      <w:r w:rsidRPr="00E9462B">
        <w:rPr>
          <w:rFonts w:hint="eastAsia"/>
          <w:lang w:eastAsia="zh-CN"/>
        </w:rPr>
        <w:t>SNF</w:t>
      </w:r>
      <w:r w:rsidRPr="00E9462B">
        <w:rPr>
          <w:rFonts w:hint="eastAsia"/>
          <w:lang w:eastAsia="zh-CN"/>
        </w:rPr>
        <w:t>处理是一项条约</w:t>
      </w:r>
      <w:r w:rsidR="00ED558C">
        <w:rPr>
          <w:rFonts w:hint="eastAsia"/>
          <w:lang w:eastAsia="zh-CN"/>
        </w:rPr>
        <w:t>授予</w:t>
      </w:r>
      <w:r w:rsidRPr="00E9462B">
        <w:rPr>
          <w:rFonts w:hint="eastAsia"/>
          <w:lang w:eastAsia="zh-CN"/>
        </w:rPr>
        <w:t>的</w:t>
      </w:r>
      <w:r w:rsidR="00ED558C">
        <w:rPr>
          <w:rFonts w:hint="eastAsia"/>
          <w:lang w:eastAsia="zh-CN"/>
        </w:rPr>
        <w:t>规则</w:t>
      </w:r>
      <w:r w:rsidRPr="00E9462B">
        <w:rPr>
          <w:rFonts w:hint="eastAsia"/>
          <w:lang w:eastAsia="zh-CN"/>
        </w:rPr>
        <w:t>职能，任何成本回收方法都必须尊重这一</w:t>
      </w:r>
      <w:r w:rsidR="00ED558C">
        <w:rPr>
          <w:rFonts w:hint="eastAsia"/>
          <w:lang w:eastAsia="zh-CN"/>
        </w:rPr>
        <w:t>根本职责</w:t>
      </w:r>
      <w:r w:rsidRPr="00E9462B">
        <w:rPr>
          <w:rFonts w:hint="eastAsia"/>
          <w:lang w:eastAsia="zh-CN"/>
        </w:rPr>
        <w:t>。</w:t>
      </w:r>
    </w:p>
    <w:p w14:paraId="16BE3AED" w14:textId="27E18CA7" w:rsidR="00E9462B" w:rsidRDefault="00E9462B" w:rsidP="00E00C26">
      <w:pPr>
        <w:ind w:firstLineChars="200" w:firstLine="480"/>
        <w:rPr>
          <w:lang w:eastAsia="zh-CN"/>
        </w:rPr>
      </w:pPr>
      <w:r w:rsidRPr="00E9462B">
        <w:rPr>
          <w:rFonts w:hint="eastAsia"/>
          <w:lang w:eastAsia="zh-CN"/>
        </w:rPr>
        <w:t>为支持一个透明、公平和相称的</w:t>
      </w:r>
      <w:r w:rsidRPr="00E9462B">
        <w:rPr>
          <w:rFonts w:hint="eastAsia"/>
          <w:lang w:eastAsia="zh-CN"/>
        </w:rPr>
        <w:t>SNF</w:t>
      </w:r>
      <w:r w:rsidRPr="00E9462B">
        <w:rPr>
          <w:rFonts w:hint="eastAsia"/>
          <w:lang w:eastAsia="zh-CN"/>
        </w:rPr>
        <w:t>成本回收框架</w:t>
      </w:r>
      <w:r>
        <w:rPr>
          <w:rFonts w:hint="eastAsia"/>
          <w:lang w:eastAsia="zh-CN"/>
        </w:rPr>
        <w:t>，</w:t>
      </w:r>
      <w:r w:rsidRPr="00E9462B">
        <w:rPr>
          <w:rFonts w:hint="eastAsia"/>
          <w:lang w:eastAsia="zh-CN"/>
        </w:rPr>
        <w:t>美国建议理事会</w:t>
      </w:r>
      <w:r>
        <w:rPr>
          <w:rFonts w:hint="eastAsia"/>
          <w:lang w:eastAsia="zh-CN"/>
        </w:rPr>
        <w:t>：</w:t>
      </w:r>
    </w:p>
    <w:p w14:paraId="5A4BB5CF" w14:textId="444968AA" w:rsidR="00E9462B" w:rsidRDefault="00E9462B" w:rsidP="00E00C2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E9462B">
        <w:rPr>
          <w:rFonts w:hint="eastAsia"/>
          <w:lang w:eastAsia="zh-CN"/>
        </w:rPr>
        <w:t>澄清第</w:t>
      </w:r>
      <w:r w:rsidRPr="00E9462B">
        <w:rPr>
          <w:rFonts w:hint="eastAsia"/>
          <w:lang w:eastAsia="zh-CN"/>
        </w:rPr>
        <w:t>91</w:t>
      </w:r>
      <w:proofErr w:type="gramStart"/>
      <w:r w:rsidRPr="00E9462B">
        <w:rPr>
          <w:rFonts w:hint="eastAsia"/>
          <w:lang w:eastAsia="zh-CN"/>
        </w:rPr>
        <w:t>号决议规定的“全面成本回收”的预期范围</w:t>
      </w:r>
      <w:proofErr w:type="gramEnd"/>
      <w:r>
        <w:rPr>
          <w:rFonts w:hint="eastAsia"/>
          <w:lang w:eastAsia="zh-CN"/>
        </w:rPr>
        <w:t>，</w:t>
      </w:r>
      <w:proofErr w:type="gramStart"/>
      <w:r w:rsidRPr="00E9462B">
        <w:rPr>
          <w:rFonts w:hint="eastAsia"/>
          <w:lang w:eastAsia="zh-CN"/>
        </w:rPr>
        <w:t>包括对间接成本</w:t>
      </w:r>
      <w:r>
        <w:rPr>
          <w:rFonts w:hint="eastAsia"/>
          <w:lang w:eastAsia="zh-CN"/>
        </w:rPr>
        <w:t>分摊</w:t>
      </w:r>
      <w:r w:rsidRPr="00E9462B">
        <w:rPr>
          <w:rFonts w:hint="eastAsia"/>
          <w:lang w:eastAsia="zh-CN"/>
        </w:rPr>
        <w:t>的限制</w:t>
      </w:r>
      <w:r>
        <w:rPr>
          <w:rFonts w:hint="eastAsia"/>
          <w:lang w:eastAsia="zh-CN"/>
        </w:rPr>
        <w:t>；</w:t>
      </w:r>
      <w:proofErr w:type="gramEnd"/>
    </w:p>
    <w:p w14:paraId="10F1C111" w14:textId="5D1D5C7C" w:rsidR="00E9462B" w:rsidRDefault="00E9462B" w:rsidP="00E00C2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proofErr w:type="gramStart"/>
      <w:r w:rsidRPr="00E9462B">
        <w:rPr>
          <w:rFonts w:hint="eastAsia"/>
          <w:lang w:eastAsia="zh-CN"/>
        </w:rPr>
        <w:t>保留现行的免费申报机制并避免</w:t>
      </w:r>
      <w:r>
        <w:rPr>
          <w:rFonts w:hint="eastAsia"/>
          <w:lang w:eastAsia="zh-CN"/>
        </w:rPr>
        <w:t>在未经更广泛成员国磋商情况下进行</w:t>
      </w:r>
      <w:r w:rsidRPr="00E9462B">
        <w:rPr>
          <w:rFonts w:hint="eastAsia"/>
          <w:lang w:eastAsia="zh-CN"/>
        </w:rPr>
        <w:t>结构性变化</w:t>
      </w:r>
      <w:r>
        <w:rPr>
          <w:rFonts w:hint="eastAsia"/>
          <w:lang w:eastAsia="zh-CN"/>
        </w:rPr>
        <w:t>；</w:t>
      </w:r>
      <w:proofErr w:type="gramEnd"/>
    </w:p>
    <w:p w14:paraId="0EA773F7" w14:textId="776DB93C" w:rsidR="00E9462B" w:rsidRDefault="00E9462B" w:rsidP="00E00C2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proofErr w:type="gramStart"/>
      <w:r>
        <w:rPr>
          <w:rFonts w:hint="eastAsia"/>
          <w:lang w:eastAsia="zh-CN"/>
        </w:rPr>
        <w:t>要</w:t>
      </w:r>
      <w:r w:rsidRPr="00E9462B">
        <w:rPr>
          <w:rFonts w:hint="eastAsia"/>
          <w:lang w:eastAsia="zh-CN"/>
        </w:rPr>
        <w:t>求秘书处明确区分有关</w:t>
      </w:r>
      <w:r w:rsidRPr="00E9462B">
        <w:rPr>
          <w:rFonts w:hint="eastAsia"/>
          <w:lang w:eastAsia="zh-CN"/>
        </w:rPr>
        <w:t>SNF</w:t>
      </w:r>
      <w:r w:rsidR="00F55F8C">
        <w:rPr>
          <w:rFonts w:hint="eastAsia"/>
          <w:lang w:eastAsia="zh-CN"/>
        </w:rPr>
        <w:t>本身</w:t>
      </w:r>
      <w:r w:rsidRPr="00E9462B">
        <w:rPr>
          <w:rFonts w:hint="eastAsia"/>
          <w:lang w:eastAsia="zh-CN"/>
        </w:rPr>
        <w:t>的现代化成本和</w:t>
      </w:r>
      <w:r w:rsidR="00F55F8C">
        <w:rPr>
          <w:rFonts w:hint="eastAsia"/>
          <w:lang w:eastAsia="zh-CN"/>
        </w:rPr>
        <w:t>范围内</w:t>
      </w:r>
      <w:r w:rsidRPr="00E9462B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ICT</w:t>
      </w:r>
      <w:r w:rsidRPr="00E9462B">
        <w:rPr>
          <w:rFonts w:hint="eastAsia"/>
          <w:lang w:eastAsia="zh-CN"/>
        </w:rPr>
        <w:t>投资</w:t>
      </w:r>
      <w:r>
        <w:rPr>
          <w:rFonts w:hint="eastAsia"/>
          <w:lang w:eastAsia="zh-CN"/>
        </w:rPr>
        <w:t>；</w:t>
      </w:r>
      <w:proofErr w:type="gramEnd"/>
    </w:p>
    <w:p w14:paraId="49B4815D" w14:textId="3921809D" w:rsidR="00E9462B" w:rsidRDefault="00E9462B" w:rsidP="00E00C2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proofErr w:type="gramStart"/>
      <w:r w:rsidR="00F31D49">
        <w:rPr>
          <w:rFonts w:hint="eastAsia"/>
          <w:lang w:eastAsia="zh-CN"/>
        </w:rPr>
        <w:t>要求秘书处提供超出编制人员人数之外的间接成本替代分摊基准；</w:t>
      </w:r>
      <w:proofErr w:type="gramEnd"/>
    </w:p>
    <w:p w14:paraId="7347D07E" w14:textId="64A8CE5A" w:rsidR="00F31D49" w:rsidRDefault="00F31D49" w:rsidP="00E00C2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F31D49">
        <w:rPr>
          <w:rFonts w:hint="eastAsia"/>
          <w:lang w:eastAsia="zh-CN"/>
        </w:rPr>
        <w:t>由于缺乏因果</w:t>
      </w:r>
      <w:r>
        <w:rPr>
          <w:rFonts w:hint="eastAsia"/>
          <w:lang w:eastAsia="zh-CN"/>
        </w:rPr>
        <w:t>关系，</w:t>
      </w:r>
      <w:proofErr w:type="gramStart"/>
      <w:r w:rsidRPr="00F31D49">
        <w:rPr>
          <w:rFonts w:hint="eastAsia"/>
          <w:lang w:eastAsia="zh-CN"/>
        </w:rPr>
        <w:t>将离职后健康保险负债从</w:t>
      </w:r>
      <w:r w:rsidRPr="00F31D49">
        <w:rPr>
          <w:rFonts w:hint="eastAsia"/>
          <w:lang w:eastAsia="zh-CN"/>
        </w:rPr>
        <w:t>SNF</w:t>
      </w:r>
      <w:r w:rsidRPr="00F31D49">
        <w:rPr>
          <w:rFonts w:hint="eastAsia"/>
          <w:lang w:eastAsia="zh-CN"/>
        </w:rPr>
        <w:t>成本</w:t>
      </w:r>
      <w:r w:rsidR="00993210">
        <w:rPr>
          <w:rFonts w:hint="eastAsia"/>
          <w:lang w:eastAsia="zh-CN"/>
        </w:rPr>
        <w:t>基数</w:t>
      </w:r>
      <w:r w:rsidRPr="00F31D49">
        <w:rPr>
          <w:rFonts w:hint="eastAsia"/>
          <w:lang w:eastAsia="zh-CN"/>
        </w:rPr>
        <w:t>中去除</w:t>
      </w:r>
      <w:r>
        <w:rPr>
          <w:rFonts w:hint="eastAsia"/>
          <w:lang w:eastAsia="zh-CN"/>
        </w:rPr>
        <w:t>；</w:t>
      </w:r>
      <w:proofErr w:type="gramEnd"/>
    </w:p>
    <w:p w14:paraId="5C7EC04F" w14:textId="1B48BA89" w:rsidR="00F31D49" w:rsidRDefault="00F31D49" w:rsidP="00E00C2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请求</w:t>
      </w:r>
      <w:r w:rsidRPr="00F31D49">
        <w:rPr>
          <w:rFonts w:hint="eastAsia"/>
          <w:lang w:eastAsia="zh-CN"/>
        </w:rPr>
        <w:t>秘书处提供</w:t>
      </w:r>
      <w:r>
        <w:rPr>
          <w:rFonts w:hint="eastAsia"/>
          <w:lang w:eastAsia="zh-CN"/>
        </w:rPr>
        <w:t>其</w:t>
      </w:r>
      <w:r w:rsidRPr="00F31D49">
        <w:rPr>
          <w:rFonts w:hint="eastAsia"/>
          <w:lang w:eastAsia="zh-CN"/>
        </w:rPr>
        <w:t>23.7%</w:t>
      </w:r>
      <w:proofErr w:type="gramStart"/>
      <w:r w:rsidRPr="00F31D49">
        <w:rPr>
          <w:rFonts w:hint="eastAsia"/>
          <w:lang w:eastAsia="zh-CN"/>
        </w:rPr>
        <w:t>间接成本</w:t>
      </w:r>
      <w:r>
        <w:rPr>
          <w:rFonts w:hint="eastAsia"/>
          <w:lang w:eastAsia="zh-CN"/>
        </w:rPr>
        <w:t>数据背后</w:t>
      </w:r>
      <w:r w:rsidRPr="00F31D49">
        <w:rPr>
          <w:rFonts w:hint="eastAsia"/>
          <w:lang w:eastAsia="zh-CN"/>
        </w:rPr>
        <w:t>的基准数据和方法</w:t>
      </w:r>
      <w:r>
        <w:rPr>
          <w:rFonts w:hint="eastAsia"/>
          <w:lang w:eastAsia="zh-CN"/>
        </w:rPr>
        <w:t>；</w:t>
      </w:r>
      <w:proofErr w:type="gramEnd"/>
    </w:p>
    <w:p w14:paraId="4A78E2FD" w14:textId="4B4716FB" w:rsidR="00F31D49" w:rsidRPr="00E9462B" w:rsidRDefault="00F31D49" w:rsidP="00E00C2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确保需求预测假设的透明度，包括敏感性分析。</w:t>
      </w:r>
    </w:p>
    <w:p w14:paraId="38CE088A" w14:textId="77777777" w:rsidR="00E323D0" w:rsidRPr="00E323D0" w:rsidRDefault="00E323D0" w:rsidP="00E00C26">
      <w:r>
        <w:t>______________</w:t>
      </w:r>
    </w:p>
    <w:sectPr w:rsidR="00E323D0" w:rsidRPr="00E323D0" w:rsidSect="00E24D59">
      <w:footerReference w:type="default" r:id="rId19"/>
      <w:headerReference w:type="first" r:id="rId20"/>
      <w:footerReference w:type="first" r:id="rId2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3811" w14:textId="77777777" w:rsidR="00014C59" w:rsidRDefault="00014C59">
      <w:r>
        <w:separator/>
      </w:r>
    </w:p>
  </w:endnote>
  <w:endnote w:type="continuationSeparator" w:id="0">
    <w:p w14:paraId="6629D088" w14:textId="77777777" w:rsidR="00014C59" w:rsidRDefault="0001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256B491F" w14:textId="77777777" w:rsidTr="00E31DCE">
      <w:trPr>
        <w:jc w:val="center"/>
      </w:trPr>
      <w:tc>
        <w:tcPr>
          <w:tcW w:w="1803" w:type="dxa"/>
          <w:vAlign w:val="center"/>
        </w:tcPr>
        <w:p w14:paraId="42BD95BE" w14:textId="666F9FA4" w:rsidR="00E24D59" w:rsidRPr="00993210" w:rsidRDefault="00A13406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 w:rsidRPr="00A13406">
            <w:rPr>
              <w:noProof/>
              <w:color w:val="808080" w:themeColor="background1" w:themeShade="80"/>
            </w:rPr>
            <w:t>#gDoc</w:t>
          </w:r>
          <w:r w:rsidR="00993210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 xml:space="preserve"> 2600942</w:t>
          </w:r>
        </w:p>
      </w:tc>
      <w:tc>
        <w:tcPr>
          <w:tcW w:w="8261" w:type="dxa"/>
        </w:tcPr>
        <w:p w14:paraId="7E267BE0" w14:textId="7E6CB1F2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993210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96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1FE0F0C6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746BAB8" w14:textId="77777777" w:rsidTr="00E31DCE">
      <w:trPr>
        <w:jc w:val="center"/>
      </w:trPr>
      <w:tc>
        <w:tcPr>
          <w:tcW w:w="1803" w:type="dxa"/>
          <w:vAlign w:val="center"/>
        </w:tcPr>
        <w:p w14:paraId="01D610E1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0C522AF5" w14:textId="6971B945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993210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96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7F75FAC6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BA79" w14:textId="77777777" w:rsidR="00014C59" w:rsidRDefault="00014C59">
      <w:r>
        <w:t>____________________</w:t>
      </w:r>
    </w:p>
  </w:footnote>
  <w:footnote w:type="continuationSeparator" w:id="0">
    <w:p w14:paraId="3275E237" w14:textId="77777777" w:rsidR="00014C59" w:rsidRDefault="0001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3F7F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CD"/>
    <w:rsid w:val="00001B77"/>
    <w:rsid w:val="0000517A"/>
    <w:rsid w:val="0000538F"/>
    <w:rsid w:val="00014C59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5333E"/>
    <w:rsid w:val="00157773"/>
    <w:rsid w:val="0018251A"/>
    <w:rsid w:val="001833B7"/>
    <w:rsid w:val="00190272"/>
    <w:rsid w:val="00193244"/>
    <w:rsid w:val="00195C6C"/>
    <w:rsid w:val="00195FED"/>
    <w:rsid w:val="001A4BD6"/>
    <w:rsid w:val="001B6E2B"/>
    <w:rsid w:val="001D129A"/>
    <w:rsid w:val="001D5A18"/>
    <w:rsid w:val="001E1F2C"/>
    <w:rsid w:val="00200372"/>
    <w:rsid w:val="00215132"/>
    <w:rsid w:val="00220C45"/>
    <w:rsid w:val="00224449"/>
    <w:rsid w:val="00243B44"/>
    <w:rsid w:val="00277DEA"/>
    <w:rsid w:val="00280EB8"/>
    <w:rsid w:val="002916B4"/>
    <w:rsid w:val="002A1D39"/>
    <w:rsid w:val="002A6670"/>
    <w:rsid w:val="002C3F32"/>
    <w:rsid w:val="00303502"/>
    <w:rsid w:val="00325C25"/>
    <w:rsid w:val="00372C8F"/>
    <w:rsid w:val="00374715"/>
    <w:rsid w:val="00380ECE"/>
    <w:rsid w:val="00393DDF"/>
    <w:rsid w:val="00397F55"/>
    <w:rsid w:val="003B28F9"/>
    <w:rsid w:val="003B4454"/>
    <w:rsid w:val="003C2E37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55C29"/>
    <w:rsid w:val="005759CC"/>
    <w:rsid w:val="00576C08"/>
    <w:rsid w:val="005845CB"/>
    <w:rsid w:val="005A72E1"/>
    <w:rsid w:val="005C6632"/>
    <w:rsid w:val="005D1C9E"/>
    <w:rsid w:val="005F466D"/>
    <w:rsid w:val="00602842"/>
    <w:rsid w:val="00630DD5"/>
    <w:rsid w:val="00637584"/>
    <w:rsid w:val="00654257"/>
    <w:rsid w:val="0065435A"/>
    <w:rsid w:val="00670D8A"/>
    <w:rsid w:val="006A1ED9"/>
    <w:rsid w:val="006A2DD3"/>
    <w:rsid w:val="006A5113"/>
    <w:rsid w:val="006A5AF8"/>
    <w:rsid w:val="006C36CD"/>
    <w:rsid w:val="00700D1F"/>
    <w:rsid w:val="00711BB3"/>
    <w:rsid w:val="007205CB"/>
    <w:rsid w:val="0072138B"/>
    <w:rsid w:val="00726073"/>
    <w:rsid w:val="00734FE8"/>
    <w:rsid w:val="007360CE"/>
    <w:rsid w:val="00765EF5"/>
    <w:rsid w:val="0077110E"/>
    <w:rsid w:val="00772315"/>
    <w:rsid w:val="00775157"/>
    <w:rsid w:val="007813AE"/>
    <w:rsid w:val="007A37DB"/>
    <w:rsid w:val="007E0667"/>
    <w:rsid w:val="007E189D"/>
    <w:rsid w:val="007F0210"/>
    <w:rsid w:val="007F558C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65CAD"/>
    <w:rsid w:val="00983878"/>
    <w:rsid w:val="0098459B"/>
    <w:rsid w:val="00993210"/>
    <w:rsid w:val="00997185"/>
    <w:rsid w:val="009A3456"/>
    <w:rsid w:val="009A76A8"/>
    <w:rsid w:val="009B4068"/>
    <w:rsid w:val="009C2458"/>
    <w:rsid w:val="009C4A7B"/>
    <w:rsid w:val="009C6123"/>
    <w:rsid w:val="009F1E3E"/>
    <w:rsid w:val="00A01F4F"/>
    <w:rsid w:val="00A03ECD"/>
    <w:rsid w:val="00A109AF"/>
    <w:rsid w:val="00A1213C"/>
    <w:rsid w:val="00A13406"/>
    <w:rsid w:val="00A272FF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56BB0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24DAC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0C26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9462B"/>
    <w:rsid w:val="00EA33B9"/>
    <w:rsid w:val="00ED558C"/>
    <w:rsid w:val="00EE5706"/>
    <w:rsid w:val="00EF373D"/>
    <w:rsid w:val="00F11595"/>
    <w:rsid w:val="00F13BC9"/>
    <w:rsid w:val="00F31D49"/>
    <w:rsid w:val="00F357B2"/>
    <w:rsid w:val="00F36556"/>
    <w:rsid w:val="00F55F8C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4E009"/>
  <w15:docId w15:val="{3AD73C6D-5040-4207-89A7-F9123AC4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558C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19/en" TargetMode="External"/><Relationship Id="rId13" Type="http://schemas.openxmlformats.org/officeDocument/2006/relationships/hyperlink" Target="https://www.itu.int/md/S26-CWGFHR22-C-0002/en" TargetMode="External"/><Relationship Id="rId18" Type="http://schemas.openxmlformats.org/officeDocument/2006/relationships/hyperlink" Target="https://www.itu.int/en/council/Documents/basic-texts-2023/RES-091-E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6-CL-C-0057/en" TargetMode="External"/><Relationship Id="rId17" Type="http://schemas.openxmlformats.org/officeDocument/2006/relationships/hyperlink" Target="https://www.itu.int/en/council/Documents/basic-texts-2023/RES-091-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dms_ties/itu-s/md/14/cl/c/S14-CL-C-0102!!MSW-E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CL-C-0064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dms_ties/itu-s/md/14/cl/c/S14-CL-C-0102!!MSW-E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25-CL-C-0010/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C-0019/en" TargetMode="External"/><Relationship Id="rId14" Type="http://schemas.openxmlformats.org/officeDocument/2006/relationships/hyperlink" Target="https://www.itu.int/md/S26-CWGFHR22-C-0036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youqi\AppData\Local\Microsoft\Windows\INetCache\Content.Outlook\16LT1LDQ\PC_Council26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 (002)</Template>
  <TotalTime>0</TotalTime>
  <Pages>2</Pages>
  <Words>236</Words>
  <Characters>1739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1963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the United States - Comments and proposals on satellite network filings draft methodology</dc:title>
  <dc:subject>ITU Council 2026</dc:subject>
  <dc:creator>GBS</dc:creator>
  <cp:keywords>C26; C2026; Council 2026; PP26</cp:keywords>
  <dc:description/>
  <cp:lastModifiedBy>GBS</cp:lastModifiedBy>
  <cp:revision>2</cp:revision>
  <cp:lastPrinted>2015-02-24T13:23:00Z</cp:lastPrinted>
  <dcterms:created xsi:type="dcterms:W3CDTF">2026-04-26T13:59:00Z</dcterms:created>
  <dcterms:modified xsi:type="dcterms:W3CDTF">2026-04-26T13:59:00Z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