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AC198FB" w14:textId="77777777" w:rsidTr="00F363FE">
        <w:tc>
          <w:tcPr>
            <w:tcW w:w="6512" w:type="dxa"/>
          </w:tcPr>
          <w:p w14:paraId="0775F193" w14:textId="7C5C639E"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25277B">
              <w:rPr>
                <w:rFonts w:hint="cs"/>
                <w:b/>
                <w:bCs/>
                <w:rtl/>
                <w:lang w:bidi="ar-EG"/>
              </w:rPr>
              <w:t xml:space="preserve"> </w:t>
            </w:r>
            <w:r w:rsidR="0025277B">
              <w:rPr>
                <w:b/>
                <w:bCs/>
                <w:lang w:bidi="ar-EG"/>
              </w:rPr>
              <w:t>ADM 1</w:t>
            </w:r>
          </w:p>
        </w:tc>
        <w:tc>
          <w:tcPr>
            <w:tcW w:w="3117" w:type="dxa"/>
          </w:tcPr>
          <w:p w14:paraId="52C14003" w14:textId="73D17AB0"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25277B">
              <w:rPr>
                <w:b/>
                <w:bCs/>
                <w:lang w:bidi="ar-EG"/>
              </w:rPr>
              <w:t>96</w:t>
            </w:r>
            <w:r w:rsidRPr="007B0AA0">
              <w:rPr>
                <w:b/>
                <w:bCs/>
                <w:lang w:bidi="ar-EG"/>
              </w:rPr>
              <w:t>-A</w:t>
            </w:r>
          </w:p>
        </w:tc>
      </w:tr>
      <w:tr w:rsidR="007B0AA0" w14:paraId="3B736B29" w14:textId="77777777" w:rsidTr="00F363FE">
        <w:tc>
          <w:tcPr>
            <w:tcW w:w="6512" w:type="dxa"/>
          </w:tcPr>
          <w:p w14:paraId="5016C74C" w14:textId="77777777" w:rsidR="007B0AA0" w:rsidRPr="007B0AA0" w:rsidRDefault="007B0AA0" w:rsidP="00F363FE">
            <w:pPr>
              <w:spacing w:before="60" w:after="60" w:line="260" w:lineRule="exact"/>
              <w:rPr>
                <w:b/>
                <w:bCs/>
                <w:rtl/>
                <w:lang w:bidi="ar-EG"/>
              </w:rPr>
            </w:pPr>
          </w:p>
        </w:tc>
        <w:tc>
          <w:tcPr>
            <w:tcW w:w="3117" w:type="dxa"/>
          </w:tcPr>
          <w:p w14:paraId="14E8A0F4" w14:textId="3C45F628" w:rsidR="007B0AA0" w:rsidRPr="007B0AA0" w:rsidRDefault="0025277B" w:rsidP="00F363FE">
            <w:pPr>
              <w:spacing w:before="60" w:after="60" w:line="260" w:lineRule="exact"/>
              <w:rPr>
                <w:b/>
                <w:bCs/>
                <w:rtl/>
                <w:lang w:bidi="ar-EG"/>
              </w:rPr>
            </w:pPr>
            <w:r>
              <w:rPr>
                <w:b/>
                <w:bCs/>
                <w:lang w:bidi="ar-EG"/>
              </w:rPr>
              <w:t>14</w:t>
            </w:r>
            <w:r>
              <w:rPr>
                <w:rFonts w:hint="cs"/>
                <w:b/>
                <w:bCs/>
                <w:rtl/>
                <w:lang w:bidi="ar-EG"/>
              </w:rPr>
              <w:t xml:space="preserve"> أبريل 2026</w:t>
            </w:r>
          </w:p>
        </w:tc>
      </w:tr>
      <w:tr w:rsidR="007B0AA0" w14:paraId="4865133F" w14:textId="77777777" w:rsidTr="00F363FE">
        <w:tc>
          <w:tcPr>
            <w:tcW w:w="6512" w:type="dxa"/>
          </w:tcPr>
          <w:p w14:paraId="55E2D86A" w14:textId="77777777" w:rsidR="007B0AA0" w:rsidRPr="007B0AA0" w:rsidRDefault="007B0AA0" w:rsidP="00F363FE">
            <w:pPr>
              <w:spacing w:before="60" w:after="60" w:line="260" w:lineRule="exact"/>
              <w:rPr>
                <w:b/>
                <w:bCs/>
                <w:rtl/>
                <w:lang w:bidi="ar-EG"/>
              </w:rPr>
            </w:pPr>
          </w:p>
        </w:tc>
        <w:tc>
          <w:tcPr>
            <w:tcW w:w="3117" w:type="dxa"/>
          </w:tcPr>
          <w:p w14:paraId="7A953026"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531917A" w14:textId="77777777" w:rsidTr="00F363FE">
        <w:tc>
          <w:tcPr>
            <w:tcW w:w="6512" w:type="dxa"/>
          </w:tcPr>
          <w:p w14:paraId="68A03206" w14:textId="77777777" w:rsidR="007B0AA0" w:rsidRDefault="007B0AA0" w:rsidP="00F363FE">
            <w:pPr>
              <w:spacing w:before="60" w:after="60" w:line="260" w:lineRule="exact"/>
              <w:rPr>
                <w:lang w:bidi="ar-EG"/>
              </w:rPr>
            </w:pPr>
          </w:p>
        </w:tc>
        <w:tc>
          <w:tcPr>
            <w:tcW w:w="3117" w:type="dxa"/>
          </w:tcPr>
          <w:p w14:paraId="64ABFDB9" w14:textId="77777777" w:rsidR="007B0AA0" w:rsidRDefault="007B0AA0" w:rsidP="00F363FE">
            <w:pPr>
              <w:spacing w:before="60" w:after="60" w:line="260" w:lineRule="exact"/>
              <w:rPr>
                <w:rtl/>
                <w:lang w:bidi="ar-EG"/>
              </w:rPr>
            </w:pPr>
          </w:p>
        </w:tc>
      </w:tr>
      <w:tr w:rsidR="007B0AA0" w14:paraId="1DE21B07" w14:textId="77777777" w:rsidTr="00EE7446">
        <w:tc>
          <w:tcPr>
            <w:tcW w:w="9629" w:type="dxa"/>
            <w:gridSpan w:val="2"/>
          </w:tcPr>
          <w:p w14:paraId="49A6C50B" w14:textId="19C1E9C0" w:rsidR="007B0AA0" w:rsidRDefault="0025277B" w:rsidP="0025277B">
            <w:pPr>
              <w:pStyle w:val="Source"/>
              <w:jc w:val="left"/>
              <w:rPr>
                <w:rtl/>
                <w:lang w:bidi="ar-EG"/>
              </w:rPr>
            </w:pPr>
            <w:r w:rsidRPr="0025277B">
              <w:rPr>
                <w:rtl/>
              </w:rPr>
              <w:t>مساهمة مقدمة من الولايات المتحدة الأمريكية</w:t>
            </w:r>
          </w:p>
        </w:tc>
      </w:tr>
      <w:tr w:rsidR="007B0AA0" w14:paraId="05D40408" w14:textId="77777777" w:rsidTr="007B0AA0">
        <w:tc>
          <w:tcPr>
            <w:tcW w:w="9629" w:type="dxa"/>
            <w:gridSpan w:val="2"/>
            <w:tcBorders>
              <w:bottom w:val="single" w:sz="4" w:space="0" w:color="auto"/>
            </w:tcBorders>
          </w:tcPr>
          <w:p w14:paraId="0633A1D4" w14:textId="3DAA717A" w:rsidR="007B0AA0" w:rsidRPr="005546CF" w:rsidRDefault="0025277B" w:rsidP="0025277B">
            <w:pPr>
              <w:pStyle w:val="Subtitle0"/>
              <w:rPr>
                <w:sz w:val="32"/>
                <w:szCs w:val="32"/>
              </w:rPr>
            </w:pPr>
            <w:bookmarkStart w:id="0" w:name="_Hlk218585084"/>
            <w:r w:rsidRPr="0025277B">
              <w:rPr>
                <w:sz w:val="32"/>
                <w:szCs w:val="32"/>
                <w:rtl/>
                <w:lang w:bidi="ar-SA"/>
              </w:rPr>
              <w:t>تعليقات ومقترحات بشأن مشروع منهجية معالجة بطاقات التبليغ عن الشبكات الساتلية</w:t>
            </w:r>
            <w:bookmarkEnd w:id="0"/>
          </w:p>
        </w:tc>
      </w:tr>
      <w:tr w:rsidR="007B0AA0" w14:paraId="4C6A36ED" w14:textId="77777777" w:rsidTr="007B0AA0">
        <w:tc>
          <w:tcPr>
            <w:tcW w:w="9629" w:type="dxa"/>
            <w:gridSpan w:val="2"/>
            <w:tcBorders>
              <w:top w:val="single" w:sz="4" w:space="0" w:color="auto"/>
              <w:bottom w:val="single" w:sz="4" w:space="0" w:color="auto"/>
            </w:tcBorders>
          </w:tcPr>
          <w:p w14:paraId="31AB5B5B" w14:textId="77777777" w:rsidR="007B0AA0" w:rsidRPr="007B0AA0" w:rsidRDefault="007B0AA0" w:rsidP="007B0AA0">
            <w:pPr>
              <w:rPr>
                <w:b/>
                <w:bCs/>
                <w:rtl/>
              </w:rPr>
            </w:pPr>
            <w:r w:rsidRPr="00494119">
              <w:rPr>
                <w:rFonts w:hint="cs"/>
                <w:b/>
                <w:bCs/>
                <w:rtl/>
              </w:rPr>
              <w:t>الغرض</w:t>
            </w:r>
          </w:p>
          <w:p w14:paraId="15DC9198" w14:textId="12D3AB4E" w:rsidR="007B0AA0" w:rsidRDefault="0025277B" w:rsidP="007332D4">
            <w:pPr>
              <w:rPr>
                <w:rtl/>
              </w:rPr>
            </w:pPr>
            <w:r w:rsidRPr="0025277B">
              <w:rPr>
                <w:rtl/>
              </w:rPr>
              <w:t xml:space="preserve">تعلق هذه المساهمة على الوثيقة </w:t>
            </w:r>
            <w:hyperlink r:id="rId8">
              <w:r w:rsidR="007332D4" w:rsidRPr="007332D4">
                <w:rPr>
                  <w:rStyle w:val="Hyperlink"/>
                  <w:noProof w:val="0"/>
                  <w:lang w:val="en-US" w:eastAsia="zh-CN"/>
                </w:rPr>
                <w:t>C26/19</w:t>
              </w:r>
            </w:hyperlink>
            <w:r w:rsidRPr="0025277B">
              <w:rPr>
                <w:rtl/>
              </w:rPr>
              <w:t xml:space="preserve">، التي تعرض المنهجية المقترحة من أمانة الاتحاد لاسترداد تكاليف بطاقات التبليغ عن الشبكات الساتلية </w:t>
            </w:r>
            <w:r w:rsidRPr="0025277B">
              <w:t>(SNF)</w:t>
            </w:r>
            <w:r w:rsidRPr="0025277B">
              <w:rPr>
                <w:rtl/>
              </w:rPr>
              <w:t>. وتعرب الولايات المتحدة عن شكرها للأمانة على اقتراحها. ونظراً للشواغل المبينة أدناه، والتي سبق أن عبرت الولايات المتحدة ودول أعضاء أخرى عن الكثير منها خلال مناقشات سابقة للمجلس والفريق الاستشاري للموارد المالية والبشرية، تعارض الولايات المتحدة الوثيقة C26/19. هناك حاجة إلى مزيد من العمل.</w:t>
            </w:r>
          </w:p>
          <w:p w14:paraId="49CA3E66" w14:textId="77777777" w:rsidR="007B0AA0" w:rsidRPr="007B0AA0" w:rsidRDefault="007B0AA0" w:rsidP="007B0AA0">
            <w:pPr>
              <w:rPr>
                <w:b/>
                <w:bCs/>
                <w:rtl/>
              </w:rPr>
            </w:pPr>
            <w:r w:rsidRPr="007B0AA0">
              <w:rPr>
                <w:rFonts w:hint="cs"/>
                <w:b/>
                <w:bCs/>
                <w:rtl/>
              </w:rPr>
              <w:t>الإجراء المطلوب من المجلس</w:t>
            </w:r>
          </w:p>
          <w:p w14:paraId="6EC8A226" w14:textId="5EAECA0B" w:rsidR="007B0AA0" w:rsidRDefault="0025277B" w:rsidP="007332D4">
            <w:pPr>
              <w:rPr>
                <w:rtl/>
              </w:rPr>
            </w:pPr>
            <w:r w:rsidRPr="0025277B">
              <w:rPr>
                <w:rtl/>
              </w:rPr>
              <w:t xml:space="preserve">يدعى المجلس إلى النظر في تعليقات الولايات المتحدة بشأن استرداد تكاليف بطاقات التبليغ عن الشبكات الساتلية، والموافقة على المقترحات الواردة في هذه المساهمة من حيث صلتها بالوثيقة </w:t>
            </w:r>
            <w:hyperlink r:id="rId9">
              <w:r w:rsidR="007332D4" w:rsidRPr="007332D4">
                <w:rPr>
                  <w:rStyle w:val="Hyperlink"/>
                  <w:noProof w:val="0"/>
                  <w:lang w:val="en-US" w:eastAsia="zh-CN"/>
                </w:rPr>
                <w:t>C26/19</w:t>
              </w:r>
            </w:hyperlink>
            <w:r w:rsidRPr="0025277B">
              <w:rPr>
                <w:rtl/>
              </w:rPr>
              <w:t>.</w:t>
            </w:r>
          </w:p>
          <w:p w14:paraId="45DAF76E"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C5308B5" w14:textId="77777777" w:rsidR="007B0AA0" w:rsidRPr="007B0AA0" w:rsidRDefault="007B0AA0" w:rsidP="007B0AA0">
            <w:pPr>
              <w:rPr>
                <w:b/>
                <w:bCs/>
                <w:rtl/>
              </w:rPr>
            </w:pPr>
            <w:r w:rsidRPr="007B0AA0">
              <w:rPr>
                <w:rFonts w:hint="cs"/>
                <w:b/>
                <w:bCs/>
                <w:rtl/>
              </w:rPr>
              <w:t>المراجع</w:t>
            </w:r>
          </w:p>
          <w:p w14:paraId="1881F394" w14:textId="38B43225" w:rsidR="007B0AA0" w:rsidRPr="005546CF" w:rsidRDefault="0025277B" w:rsidP="007332D4">
            <w:pPr>
              <w:rPr>
                <w:i/>
                <w:iCs/>
                <w:rtl/>
              </w:rPr>
            </w:pPr>
            <w:r w:rsidRPr="007332D4">
              <w:rPr>
                <w:i/>
                <w:iCs/>
                <w:rtl/>
              </w:rPr>
              <w:t xml:space="preserve">الوثائق </w:t>
            </w:r>
            <w:hyperlink r:id="rId10">
              <w:r w:rsidR="007332D4" w:rsidRPr="007332D4">
                <w:rPr>
                  <w:rFonts w:asciiTheme="minorHAnsi" w:hAnsiTheme="minorHAnsi"/>
                  <w:i/>
                  <w:iCs/>
                  <w:color w:val="0563C1"/>
                  <w:u w:val="single"/>
                </w:rPr>
                <w:t>C26/19</w:t>
              </w:r>
            </w:hyperlink>
            <w:r w:rsidRPr="007332D4">
              <w:rPr>
                <w:i/>
                <w:iCs/>
                <w:rtl/>
              </w:rPr>
              <w:t xml:space="preserve"> و</w:t>
            </w:r>
            <w:hyperlink r:id="rId11">
              <w:r w:rsidR="007332D4" w:rsidRPr="007332D4">
                <w:rPr>
                  <w:rStyle w:val="Hyperlink"/>
                  <w:i/>
                  <w:iCs/>
                  <w:noProof w:val="0"/>
                  <w:lang w:eastAsia="zh-CN"/>
                </w:rPr>
                <w:t>C25/10</w:t>
              </w:r>
            </w:hyperlink>
            <w:r w:rsidRPr="007332D4">
              <w:rPr>
                <w:i/>
                <w:iCs/>
                <w:rtl/>
              </w:rPr>
              <w:t xml:space="preserve"> و</w:t>
            </w:r>
            <w:hyperlink r:id="rId12">
              <w:r w:rsidR="007332D4" w:rsidRPr="007332D4">
                <w:rPr>
                  <w:rStyle w:val="Hyperlink"/>
                  <w:i/>
                  <w:iCs/>
                  <w:noProof w:val="0"/>
                  <w:lang w:eastAsia="zh-CN"/>
                </w:rPr>
                <w:t>C25/64</w:t>
              </w:r>
            </w:hyperlink>
            <w:r w:rsidRPr="007332D4">
              <w:rPr>
                <w:i/>
                <w:iCs/>
                <w:rtl/>
              </w:rPr>
              <w:t xml:space="preserve"> و</w:t>
            </w:r>
            <w:hyperlink r:id="rId13" w:history="1">
              <w:r w:rsidR="007332D4" w:rsidRPr="007332D4">
                <w:rPr>
                  <w:rStyle w:val="Hyperlink"/>
                  <w:i/>
                  <w:iCs/>
                  <w:noProof w:val="0"/>
                  <w:lang w:eastAsia="zh-CN"/>
                </w:rPr>
                <w:t>C26/57</w:t>
              </w:r>
            </w:hyperlink>
            <w:r w:rsidRPr="007332D4">
              <w:rPr>
                <w:i/>
                <w:iCs/>
                <w:rtl/>
              </w:rPr>
              <w:t xml:space="preserve"> و</w:t>
            </w:r>
            <w:hyperlink r:id="rId14">
              <w:r w:rsidR="007332D4" w:rsidRPr="007332D4">
                <w:rPr>
                  <w:rStyle w:val="Hyperlink"/>
                  <w:i/>
                  <w:iCs/>
                  <w:noProof w:val="0"/>
                  <w:lang w:eastAsia="zh-CN"/>
                </w:rPr>
                <w:t>CWG-FHR-22/2</w:t>
              </w:r>
            </w:hyperlink>
            <w:r w:rsidRPr="007332D4">
              <w:rPr>
                <w:i/>
                <w:iCs/>
                <w:rtl/>
              </w:rPr>
              <w:t xml:space="preserve"> و</w:t>
            </w:r>
            <w:hyperlink r:id="rId15" w:history="1">
              <w:r w:rsidR="007332D4" w:rsidRPr="007332D4">
                <w:rPr>
                  <w:rStyle w:val="Hyperlink"/>
                  <w:i/>
                  <w:iCs/>
                  <w:noProof w:val="0"/>
                  <w:lang w:val="en-US" w:eastAsia="zh-CN"/>
                </w:rPr>
                <w:t>CWG-FHR-22/36</w:t>
              </w:r>
            </w:hyperlink>
            <w:r w:rsidR="007332D4" w:rsidRPr="007332D4">
              <w:rPr>
                <w:rFonts w:hint="cs"/>
                <w:i/>
                <w:iCs/>
                <w:rtl/>
              </w:rPr>
              <w:t>؛</w:t>
            </w:r>
            <w:r w:rsidRPr="007332D4">
              <w:rPr>
                <w:i/>
                <w:iCs/>
                <w:rtl/>
              </w:rPr>
              <w:t xml:space="preserve"> و</w:t>
            </w:r>
            <w:hyperlink r:id="rId16" w:history="1">
              <w:r w:rsidRPr="007332D4">
                <w:rPr>
                  <w:rStyle w:val="Hyperlink"/>
                  <w:i/>
                  <w:iCs/>
                  <w:noProof w:val="0"/>
                  <w:rtl/>
                  <w:lang w:val="en-US" w:eastAsia="zh-CN"/>
                </w:rPr>
                <w:t xml:space="preserve">مقرر </w:t>
              </w:r>
              <w:r w:rsidR="007332D4" w:rsidRPr="007332D4">
                <w:rPr>
                  <w:rStyle w:val="Hyperlink"/>
                  <w:rFonts w:hint="cs"/>
                  <w:i/>
                  <w:iCs/>
                  <w:noProof w:val="0"/>
                  <w:rtl/>
                  <w:lang w:val="en-US" w:eastAsia="zh-CN"/>
                </w:rPr>
                <w:t>ا</w:t>
              </w:r>
              <w:r w:rsidR="007332D4" w:rsidRPr="007332D4">
                <w:rPr>
                  <w:rStyle w:val="Hyperlink"/>
                  <w:rFonts w:hint="cs"/>
                  <w:i/>
                  <w:iCs/>
                  <w:rtl/>
                </w:rPr>
                <w:t xml:space="preserve">لمجلس </w:t>
              </w:r>
              <w:r w:rsidR="007332D4" w:rsidRPr="007332D4">
                <w:rPr>
                  <w:rStyle w:val="Hyperlink"/>
                  <w:i/>
                  <w:iCs/>
                  <w:noProof w:val="0"/>
                  <w:lang w:val="en-US" w:eastAsia="zh-CN"/>
                </w:rPr>
                <w:t>5</w:t>
              </w:r>
              <w:r w:rsidR="007332D4" w:rsidRPr="007332D4">
                <w:rPr>
                  <w:rStyle w:val="Hyperlink"/>
                  <w:i/>
                  <w:iCs/>
                </w:rPr>
                <w:t>35</w:t>
              </w:r>
              <w:r w:rsidRPr="007332D4">
                <w:rPr>
                  <w:rStyle w:val="Hyperlink"/>
                  <w:i/>
                  <w:iCs/>
                  <w:noProof w:val="0"/>
                  <w:rtl/>
                  <w:lang w:val="en-US" w:eastAsia="zh-CN"/>
                </w:rPr>
                <w:t xml:space="preserve"> (المعدل في 2014)</w:t>
              </w:r>
            </w:hyperlink>
            <w:r w:rsidR="007332D4">
              <w:rPr>
                <w:rFonts w:hint="cs"/>
                <w:i/>
                <w:iCs/>
                <w:rtl/>
              </w:rPr>
              <w:t>؛</w:t>
            </w:r>
            <w:r w:rsidRPr="0025277B">
              <w:rPr>
                <w:i/>
                <w:iCs/>
                <w:rtl/>
              </w:rPr>
              <w:t xml:space="preserve"> و</w:t>
            </w:r>
            <w:hyperlink r:id="rId17" w:history="1">
              <w:r w:rsidRPr="007332D4">
                <w:rPr>
                  <w:rStyle w:val="Hyperlink"/>
                  <w:i/>
                  <w:iCs/>
                  <w:noProof w:val="0"/>
                  <w:rtl/>
                  <w:lang w:val="en-US" w:eastAsia="zh-CN"/>
                </w:rPr>
                <w:t>القرار 91 (المراجَع في غوادالاخارا، 2010)</w:t>
              </w:r>
            </w:hyperlink>
            <w:r w:rsidRPr="0025277B">
              <w:rPr>
                <w:i/>
                <w:iCs/>
                <w:rtl/>
              </w:rPr>
              <w:t xml:space="preserve"> لمؤتمر المندوبين المفوضين</w:t>
            </w:r>
          </w:p>
        </w:tc>
      </w:tr>
    </w:tbl>
    <w:p w14:paraId="5F0EFE1F" w14:textId="77777777" w:rsidR="00F50E3F" w:rsidRDefault="00F50E3F" w:rsidP="0043260A">
      <w:pPr>
        <w:rPr>
          <w:rtl/>
          <w:lang w:bidi="ar-EG"/>
        </w:rPr>
      </w:pPr>
      <w:r>
        <w:rPr>
          <w:rtl/>
          <w:lang w:bidi="ar-EG"/>
        </w:rPr>
        <w:br w:type="page"/>
      </w:r>
    </w:p>
    <w:p w14:paraId="5D08C149" w14:textId="598D70D7" w:rsidR="0025277B" w:rsidRPr="0025277B" w:rsidRDefault="0025277B" w:rsidP="007332D4">
      <w:pPr>
        <w:rPr>
          <w:lang w:val="ar-SA" w:bidi="ar-EG"/>
        </w:rPr>
      </w:pPr>
      <w:r w:rsidRPr="0025277B">
        <w:rPr>
          <w:rtl/>
        </w:rPr>
        <w:lastRenderedPageBreak/>
        <w:t xml:space="preserve">تشكر الولايات المتحدة أمانة الاتحاد على اقتراحها الذي يعرض منهجية لاسترداد تكاليف معالجة بطاقات التبليغ عن الشبكات الساتلية </w:t>
      </w:r>
      <w:r w:rsidRPr="0025277B">
        <w:rPr>
          <w:lang w:bidi="ar-EG"/>
        </w:rPr>
        <w:t>(SNF)</w:t>
      </w:r>
      <w:r w:rsidRPr="0025277B">
        <w:rPr>
          <w:rtl/>
        </w:rPr>
        <w:t xml:space="preserve">. ومع ذلك، تعارض الولايات المتحدة الوثيقة </w:t>
      </w:r>
      <w:hyperlink r:id="rId18">
        <w:r w:rsidR="007332D4" w:rsidRPr="007332D4">
          <w:rPr>
            <w:rStyle w:val="Hyperlink"/>
            <w:noProof w:val="0"/>
            <w:lang w:val="en-US" w:eastAsia="zh-CN"/>
          </w:rPr>
          <w:t>C26/19</w:t>
        </w:r>
      </w:hyperlink>
      <w:r w:rsidRPr="0025277B">
        <w:rPr>
          <w:rtl/>
        </w:rPr>
        <w:t xml:space="preserve">. </w:t>
      </w:r>
      <w:hyperlink r:id="rId19"/>
    </w:p>
    <w:p w14:paraId="33EBEFFA" w14:textId="70796C88" w:rsidR="0025277B" w:rsidRPr="0025277B" w:rsidRDefault="007332D4" w:rsidP="0025277B">
      <w:pPr>
        <w:rPr>
          <w:lang w:val="ar-SA" w:bidi="ar-EG"/>
        </w:rPr>
      </w:pPr>
      <w:r>
        <w:rPr>
          <w:rFonts w:hint="cs"/>
          <w:rtl/>
        </w:rPr>
        <w:t>و</w:t>
      </w:r>
      <w:r w:rsidR="0025277B" w:rsidRPr="0025277B">
        <w:rPr>
          <w:rtl/>
        </w:rPr>
        <w:t xml:space="preserve">إذ لم تتوصل الدول الأعضاء إلى توافق في الآراء بشأن سبيل المضي قدماً. وتدرك الولايات المتحدة أن النظام الحالي لبطاقات الإبلاغ عن الشبكات الساتلية </w:t>
      </w:r>
      <w:r>
        <w:rPr>
          <w:lang w:bidi="ar-EG"/>
        </w:rPr>
        <w:t>(SNF CR)</w:t>
      </w:r>
      <w:r w:rsidR="0025277B" w:rsidRPr="0025277B">
        <w:rPr>
          <w:rtl/>
        </w:rPr>
        <w:t xml:space="preserve"> لا يتماشى تماماً مع جميع التكاليف التي يتحملها مكتب الاتصالات الراديوية </w:t>
      </w:r>
      <w:r w:rsidR="0025277B" w:rsidRPr="0025277B">
        <w:rPr>
          <w:lang w:bidi="ar-EG"/>
        </w:rPr>
        <w:t>(BR)</w:t>
      </w:r>
      <w:r w:rsidR="0025277B" w:rsidRPr="0025277B">
        <w:rPr>
          <w:rtl/>
        </w:rPr>
        <w:t>، ومع ذلك، هناك اعتبارات إضافية تتعلق باسترداد تكاليف بطاقات التبليغ عن الشبكات الساتلية، تقتضي وضع منهجية لاسترداد التكاليف مناسبة لهذا النشاط الأساسي للاتحاد. وتحث الولايات المتحدة الأمانة على تطوير نموذج أكثر شمولاً لوضع هيكل طويل الأجل للشبكات الساتلية؛ وهناك حاجة إلى مزيد من العمل.</w:t>
      </w:r>
    </w:p>
    <w:p w14:paraId="7D621738" w14:textId="77777777" w:rsidR="0025277B" w:rsidRPr="0025277B" w:rsidRDefault="0025277B" w:rsidP="0025277B">
      <w:pPr>
        <w:rPr>
          <w:lang w:val="ar-SA" w:bidi="ar-EG"/>
        </w:rPr>
      </w:pPr>
      <w:r w:rsidRPr="0025277B">
        <w:rPr>
          <w:rtl/>
        </w:rPr>
        <w:t xml:space="preserve">ولا تزال الولايات المتحدة تشعر بالقلق إزاء المنهجية المقترحة من الأمانة وتشجع التعاون الإضافي مع الدول الأعضاء من أجل وضع نموذج لبطاقات التبليغ عن الشبكات الساتلية </w:t>
      </w:r>
      <w:r w:rsidRPr="0025277B">
        <w:rPr>
          <w:lang w:bidi="ar-EG"/>
        </w:rPr>
        <w:t>SNF</w:t>
      </w:r>
      <w:r w:rsidRPr="0025277B">
        <w:rPr>
          <w:rtl/>
        </w:rPr>
        <w:t xml:space="preserve"> يقدر بدقة ويسترد المستوى المناسب من التكاليف المباشرة وغير المباشرة لمكتب الاتصالات الراديوية لمعالجة بطاقات التبليغ الساتلية. علاوة على ذلك، وبالنظر إلى أن المجلس في دورته لعام 2025 وافق على معدلات الشبكات الساتلية خلال السنة المالية 2027، فإن إقرار أي نموذج في دورة المجلس لعام 2026 سيكون سابقاً لأوانه.</w:t>
      </w:r>
    </w:p>
    <w:p w14:paraId="3721B189" w14:textId="02CCE398" w:rsidR="0025277B" w:rsidRDefault="0025277B" w:rsidP="0025277B">
      <w:pPr>
        <w:rPr>
          <w:b/>
          <w:rtl/>
        </w:rPr>
      </w:pPr>
      <w:r w:rsidRPr="0025277B">
        <w:rPr>
          <w:b/>
          <w:rtl/>
        </w:rPr>
        <w:t>وتؤكد الولايات المتحدة على وجهة نظرها أن من الوظائف الأساسية للاتحاد الدولي للاتصالات تسجيل تخصيصات الترددات الراديوية والمواقع المدارية المرتبطة بها. ويعود هذا الدور بالنفع على جميع الدول الأعضاء في الاتحاد، ويُمكّنها من تطبيق لوائح الراديو الصادرة عن الاتحاد بشكل</w:t>
      </w:r>
      <w:r w:rsidR="00045E14">
        <w:rPr>
          <w:rFonts w:hint="cs"/>
          <w:b/>
          <w:rtl/>
        </w:rPr>
        <w:t>ٍ</w:t>
      </w:r>
      <w:r w:rsidRPr="0025277B">
        <w:rPr>
          <w:b/>
          <w:rtl/>
        </w:rPr>
        <w:t xml:space="preserve"> مباشر. وتؤكد الولايات المتحدة أن معالجة بطاقات التبليغ عن الشبكات الساتلية هي وظيفة تنظيمية تفرضها المعاهدة بموجب لوائح الراديو، وأن أي منهجية لاسترداد التكاليف يجب أن تحترم هذا الدور التأسيسي.</w:t>
      </w:r>
    </w:p>
    <w:p w14:paraId="22A4A7B8" w14:textId="77777777" w:rsidR="0025277B" w:rsidRPr="0025277B" w:rsidRDefault="0025277B" w:rsidP="0025277B">
      <w:pPr>
        <w:rPr>
          <w:lang w:val="ar-SA" w:bidi="ar-EG"/>
        </w:rPr>
      </w:pPr>
      <w:r w:rsidRPr="0025277B">
        <w:rPr>
          <w:rtl/>
        </w:rPr>
        <w:t>ودعماً لإطار شفاف وعادل ومتناسق لاسترداد تكاليف بطاقات التبليغ عن الشبكات الساتلية، تقترح الولايات المتحدة أن يقوم المجلس بما يلي:</w:t>
      </w:r>
    </w:p>
    <w:p w14:paraId="21C2F43E" w14:textId="77777777" w:rsidR="0025277B" w:rsidRPr="0025277B" w:rsidRDefault="0025277B" w:rsidP="00EA3B95">
      <w:pPr>
        <w:pStyle w:val="enumlev1"/>
        <w:rPr>
          <w:lang w:val="ar-SA" w:bidi="ar-EG"/>
        </w:rPr>
      </w:pPr>
      <w:r w:rsidRPr="0025277B">
        <w:rPr>
          <w:lang w:bidi="ar-EG"/>
        </w:rPr>
        <w:t>–</w:t>
      </w:r>
      <w:r w:rsidRPr="0025277B">
        <w:rPr>
          <w:rtl/>
        </w:rPr>
        <w:tab/>
        <w:t xml:space="preserve">توضيح النطاق المقصود من "الاسترداد الكامل للتكاليف" بموجب القرار 91، بما في ذلك الحدود المفروضة على توزيع التكاليف غير </w:t>
      </w:r>
      <w:proofErr w:type="gramStart"/>
      <w:r w:rsidRPr="0025277B">
        <w:rPr>
          <w:rtl/>
        </w:rPr>
        <w:t>المباشرة؛</w:t>
      </w:r>
      <w:proofErr w:type="gramEnd"/>
    </w:p>
    <w:p w14:paraId="4F20C36B" w14:textId="77777777" w:rsidR="0025277B" w:rsidRPr="0025277B" w:rsidRDefault="0025277B" w:rsidP="00EA3B95">
      <w:pPr>
        <w:pStyle w:val="enumlev1"/>
        <w:rPr>
          <w:lang w:val="ar-SA" w:bidi="ar-EG"/>
        </w:rPr>
      </w:pPr>
      <w:r w:rsidRPr="0025277B">
        <w:rPr>
          <w:lang w:bidi="ar-EG"/>
        </w:rPr>
        <w:t>–</w:t>
      </w:r>
      <w:r w:rsidRPr="0025277B">
        <w:rPr>
          <w:rtl/>
        </w:rPr>
        <w:tab/>
        <w:t xml:space="preserve">الحفاظ على النظام الحالي لبطاقات التبليغ المجانية وتجنب التغييرات الهيكلية دون التشاور مع الدول الأعضاء على نطاق </w:t>
      </w:r>
      <w:proofErr w:type="gramStart"/>
      <w:r w:rsidRPr="0025277B">
        <w:rPr>
          <w:rtl/>
        </w:rPr>
        <w:t>أوسع؛</w:t>
      </w:r>
      <w:proofErr w:type="gramEnd"/>
    </w:p>
    <w:p w14:paraId="36F5B1FE" w14:textId="77777777" w:rsidR="0025277B" w:rsidRPr="0025277B" w:rsidRDefault="0025277B" w:rsidP="00EA3B95">
      <w:pPr>
        <w:pStyle w:val="enumlev1"/>
        <w:rPr>
          <w:lang w:val="ar-SA" w:bidi="ar-EG"/>
        </w:rPr>
      </w:pPr>
      <w:r w:rsidRPr="0025277B">
        <w:rPr>
          <w:lang w:bidi="ar-EG"/>
        </w:rPr>
        <w:t>–</w:t>
      </w:r>
      <w:r w:rsidRPr="0025277B">
        <w:rPr>
          <w:rtl/>
        </w:rPr>
        <w:tab/>
        <w:t xml:space="preserve">مطالبة الأمانة بالتمييز بوضوح بين تكاليف تحديث معالجة بطاقات التبليغ عن الشبكات الساتلية واستثمارات تكنولوجيا المعلومات والاتصالات على مستوى المنشأة </w:t>
      </w:r>
      <w:proofErr w:type="gramStart"/>
      <w:r w:rsidRPr="0025277B">
        <w:rPr>
          <w:rtl/>
        </w:rPr>
        <w:t>ككل؛</w:t>
      </w:r>
      <w:proofErr w:type="gramEnd"/>
    </w:p>
    <w:p w14:paraId="0ABA3A1D" w14:textId="77777777" w:rsidR="0025277B" w:rsidRPr="0025277B" w:rsidRDefault="0025277B" w:rsidP="00EA3B95">
      <w:pPr>
        <w:pStyle w:val="enumlev1"/>
        <w:rPr>
          <w:lang w:val="ar-SA" w:bidi="ar-EG"/>
        </w:rPr>
      </w:pPr>
      <w:r w:rsidRPr="0025277B">
        <w:rPr>
          <w:lang w:bidi="ar-EG"/>
        </w:rPr>
        <w:t>–</w:t>
      </w:r>
      <w:r w:rsidRPr="0025277B">
        <w:rPr>
          <w:rtl/>
        </w:rPr>
        <w:tab/>
        <w:t xml:space="preserve">مطالبة الأمانة بتوفير أسس بديلة لتوزيع التكاليف غير المباشرة التي تتجاوز عدد </w:t>
      </w:r>
      <w:proofErr w:type="gramStart"/>
      <w:r w:rsidRPr="0025277B">
        <w:rPr>
          <w:rtl/>
        </w:rPr>
        <w:t>الأفراد؛</w:t>
      </w:r>
      <w:proofErr w:type="gramEnd"/>
    </w:p>
    <w:p w14:paraId="25542009" w14:textId="77777777" w:rsidR="0025277B" w:rsidRPr="0025277B" w:rsidRDefault="0025277B" w:rsidP="00EA3B95">
      <w:pPr>
        <w:pStyle w:val="enumlev1"/>
        <w:rPr>
          <w:lang w:val="ar-SA" w:bidi="ar-EG"/>
        </w:rPr>
      </w:pPr>
      <w:r w:rsidRPr="0025277B">
        <w:rPr>
          <w:lang w:bidi="ar-EG"/>
        </w:rPr>
        <w:t>–</w:t>
      </w:r>
      <w:r w:rsidRPr="0025277B">
        <w:rPr>
          <w:rtl/>
        </w:rPr>
        <w:tab/>
        <w:t xml:space="preserve">استبعاد التزامات التأمين الصحي بعد انتهاء مدة الخدمة من قاعدة تكاليف معالجة بطاقات التبليغ عن الشبكات الساتلية نظراً لعدم وجود علاقة </w:t>
      </w:r>
      <w:proofErr w:type="gramStart"/>
      <w:r w:rsidRPr="0025277B">
        <w:rPr>
          <w:rtl/>
        </w:rPr>
        <w:t>سببية؛</w:t>
      </w:r>
      <w:proofErr w:type="gramEnd"/>
    </w:p>
    <w:p w14:paraId="275DC746" w14:textId="77777777" w:rsidR="0025277B" w:rsidRPr="0025277B" w:rsidRDefault="0025277B" w:rsidP="00EA3B95">
      <w:pPr>
        <w:pStyle w:val="enumlev1"/>
        <w:rPr>
          <w:lang w:val="ar-SA" w:bidi="ar-EG"/>
        </w:rPr>
      </w:pPr>
      <w:r w:rsidRPr="0025277B">
        <w:rPr>
          <w:lang w:bidi="ar-EG"/>
        </w:rPr>
        <w:t>–</w:t>
      </w:r>
      <w:r w:rsidRPr="0025277B">
        <w:rPr>
          <w:rtl/>
        </w:rPr>
        <w:tab/>
        <w:t xml:space="preserve">مطالبة الأمانة بتقديم بيانات ومنهجية مرجعية تستند إليها نسبة التكاليف غير المباشرة التي حددتها الأمانة والبالغة 23,7 في </w:t>
      </w:r>
      <w:proofErr w:type="gramStart"/>
      <w:r w:rsidRPr="0025277B">
        <w:rPr>
          <w:rtl/>
        </w:rPr>
        <w:t>المائة؛</w:t>
      </w:r>
      <w:proofErr w:type="gramEnd"/>
    </w:p>
    <w:p w14:paraId="179FF811" w14:textId="53B27F47" w:rsidR="00F50E3F" w:rsidRDefault="0025277B" w:rsidP="00EA3B95">
      <w:pPr>
        <w:pStyle w:val="enumlev1"/>
        <w:rPr>
          <w:lang w:bidi="ar-EG"/>
        </w:rPr>
      </w:pPr>
      <w:r w:rsidRPr="0025277B">
        <w:rPr>
          <w:lang w:bidi="ar-EG"/>
        </w:rPr>
        <w:t>–</w:t>
      </w:r>
      <w:r w:rsidRPr="0025277B">
        <w:rPr>
          <w:rtl/>
        </w:rPr>
        <w:tab/>
        <w:t>ضمان الشفافية في افتراضات التنبؤ بالطلب، بما في ذلك تحليل الحساسية.</w:t>
      </w:r>
    </w:p>
    <w:p w14:paraId="6EFC7492"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0"/>
      <w:headerReference w:type="first" r:id="rId21"/>
      <w:footerReference w:type="first" r:id="rId2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A080" w14:textId="77777777" w:rsidR="0025277B" w:rsidRDefault="0025277B" w:rsidP="006C3242">
      <w:pPr>
        <w:spacing w:before="0" w:line="240" w:lineRule="auto"/>
      </w:pPr>
      <w:r>
        <w:separator/>
      </w:r>
    </w:p>
  </w:endnote>
  <w:endnote w:type="continuationSeparator" w:id="0">
    <w:p w14:paraId="13D2A36D" w14:textId="77777777" w:rsidR="0025277B" w:rsidRDefault="0025277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BFB3C13" w14:textId="77777777" w:rsidTr="00A67F05">
      <w:trPr>
        <w:jc w:val="center"/>
      </w:trPr>
      <w:tc>
        <w:tcPr>
          <w:tcW w:w="868" w:type="pct"/>
          <w:vAlign w:val="center"/>
        </w:tcPr>
        <w:p w14:paraId="753798B9" w14:textId="20D82318" w:rsidR="00F50E3F" w:rsidRPr="007B0AA0" w:rsidRDefault="00C51A9E"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2600942</w:t>
          </w:r>
        </w:p>
      </w:tc>
      <w:tc>
        <w:tcPr>
          <w:tcW w:w="3912" w:type="pct"/>
        </w:tcPr>
        <w:p w14:paraId="70EAF7B3" w14:textId="612270D6"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51A9E">
            <w:rPr>
              <w:rFonts w:ascii="Calibri" w:hAnsi="Calibri" w:cs="Arial"/>
              <w:bCs/>
              <w:color w:val="7F7F7F"/>
              <w:sz w:val="18"/>
            </w:rPr>
            <w:t>96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12D9008"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03C957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699562D" w14:textId="77777777" w:rsidTr="00A67F05">
      <w:trPr>
        <w:jc w:val="center"/>
      </w:trPr>
      <w:tc>
        <w:tcPr>
          <w:tcW w:w="1013" w:type="pct"/>
          <w:vAlign w:val="center"/>
        </w:tcPr>
        <w:p w14:paraId="0298F8D1"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418E2605" w14:textId="63B46F4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51A9E">
            <w:rPr>
              <w:rFonts w:ascii="Calibri" w:hAnsi="Calibri" w:cs="Arial"/>
              <w:bCs/>
              <w:color w:val="7F7F7F"/>
              <w:sz w:val="18"/>
            </w:rPr>
            <w:t>96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5555B39"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38BC63A"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016B" w14:textId="77777777" w:rsidR="0025277B" w:rsidRDefault="0025277B" w:rsidP="006C3242">
      <w:pPr>
        <w:spacing w:before="0" w:line="240" w:lineRule="auto"/>
      </w:pPr>
      <w:r>
        <w:separator/>
      </w:r>
    </w:p>
  </w:footnote>
  <w:footnote w:type="continuationSeparator" w:id="0">
    <w:p w14:paraId="314B5822" w14:textId="77777777" w:rsidR="0025277B" w:rsidRDefault="0025277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7723" w14:textId="77777777" w:rsidR="001A3E13" w:rsidRPr="00057769" w:rsidRDefault="001A3E13" w:rsidP="001A3E13">
    <w:pPr>
      <w:pStyle w:val="Header"/>
    </w:pPr>
    <w:r>
      <w:rPr>
        <w:noProof/>
      </w:rPr>
      <w:drawing>
        <wp:inline distT="0" distB="0" distL="0" distR="0" wp14:anchorId="224F2F5A" wp14:editId="52D84A4A">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7B"/>
    <w:rsid w:val="000116AF"/>
    <w:rsid w:val="00045E14"/>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277B"/>
    <w:rsid w:val="00254393"/>
    <w:rsid w:val="0026373E"/>
    <w:rsid w:val="00271C43"/>
    <w:rsid w:val="00290728"/>
    <w:rsid w:val="002978F4"/>
    <w:rsid w:val="002B028D"/>
    <w:rsid w:val="002C3F32"/>
    <w:rsid w:val="002E6541"/>
    <w:rsid w:val="00334924"/>
    <w:rsid w:val="003409BC"/>
    <w:rsid w:val="00357185"/>
    <w:rsid w:val="00383829"/>
    <w:rsid w:val="003F4B29"/>
    <w:rsid w:val="00405F5F"/>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32D4"/>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599D"/>
    <w:rsid w:val="00C0602B"/>
    <w:rsid w:val="00C224DA"/>
    <w:rsid w:val="00C51A9E"/>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03FBF"/>
    <w:rsid w:val="00E45211"/>
    <w:rsid w:val="00E473C5"/>
    <w:rsid w:val="00E61BE8"/>
    <w:rsid w:val="00E83FF1"/>
    <w:rsid w:val="00E92863"/>
    <w:rsid w:val="00E979B2"/>
    <w:rsid w:val="00EA3B95"/>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E1208"/>
  <w15:chartTrackingRefBased/>
  <w15:docId w15:val="{CCDABD98-B520-4720-9C1D-D3AB719C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19/en" TargetMode="External"/><Relationship Id="rId13" Type="http://schemas.openxmlformats.org/officeDocument/2006/relationships/hyperlink" Target="https://www.itu.int/md/S26-CL-C-0057/en" TargetMode="External"/><Relationship Id="rId18" Type="http://schemas.openxmlformats.org/officeDocument/2006/relationships/hyperlink" Target="https://www.itu.int/md/S26-CL-C-0019/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25-CL-C-0064/en" TargetMode="External"/><Relationship Id="rId17" Type="http://schemas.openxmlformats.org/officeDocument/2006/relationships/hyperlink" Target="https://www.itu.int/en/council/Documents/basic-texts-2023/RES-091-A.pdf" TargetMode="External"/><Relationship Id="rId2" Type="http://schemas.openxmlformats.org/officeDocument/2006/relationships/numbering" Target="numbering.xml"/><Relationship Id="rId16" Type="http://schemas.openxmlformats.org/officeDocument/2006/relationships/hyperlink" Target="https://www.itu.int/dms_ties/itu-s/md/14/cl/c/S14-CL-C-0102!!MSW-A.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10/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6-CWGFHR22-C-0036/en" TargetMode="External"/><Relationship Id="rId23" Type="http://schemas.openxmlformats.org/officeDocument/2006/relationships/fontTable" Target="fontTable.xml"/><Relationship Id="rId10" Type="http://schemas.openxmlformats.org/officeDocument/2006/relationships/hyperlink" Target="https://www.itu.int/md/S26-CL-C-0019/en" TargetMode="External"/><Relationship Id="rId19" Type="http://schemas.openxmlformats.org/officeDocument/2006/relationships/hyperlink" Target="https://www.itu.int/md/S26-CL-C-0019/en" TargetMode="External"/><Relationship Id="rId4" Type="http://schemas.openxmlformats.org/officeDocument/2006/relationships/settings" Target="settings.xml"/><Relationship Id="rId9" Type="http://schemas.openxmlformats.org/officeDocument/2006/relationships/hyperlink" Target="https://www.itu.int/md/S26-CL-C-0019/en" TargetMode="External"/><Relationship Id="rId14" Type="http://schemas.openxmlformats.org/officeDocument/2006/relationships/hyperlink" Target="https://www.itu.int/md/S26-CWGFHR22-C-0002/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2</Pages>
  <Words>550</Words>
  <Characters>3174</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and proposals on satellite network filings draft methodology</dc:title>
  <dc:subject>ITU Council 2026</dc:subject>
  <cp:keywords>C26; C2026; Council 2026; PP26</cp:keywords>
  <dc:description/>
  <dcterms:created xsi:type="dcterms:W3CDTF">2026-04-29T16:17:00Z</dcterms:created>
  <dcterms:modified xsi:type="dcterms:W3CDTF">2026-04-29T16:17:00Z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