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page" w:tblpX="1589" w:tblpY="2314"/>
        <w:tblW w:w="9214" w:type="dxa"/>
        <w:tblLayout w:type="fixed"/>
        <w:tblLook w:val="0000" w:firstRow="0" w:lastRow="0" w:firstColumn="0" w:lastColumn="0" w:noHBand="0" w:noVBand="0"/>
      </w:tblPr>
      <w:tblGrid>
        <w:gridCol w:w="3969"/>
        <w:gridCol w:w="5245"/>
      </w:tblGrid>
      <w:tr w:rsidR="00AD3606" w:rsidRPr="009C09A0" w14:paraId="33984A52" w14:textId="77777777" w:rsidTr="00954C49">
        <w:trPr>
          <w:cantSplit/>
          <w:trHeight w:val="23"/>
        </w:trPr>
        <w:tc>
          <w:tcPr>
            <w:tcW w:w="3969" w:type="dxa"/>
            <w:vMerge w:val="restart"/>
            <w:tcMar>
              <w:left w:w="0" w:type="dxa"/>
            </w:tcMar>
          </w:tcPr>
          <w:p w14:paraId="7B3EDC5A" w14:textId="51FEA718" w:rsidR="00AD3606" w:rsidRPr="00C0458D" w:rsidRDefault="00AD3606" w:rsidP="00954C49">
            <w:pPr>
              <w:tabs>
                <w:tab w:val="left" w:pos="851"/>
              </w:tabs>
              <w:spacing w:before="0" w:line="240" w:lineRule="atLeast"/>
              <w:rPr>
                <w:b/>
              </w:rPr>
            </w:pPr>
            <w:bookmarkStart w:id="0" w:name="dmeeting" w:colFirst="0" w:colLast="0"/>
            <w:bookmarkStart w:id="1" w:name="dnum" w:colFirst="1" w:colLast="1"/>
            <w:bookmarkStart w:id="2" w:name="_Hlk133421839"/>
            <w:bookmarkStart w:id="3" w:name="_Hlk133421856"/>
            <w:bookmarkStart w:id="4" w:name="_Hlk133422370"/>
            <w:bookmarkStart w:id="5" w:name="_Hlk133586559"/>
            <w:r w:rsidRPr="00C0458D">
              <w:rPr>
                <w:b/>
              </w:rPr>
              <w:t xml:space="preserve">Agenda item: </w:t>
            </w:r>
            <w:r w:rsidR="009D7F96">
              <w:rPr>
                <w:b/>
              </w:rPr>
              <w:t>PL 1</w:t>
            </w:r>
          </w:p>
        </w:tc>
        <w:tc>
          <w:tcPr>
            <w:tcW w:w="5245" w:type="dxa"/>
          </w:tcPr>
          <w:p w14:paraId="35986CF2" w14:textId="56190755" w:rsidR="00AD3606" w:rsidRPr="009C09A0" w:rsidRDefault="009C09A0" w:rsidP="00954C49">
            <w:pPr>
              <w:tabs>
                <w:tab w:val="left" w:pos="851"/>
              </w:tabs>
              <w:spacing w:before="0" w:line="240" w:lineRule="atLeast"/>
              <w:jc w:val="right"/>
              <w:rPr>
                <w:b/>
              </w:rPr>
            </w:pPr>
            <w:r w:rsidRPr="001165F6">
              <w:rPr>
                <w:b/>
              </w:rPr>
              <w:t xml:space="preserve">Revision </w:t>
            </w:r>
            <w:r w:rsidR="00C834FE">
              <w:rPr>
                <w:b/>
              </w:rPr>
              <w:t>2</w:t>
            </w:r>
            <w:r w:rsidR="00C834FE" w:rsidRPr="009C09A0">
              <w:rPr>
                <w:b/>
              </w:rPr>
              <w:t xml:space="preserve"> </w:t>
            </w:r>
            <w:r w:rsidRPr="009C09A0">
              <w:rPr>
                <w:b/>
              </w:rPr>
              <w:t>t</w:t>
            </w:r>
            <w:r w:rsidRPr="006F6FEB">
              <w:rPr>
                <w:b/>
              </w:rPr>
              <w:t>o</w:t>
            </w:r>
            <w:r w:rsidRPr="009C09A0">
              <w:rPr>
                <w:b/>
              </w:rPr>
              <w:br/>
            </w:r>
            <w:r w:rsidR="00AD3606" w:rsidRPr="009C09A0">
              <w:rPr>
                <w:b/>
              </w:rPr>
              <w:t>Document C2</w:t>
            </w:r>
            <w:r w:rsidR="00DE532B" w:rsidRPr="009C09A0">
              <w:rPr>
                <w:b/>
              </w:rPr>
              <w:t>6</w:t>
            </w:r>
            <w:r w:rsidR="00AD3606" w:rsidRPr="009C09A0">
              <w:rPr>
                <w:b/>
              </w:rPr>
              <w:t>/</w:t>
            </w:r>
            <w:r w:rsidR="00D250DE" w:rsidRPr="009C09A0">
              <w:rPr>
                <w:b/>
              </w:rPr>
              <w:t>95</w:t>
            </w:r>
            <w:r w:rsidR="00AD3606" w:rsidRPr="009C09A0">
              <w:rPr>
                <w:b/>
              </w:rPr>
              <w:t>-E</w:t>
            </w:r>
          </w:p>
        </w:tc>
      </w:tr>
      <w:tr w:rsidR="00AD3606" w:rsidRPr="00C0458D" w14:paraId="3CF03AAD" w14:textId="77777777" w:rsidTr="00954C49">
        <w:trPr>
          <w:cantSplit/>
        </w:trPr>
        <w:tc>
          <w:tcPr>
            <w:tcW w:w="3969" w:type="dxa"/>
            <w:vMerge/>
          </w:tcPr>
          <w:p w14:paraId="7467ED6C" w14:textId="77777777" w:rsidR="00AD3606" w:rsidRPr="009C09A0" w:rsidRDefault="00AD3606" w:rsidP="00954C49">
            <w:pPr>
              <w:tabs>
                <w:tab w:val="left" w:pos="851"/>
              </w:tabs>
              <w:spacing w:line="240" w:lineRule="atLeast"/>
              <w:rPr>
                <w:b/>
              </w:rPr>
            </w:pPr>
            <w:bookmarkStart w:id="6" w:name="ddate" w:colFirst="1" w:colLast="1"/>
            <w:bookmarkEnd w:id="0"/>
            <w:bookmarkEnd w:id="1"/>
          </w:p>
        </w:tc>
        <w:tc>
          <w:tcPr>
            <w:tcW w:w="5245" w:type="dxa"/>
          </w:tcPr>
          <w:p w14:paraId="520C4CEE" w14:textId="193B1F19" w:rsidR="00AD3606" w:rsidRPr="00C0458D" w:rsidRDefault="00C834FE" w:rsidP="00954C49">
            <w:pPr>
              <w:tabs>
                <w:tab w:val="left" w:pos="851"/>
              </w:tabs>
              <w:spacing w:before="0"/>
              <w:jc w:val="right"/>
              <w:rPr>
                <w:b/>
              </w:rPr>
            </w:pPr>
            <w:r>
              <w:rPr>
                <w:b/>
              </w:rPr>
              <w:t>30</w:t>
            </w:r>
            <w:r>
              <w:rPr>
                <w:b/>
              </w:rPr>
              <w:t xml:space="preserve"> </w:t>
            </w:r>
            <w:r w:rsidR="00D250DE">
              <w:rPr>
                <w:b/>
              </w:rPr>
              <w:t>April 2026</w:t>
            </w:r>
          </w:p>
        </w:tc>
      </w:tr>
      <w:tr w:rsidR="00AD3606" w:rsidRPr="00C0458D" w14:paraId="647F4C7A" w14:textId="77777777" w:rsidTr="00954C49">
        <w:trPr>
          <w:cantSplit/>
          <w:trHeight w:val="23"/>
        </w:trPr>
        <w:tc>
          <w:tcPr>
            <w:tcW w:w="3969" w:type="dxa"/>
            <w:vMerge/>
          </w:tcPr>
          <w:p w14:paraId="6707CE1F" w14:textId="77777777" w:rsidR="00AD3606" w:rsidRPr="00C0458D" w:rsidRDefault="00AD3606" w:rsidP="00954C49">
            <w:pPr>
              <w:tabs>
                <w:tab w:val="left" w:pos="851"/>
              </w:tabs>
              <w:spacing w:line="240" w:lineRule="atLeast"/>
              <w:rPr>
                <w:b/>
              </w:rPr>
            </w:pPr>
            <w:bookmarkStart w:id="7" w:name="dorlang" w:colFirst="1" w:colLast="1"/>
            <w:bookmarkEnd w:id="6"/>
          </w:p>
        </w:tc>
        <w:tc>
          <w:tcPr>
            <w:tcW w:w="5245" w:type="dxa"/>
          </w:tcPr>
          <w:p w14:paraId="317B5BD8" w14:textId="77777777" w:rsidR="00AD3606" w:rsidRPr="00C0458D" w:rsidRDefault="00AD3606" w:rsidP="00954C49">
            <w:pPr>
              <w:tabs>
                <w:tab w:val="left" w:pos="851"/>
              </w:tabs>
              <w:spacing w:before="0" w:line="240" w:lineRule="atLeast"/>
              <w:jc w:val="right"/>
              <w:rPr>
                <w:b/>
              </w:rPr>
            </w:pPr>
            <w:r w:rsidRPr="00C0458D">
              <w:rPr>
                <w:b/>
              </w:rPr>
              <w:t>Original: English</w:t>
            </w:r>
          </w:p>
        </w:tc>
      </w:tr>
      <w:tr w:rsidR="00472BAD" w:rsidRPr="00C0458D" w14:paraId="1A0DF624" w14:textId="77777777" w:rsidTr="00954C49">
        <w:trPr>
          <w:cantSplit/>
          <w:trHeight w:val="23"/>
        </w:trPr>
        <w:tc>
          <w:tcPr>
            <w:tcW w:w="3969" w:type="dxa"/>
          </w:tcPr>
          <w:p w14:paraId="02A5CA74" w14:textId="77777777" w:rsidR="00472BAD" w:rsidRPr="00C0458D" w:rsidRDefault="00472BAD" w:rsidP="00954C49">
            <w:pPr>
              <w:tabs>
                <w:tab w:val="left" w:pos="851"/>
              </w:tabs>
              <w:spacing w:line="240" w:lineRule="atLeast"/>
              <w:rPr>
                <w:b/>
              </w:rPr>
            </w:pPr>
          </w:p>
        </w:tc>
        <w:tc>
          <w:tcPr>
            <w:tcW w:w="5245" w:type="dxa"/>
          </w:tcPr>
          <w:p w14:paraId="2D54675C" w14:textId="77777777" w:rsidR="00472BAD" w:rsidRPr="00C0458D" w:rsidRDefault="00472BAD" w:rsidP="00954C49">
            <w:pPr>
              <w:tabs>
                <w:tab w:val="left" w:pos="851"/>
              </w:tabs>
              <w:spacing w:before="0" w:line="240" w:lineRule="atLeast"/>
              <w:jc w:val="right"/>
              <w:rPr>
                <w:b/>
              </w:rPr>
            </w:pPr>
          </w:p>
        </w:tc>
      </w:tr>
      <w:tr w:rsidR="00AD3606" w:rsidRPr="00C0458D" w14:paraId="6D437DFB" w14:textId="77777777" w:rsidTr="00954C49">
        <w:trPr>
          <w:cantSplit/>
        </w:trPr>
        <w:tc>
          <w:tcPr>
            <w:tcW w:w="9214" w:type="dxa"/>
            <w:gridSpan w:val="2"/>
            <w:tcMar>
              <w:left w:w="0" w:type="dxa"/>
            </w:tcMar>
          </w:tcPr>
          <w:p w14:paraId="24A872A9" w14:textId="764EE5B4" w:rsidR="00AD3606" w:rsidRPr="00C0458D" w:rsidRDefault="003845D3" w:rsidP="0092232B">
            <w:pPr>
              <w:pStyle w:val="Source"/>
              <w:framePr w:hSpace="0" w:wrap="auto" w:vAnchor="margin" w:hAnchor="text" w:xAlign="left" w:yAlign="inline"/>
            </w:pPr>
            <w:bookmarkStart w:id="8" w:name="dsource" w:colFirst="0" w:colLast="0"/>
            <w:bookmarkEnd w:id="7"/>
            <w:r>
              <w:t xml:space="preserve">Contribution by </w:t>
            </w:r>
            <w:r w:rsidR="0092232B">
              <w:t xml:space="preserve">the </w:t>
            </w:r>
            <w:r w:rsidR="0092232B" w:rsidRPr="004152DA">
              <w:t>United Arab Emirates</w:t>
            </w:r>
            <w:r w:rsidR="0092232B">
              <w:t>,</w:t>
            </w:r>
            <w:r w:rsidR="0092232B" w:rsidRPr="004152DA">
              <w:t xml:space="preserve"> </w:t>
            </w:r>
            <w:r w:rsidR="004152DA" w:rsidRPr="004152DA">
              <w:t>Saudi Arabia (Kingdom of)</w:t>
            </w:r>
            <w:r w:rsidR="004152DA">
              <w:t>,</w:t>
            </w:r>
            <w:r w:rsidR="004152DA" w:rsidRPr="004152DA">
              <w:t xml:space="preserve"> Bahrain (Kingdom of), Jordan (Hashemite Kingdom of)</w:t>
            </w:r>
            <w:r w:rsidR="004152DA">
              <w:t>,</w:t>
            </w:r>
            <w:r w:rsidR="004152DA" w:rsidRPr="004152DA">
              <w:t xml:space="preserve"> Kuwait (State of), Oman (Sultanate of), </w:t>
            </w:r>
            <w:r w:rsidR="004152DA">
              <w:t xml:space="preserve">and </w:t>
            </w:r>
            <w:r w:rsidR="004152DA" w:rsidRPr="004152DA">
              <w:t>Qatar (State of)</w:t>
            </w:r>
          </w:p>
        </w:tc>
      </w:tr>
      <w:tr w:rsidR="00AD3606" w:rsidRPr="00C0458D" w14:paraId="5DA031E7" w14:textId="77777777" w:rsidTr="00954C49">
        <w:trPr>
          <w:cantSplit/>
        </w:trPr>
        <w:tc>
          <w:tcPr>
            <w:tcW w:w="9214" w:type="dxa"/>
            <w:gridSpan w:val="2"/>
            <w:tcMar>
              <w:left w:w="0" w:type="dxa"/>
            </w:tcMar>
          </w:tcPr>
          <w:p w14:paraId="5144F60D" w14:textId="7C2BAA32" w:rsidR="00AD3606" w:rsidRPr="00176F47" w:rsidRDefault="00A41EEB" w:rsidP="0092232B">
            <w:pPr>
              <w:pStyle w:val="Subtitle"/>
              <w:framePr w:hSpace="0" w:wrap="auto" w:xAlign="left" w:yAlign="inline"/>
            </w:pPr>
            <w:bookmarkStart w:id="9" w:name="dtitle1" w:colFirst="0" w:colLast="0"/>
            <w:bookmarkEnd w:id="8"/>
            <w:r w:rsidRPr="00A41EEB">
              <w:t>IMPACT ON CIVILIAN TELECOMMUNICATIONS/ICT INFRASTRUCTURE IN</w:t>
            </w:r>
            <w:r w:rsidRPr="00A41EEB">
              <w:rPr>
                <w:lang w:val="en-US"/>
              </w:rPr>
              <w:t xml:space="preserve"> BAHRAIN, KUWAIT, THE UNITED ARAB EMIRATES</w:t>
            </w:r>
            <w:r w:rsidRPr="00A41EEB" w:rsidDel="00A56E36">
              <w:t xml:space="preserve"> </w:t>
            </w:r>
            <w:r w:rsidRPr="00A41EEB">
              <w:t>AND JORDAN, AND ITS IMPLICATIONS FOR REGIONAL AND GLOBAL CONNECTIVITY</w:t>
            </w:r>
          </w:p>
        </w:tc>
      </w:tr>
      <w:tr w:rsidR="00AD3606" w:rsidRPr="00C0458D" w14:paraId="0291B0EA" w14:textId="77777777" w:rsidTr="00954C49">
        <w:trPr>
          <w:cantSplit/>
        </w:trPr>
        <w:tc>
          <w:tcPr>
            <w:tcW w:w="9214" w:type="dxa"/>
            <w:gridSpan w:val="2"/>
            <w:tcBorders>
              <w:top w:val="single" w:sz="4" w:space="0" w:color="auto"/>
              <w:bottom w:val="single" w:sz="4" w:space="0" w:color="auto"/>
            </w:tcBorders>
            <w:tcMar>
              <w:left w:w="0" w:type="dxa"/>
            </w:tcMar>
          </w:tcPr>
          <w:p w14:paraId="65A75B4F" w14:textId="77777777" w:rsidR="00AD3606" w:rsidRPr="00C0458D" w:rsidRDefault="00F16BAB" w:rsidP="00954C49">
            <w:pPr>
              <w:spacing w:before="160"/>
              <w:rPr>
                <w:b/>
                <w:bCs/>
                <w:sz w:val="26"/>
                <w:szCs w:val="26"/>
              </w:rPr>
            </w:pPr>
            <w:r w:rsidRPr="00C0458D">
              <w:rPr>
                <w:b/>
                <w:bCs/>
                <w:sz w:val="26"/>
                <w:szCs w:val="26"/>
              </w:rPr>
              <w:t>Purpose</w:t>
            </w:r>
          </w:p>
          <w:p w14:paraId="6066D138" w14:textId="0DB7A024" w:rsidR="00AD3606" w:rsidRPr="00C0458D" w:rsidRDefault="005F5F6E" w:rsidP="0092232B">
            <w:pPr>
              <w:jc w:val="both"/>
            </w:pPr>
            <w:r w:rsidRPr="005F5F6E">
              <w:t xml:space="preserve">This contribution, presented on behalf of the six </w:t>
            </w:r>
            <w:r w:rsidR="009F20A1" w:rsidRPr="005F5F6E">
              <w:t xml:space="preserve">Member States </w:t>
            </w:r>
            <w:r w:rsidRPr="005F5F6E">
              <w:t xml:space="preserve">of the Cooperation Council for the Arab States of the Gulf (GCC) - </w:t>
            </w:r>
            <w:r w:rsidRPr="005F5F6E">
              <w:rPr>
                <w:lang w:val="en-US"/>
              </w:rPr>
              <w:t>Bahrain, Kuwait, Oman, Qatar, Saudi Arabia, the United Arab Emirates - and of Jordan</w:t>
            </w:r>
            <w:r w:rsidRPr="005F5F6E">
              <w:t xml:space="preserve">, draws the Council’s attention to the unlawful and deliberate targeting of civilian ICT infrastructure in </w:t>
            </w:r>
            <w:bookmarkStart w:id="10" w:name="_Hlk227075036"/>
            <w:r w:rsidRPr="005F5F6E">
              <w:rPr>
                <w:lang w:val="en-US"/>
              </w:rPr>
              <w:t>Bahrain, Kuwait, the United Arab Emirates</w:t>
            </w:r>
            <w:r w:rsidRPr="005F5F6E" w:rsidDel="00EA603F">
              <w:t xml:space="preserve"> </w:t>
            </w:r>
            <w:bookmarkEnd w:id="10"/>
            <w:r w:rsidRPr="005F5F6E">
              <w:t xml:space="preserve">and Jordan since February 2026 by Iran. The GCC </w:t>
            </w:r>
            <w:r w:rsidR="009F20A1" w:rsidRPr="005F5F6E">
              <w:t xml:space="preserve">Member States </w:t>
            </w:r>
            <w:r w:rsidRPr="005F5F6E">
              <w:t>and Jordan collectively endorse the proposals of the United Arab Emirates, including the draft Council Resolution on the Impact on civilian Telecommunications/ICT infrastructure in</w:t>
            </w:r>
            <w:r w:rsidRPr="005F5F6E">
              <w:rPr>
                <w:lang w:val="en-US"/>
              </w:rPr>
              <w:t xml:space="preserve"> Bahrain, Kuwait, the United Arab Emirates</w:t>
            </w:r>
            <w:r w:rsidRPr="005F5F6E" w:rsidDel="00EA603F">
              <w:t xml:space="preserve"> </w:t>
            </w:r>
            <w:r w:rsidRPr="005F5F6E">
              <w:t>and Jordan, and its implications for Regional and Global Connectivity.</w:t>
            </w:r>
          </w:p>
          <w:p w14:paraId="63754448" w14:textId="77777777" w:rsidR="00AD3606" w:rsidRDefault="00AD3606" w:rsidP="0092232B">
            <w:pPr>
              <w:spacing w:before="160"/>
              <w:jc w:val="both"/>
              <w:rPr>
                <w:b/>
                <w:bCs/>
                <w:sz w:val="26"/>
                <w:szCs w:val="26"/>
              </w:rPr>
            </w:pPr>
            <w:r w:rsidRPr="00C0458D">
              <w:rPr>
                <w:b/>
                <w:bCs/>
                <w:sz w:val="26"/>
                <w:szCs w:val="26"/>
              </w:rPr>
              <w:t>Action required</w:t>
            </w:r>
            <w:r w:rsidR="00F16BAB" w:rsidRPr="00C0458D">
              <w:rPr>
                <w:b/>
                <w:bCs/>
                <w:sz w:val="26"/>
                <w:szCs w:val="26"/>
              </w:rPr>
              <w:t xml:space="preserve"> by the Council</w:t>
            </w:r>
          </w:p>
          <w:p w14:paraId="24C9706D" w14:textId="1DDE925C" w:rsidR="00722551" w:rsidRDefault="005F5F6E" w:rsidP="0092232B">
            <w:pPr>
              <w:jc w:val="both"/>
            </w:pPr>
            <w:r w:rsidRPr="005F5F6E">
              <w:t xml:space="preserve">The Council is invited to </w:t>
            </w:r>
            <w:r w:rsidRPr="00BA4863">
              <w:rPr>
                <w:b/>
                <w:bCs/>
              </w:rPr>
              <w:t>consider</w:t>
            </w:r>
            <w:r w:rsidRPr="005F5F6E">
              <w:t xml:space="preserve"> this contribution and to </w:t>
            </w:r>
            <w:r w:rsidRPr="00BA4863">
              <w:rPr>
                <w:b/>
                <w:bCs/>
              </w:rPr>
              <w:t>support</w:t>
            </w:r>
            <w:r w:rsidRPr="005F5F6E">
              <w:t xml:space="preserve"> the adoption of the draft Council Resolution proposed by the United Arab Emirates on behalf of the GCC </w:t>
            </w:r>
            <w:r w:rsidR="00BA4863" w:rsidRPr="005F5F6E">
              <w:t xml:space="preserve">Member States </w:t>
            </w:r>
            <w:r w:rsidRPr="005F5F6E">
              <w:t>and Jordan.</w:t>
            </w:r>
          </w:p>
          <w:p w14:paraId="08F2A353" w14:textId="77777777" w:rsidR="00C0458D" w:rsidRDefault="00C0458D" w:rsidP="00954C49">
            <w:r>
              <w:t>_______________</w:t>
            </w:r>
          </w:p>
          <w:p w14:paraId="5F705648" w14:textId="77777777" w:rsidR="00AD3606" w:rsidRPr="00C0458D" w:rsidRDefault="00AD3606" w:rsidP="00954C49">
            <w:pPr>
              <w:spacing w:before="160"/>
              <w:rPr>
                <w:b/>
                <w:bCs/>
                <w:sz w:val="26"/>
                <w:szCs w:val="26"/>
              </w:rPr>
            </w:pPr>
            <w:r w:rsidRPr="00C0458D">
              <w:rPr>
                <w:b/>
                <w:bCs/>
                <w:sz w:val="26"/>
                <w:szCs w:val="26"/>
              </w:rPr>
              <w:t>References</w:t>
            </w:r>
          </w:p>
          <w:p w14:paraId="73AB02A7" w14:textId="50223729" w:rsidR="00AD3606" w:rsidRPr="00722551" w:rsidRDefault="0061683E" w:rsidP="0092232B">
            <w:pPr>
              <w:spacing w:after="160"/>
              <w:jc w:val="both"/>
              <w:rPr>
                <w:i/>
                <w:iCs/>
                <w:sz w:val="22"/>
                <w:szCs w:val="22"/>
              </w:rPr>
            </w:pPr>
            <w:hyperlink r:id="rId8" w:history="1">
              <w:r w:rsidRPr="0092232B">
                <w:rPr>
                  <w:rStyle w:val="Hyperlink"/>
                  <w:i/>
                  <w:iCs/>
                  <w:sz w:val="22"/>
                  <w:szCs w:val="22"/>
                </w:rPr>
                <w:t>Preamble, Articles 1, 38, and 45 of the ITU Constitution</w:t>
              </w:r>
            </w:hyperlink>
            <w:r w:rsidRPr="0061683E">
              <w:rPr>
                <w:i/>
                <w:iCs/>
                <w:sz w:val="22"/>
                <w:szCs w:val="22"/>
              </w:rPr>
              <w:t>; Resolution</w:t>
            </w:r>
            <w:r w:rsidR="0092232B">
              <w:rPr>
                <w:i/>
                <w:iCs/>
                <w:sz w:val="22"/>
                <w:szCs w:val="22"/>
              </w:rPr>
              <w:t>s</w:t>
            </w:r>
            <w:r w:rsidRPr="0061683E">
              <w:rPr>
                <w:i/>
                <w:iCs/>
                <w:sz w:val="22"/>
                <w:szCs w:val="22"/>
              </w:rPr>
              <w:t xml:space="preserve"> </w:t>
            </w:r>
            <w:hyperlink r:id="rId9" w:history="1">
              <w:r w:rsidRPr="0092232B">
                <w:rPr>
                  <w:rStyle w:val="Hyperlink"/>
                  <w:i/>
                  <w:iCs/>
                  <w:sz w:val="22"/>
                  <w:szCs w:val="22"/>
                </w:rPr>
                <w:t>130 (Rev. Bucharest, 2022)</w:t>
              </w:r>
            </w:hyperlink>
            <w:r w:rsidR="0092232B">
              <w:rPr>
                <w:i/>
                <w:iCs/>
                <w:sz w:val="22"/>
                <w:szCs w:val="22"/>
              </w:rPr>
              <w:t xml:space="preserve"> and </w:t>
            </w:r>
            <w:hyperlink r:id="rId10" w:history="1">
              <w:r w:rsidRPr="0092232B">
                <w:rPr>
                  <w:rStyle w:val="Hyperlink"/>
                  <w:i/>
                  <w:iCs/>
                  <w:sz w:val="22"/>
                  <w:szCs w:val="22"/>
                </w:rPr>
                <w:t>136 (Rev. Bucharest, 2022)</w:t>
              </w:r>
            </w:hyperlink>
            <w:r w:rsidR="0092232B">
              <w:rPr>
                <w:i/>
                <w:iCs/>
                <w:sz w:val="22"/>
                <w:szCs w:val="22"/>
              </w:rPr>
              <w:t xml:space="preserve"> of the Plenipotentiary Conference</w:t>
            </w:r>
            <w:r w:rsidRPr="0061683E">
              <w:rPr>
                <w:i/>
                <w:iCs/>
                <w:sz w:val="22"/>
                <w:szCs w:val="22"/>
              </w:rPr>
              <w:t xml:space="preserve">; WTDC-25 Statement on safeguarding public telecommunication networks and services during armed conflicts and disasters; ITU/ICPC International Advisory Body on Submarine Cable Resilience (Council Document </w:t>
            </w:r>
            <w:hyperlink r:id="rId11" w:history="1">
              <w:r w:rsidRPr="0092232B">
                <w:rPr>
                  <w:rStyle w:val="Hyperlink"/>
                  <w:i/>
                  <w:iCs/>
                  <w:sz w:val="22"/>
                  <w:szCs w:val="22"/>
                </w:rPr>
                <w:t>C25/81</w:t>
              </w:r>
            </w:hyperlink>
            <w:r w:rsidRPr="0061683E">
              <w:rPr>
                <w:i/>
                <w:iCs/>
                <w:sz w:val="22"/>
                <w:szCs w:val="22"/>
              </w:rPr>
              <w:t>); United Nations Security Council Resolution 2817 (2026); Human Rights Council Resolution 61/1.</w:t>
            </w:r>
          </w:p>
        </w:tc>
      </w:tr>
    </w:tbl>
    <w:p w14:paraId="2A3CB862" w14:textId="77777777" w:rsidR="00E227F3" w:rsidRPr="00C0458D" w:rsidRDefault="00E227F3">
      <w:pPr>
        <w:tabs>
          <w:tab w:val="clear" w:pos="567"/>
          <w:tab w:val="clear" w:pos="1134"/>
          <w:tab w:val="clear" w:pos="1701"/>
          <w:tab w:val="clear" w:pos="2268"/>
          <w:tab w:val="clear" w:pos="2835"/>
        </w:tabs>
        <w:overflowPunct/>
        <w:autoSpaceDE/>
        <w:autoSpaceDN/>
        <w:adjustRightInd/>
        <w:spacing w:before="0"/>
        <w:textAlignment w:val="auto"/>
      </w:pPr>
      <w:bookmarkStart w:id="11" w:name="_Hlk133421428"/>
      <w:bookmarkEnd w:id="2"/>
      <w:bookmarkEnd w:id="9"/>
    </w:p>
    <w:bookmarkEnd w:id="3"/>
    <w:bookmarkEnd w:id="4"/>
    <w:p w14:paraId="767A43FE" w14:textId="77777777" w:rsidR="0090147A" w:rsidRPr="00C0458D" w:rsidRDefault="0090147A">
      <w:pPr>
        <w:tabs>
          <w:tab w:val="clear" w:pos="567"/>
          <w:tab w:val="clear" w:pos="1134"/>
          <w:tab w:val="clear" w:pos="1701"/>
          <w:tab w:val="clear" w:pos="2268"/>
          <w:tab w:val="clear" w:pos="2835"/>
        </w:tabs>
        <w:overflowPunct/>
        <w:autoSpaceDE/>
        <w:autoSpaceDN/>
        <w:adjustRightInd/>
        <w:spacing w:before="0"/>
        <w:textAlignment w:val="auto"/>
        <w:rPr>
          <w:b/>
        </w:rPr>
      </w:pPr>
      <w:r w:rsidRPr="00C0458D">
        <w:br w:type="page"/>
      </w:r>
    </w:p>
    <w:bookmarkEnd w:id="5"/>
    <w:bookmarkEnd w:id="11"/>
    <w:p w14:paraId="6408062F" w14:textId="6DF2038F" w:rsidR="0061683E" w:rsidRPr="0061683E" w:rsidRDefault="0061683E" w:rsidP="006B6E68">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rPr>
      </w:pPr>
      <w:r w:rsidRPr="0061683E">
        <w:rPr>
          <w:rFonts w:asciiTheme="minorHAnsi" w:hAnsiTheme="minorHAnsi" w:cstheme="minorHAnsi"/>
          <w:b/>
          <w:bCs/>
        </w:rPr>
        <w:lastRenderedPageBreak/>
        <w:t>1.</w:t>
      </w:r>
      <w:r w:rsidRPr="0061683E">
        <w:rPr>
          <w:rFonts w:asciiTheme="minorHAnsi" w:hAnsiTheme="minorHAnsi" w:cstheme="minorHAnsi"/>
          <w:b/>
          <w:bCs/>
        </w:rPr>
        <w:tab/>
        <w:t>Introduction</w:t>
      </w:r>
    </w:p>
    <w:p w14:paraId="22E22E30" w14:textId="77777777" w:rsidR="0061683E" w:rsidRPr="0061683E" w:rsidRDefault="0061683E" w:rsidP="006B6E68">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rPr>
      </w:pPr>
      <w:r w:rsidRPr="0061683E">
        <w:rPr>
          <w:rFonts w:asciiTheme="minorHAnsi" w:hAnsiTheme="minorHAnsi" w:cstheme="minorHAnsi"/>
        </w:rPr>
        <w:t>1.1</w:t>
      </w:r>
      <w:r w:rsidRPr="0061683E">
        <w:rPr>
          <w:rFonts w:asciiTheme="minorHAnsi" w:hAnsiTheme="minorHAnsi" w:cstheme="minorHAnsi"/>
        </w:rPr>
        <w:tab/>
        <w:t>The Cooperation Council for the Arab States of the Gulf (GCC) - comprising Bahrain, Kuwait, Oman, Qatar, Saudi Arabia and the United Arab Emirates-, and Jordan, represent a region of critical importance to global telecommunications. Furthermore, the Gulf region hosts major submarine cable landing points, data centre clusters, satellite ground stations, and serves as a transit corridor for international data traffic linking Europe, Africa, and Asia.</w:t>
      </w:r>
    </w:p>
    <w:p w14:paraId="5A12BD9B" w14:textId="14624CCA" w:rsidR="0061683E" w:rsidRPr="0061683E" w:rsidRDefault="0061683E" w:rsidP="006B6E68">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rPr>
      </w:pPr>
      <w:r w:rsidRPr="0061683E">
        <w:rPr>
          <w:rFonts w:asciiTheme="minorHAnsi" w:hAnsiTheme="minorHAnsi" w:cstheme="minorHAnsi"/>
        </w:rPr>
        <w:t>1.2</w:t>
      </w:r>
      <w:r w:rsidRPr="0061683E">
        <w:rPr>
          <w:rFonts w:asciiTheme="minorHAnsi" w:hAnsiTheme="minorHAnsi" w:cstheme="minorHAnsi"/>
        </w:rPr>
        <w:tab/>
        <w:t xml:space="preserve">The GCC </w:t>
      </w:r>
      <w:r w:rsidR="0092232B" w:rsidRPr="0061683E">
        <w:rPr>
          <w:rFonts w:asciiTheme="minorHAnsi" w:hAnsiTheme="minorHAnsi" w:cstheme="minorHAnsi"/>
        </w:rPr>
        <w:t xml:space="preserve">Member States </w:t>
      </w:r>
      <w:r w:rsidRPr="0061683E">
        <w:rPr>
          <w:rFonts w:asciiTheme="minorHAnsi" w:hAnsiTheme="minorHAnsi" w:cstheme="minorHAnsi"/>
        </w:rPr>
        <w:t xml:space="preserve">and Jordan note that the United Nations Security Council, in Resolution 2817 (2026) adopted on 11 March 2026, has condemned in the strongest terms the egregious attacks by Iran against the territories of GCC </w:t>
      </w:r>
      <w:r w:rsidR="0092232B" w:rsidRPr="0061683E">
        <w:rPr>
          <w:rFonts w:asciiTheme="minorHAnsi" w:hAnsiTheme="minorHAnsi" w:cstheme="minorHAnsi"/>
        </w:rPr>
        <w:t xml:space="preserve">Member States </w:t>
      </w:r>
      <w:r w:rsidRPr="0061683E">
        <w:rPr>
          <w:rFonts w:asciiTheme="minorHAnsi" w:hAnsiTheme="minorHAnsi" w:cstheme="minorHAnsi"/>
        </w:rPr>
        <w:t>and Jordan, deplored the deliberate targeting of critical civilian infrastructure, demanded the immediate cessation of all attacks and threats, and condemned any actions or threats by Iran aimed at closing or obstructing or otherwise interfering with international navigation through the Strait of Hormuz.</w:t>
      </w:r>
    </w:p>
    <w:p w14:paraId="1C00B8CE" w14:textId="7229A1E3" w:rsidR="0061683E" w:rsidRPr="0061683E" w:rsidRDefault="0061683E" w:rsidP="006B6E68">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rPr>
      </w:pPr>
      <w:r w:rsidRPr="0061683E">
        <w:rPr>
          <w:rFonts w:asciiTheme="minorHAnsi" w:hAnsiTheme="minorHAnsi" w:cstheme="minorHAnsi"/>
        </w:rPr>
        <w:t>1.3</w:t>
      </w:r>
      <w:r w:rsidRPr="0061683E">
        <w:rPr>
          <w:rFonts w:asciiTheme="minorHAnsi" w:hAnsiTheme="minorHAnsi" w:cstheme="minorHAnsi"/>
        </w:rPr>
        <w:tab/>
        <w:t xml:space="preserve">The GCC </w:t>
      </w:r>
      <w:r w:rsidR="0092232B" w:rsidRPr="0061683E">
        <w:rPr>
          <w:rFonts w:asciiTheme="minorHAnsi" w:hAnsiTheme="minorHAnsi" w:cstheme="minorHAnsi"/>
        </w:rPr>
        <w:t xml:space="preserve">Member States </w:t>
      </w:r>
      <w:r w:rsidRPr="0061683E">
        <w:rPr>
          <w:rFonts w:asciiTheme="minorHAnsi" w:hAnsiTheme="minorHAnsi" w:cstheme="minorHAnsi"/>
        </w:rPr>
        <w:t>and Jordan further note that Resolution 61/1 of the Human Rights Council, adopted by consensus on 25 March 2026, condemned all violations of international law, including international humanitarian law and international human rights law, resulting from the attacks by Iran, in particular those involving the targeting of civilians and civilian objects, while also demanding that Iran provide full, effective and prompt reparation to all victims for the damage and injury caused by its attacks.</w:t>
      </w:r>
    </w:p>
    <w:p w14:paraId="62BE73FA" w14:textId="6A6DE34B" w:rsidR="0061683E" w:rsidRPr="0061683E" w:rsidRDefault="0061683E" w:rsidP="006B6E68">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rPr>
      </w:pPr>
      <w:r w:rsidRPr="0061683E">
        <w:rPr>
          <w:rFonts w:asciiTheme="minorHAnsi" w:hAnsiTheme="minorHAnsi" w:cstheme="minorHAnsi"/>
        </w:rPr>
        <w:t>1.4</w:t>
      </w:r>
      <w:r w:rsidRPr="0061683E">
        <w:rPr>
          <w:rFonts w:asciiTheme="minorHAnsi" w:hAnsiTheme="minorHAnsi" w:cstheme="minorHAnsi"/>
        </w:rPr>
        <w:tab/>
        <w:t xml:space="preserve">The GCC </w:t>
      </w:r>
      <w:r w:rsidR="0092232B" w:rsidRPr="0061683E">
        <w:rPr>
          <w:rFonts w:asciiTheme="minorHAnsi" w:hAnsiTheme="minorHAnsi" w:cstheme="minorHAnsi"/>
        </w:rPr>
        <w:t xml:space="preserve">Member States </w:t>
      </w:r>
      <w:r w:rsidRPr="0061683E">
        <w:rPr>
          <w:rFonts w:asciiTheme="minorHAnsi" w:hAnsiTheme="minorHAnsi" w:cstheme="minorHAnsi"/>
        </w:rPr>
        <w:t>and Jordan’s position in this contribution is fully consistent with Resolution 2817 (2026) of the United Nations Security Council and with Resolution 61/1 of the Human Rights Council.</w:t>
      </w:r>
    </w:p>
    <w:p w14:paraId="3F74200D" w14:textId="77777777" w:rsidR="0061683E" w:rsidRPr="0061683E" w:rsidRDefault="0061683E" w:rsidP="006B6E68">
      <w:pPr>
        <w:tabs>
          <w:tab w:val="clear" w:pos="567"/>
          <w:tab w:val="clear" w:pos="1134"/>
          <w:tab w:val="clear" w:pos="1701"/>
          <w:tab w:val="clear" w:pos="2268"/>
          <w:tab w:val="clear" w:pos="2835"/>
        </w:tabs>
        <w:overflowPunct/>
        <w:autoSpaceDE/>
        <w:autoSpaceDN/>
        <w:adjustRightInd/>
        <w:spacing w:before="480" w:after="120"/>
        <w:jc w:val="both"/>
        <w:textAlignment w:val="auto"/>
        <w:rPr>
          <w:rFonts w:asciiTheme="minorHAnsi" w:hAnsiTheme="minorHAnsi" w:cstheme="minorHAnsi"/>
        </w:rPr>
      </w:pPr>
      <w:r w:rsidRPr="0061683E">
        <w:rPr>
          <w:rFonts w:asciiTheme="minorHAnsi" w:hAnsiTheme="minorHAnsi" w:cstheme="minorHAnsi"/>
          <w:b/>
          <w:bCs/>
        </w:rPr>
        <w:t>2.</w:t>
      </w:r>
      <w:r w:rsidRPr="0061683E">
        <w:rPr>
          <w:rFonts w:asciiTheme="minorHAnsi" w:hAnsiTheme="minorHAnsi" w:cstheme="minorHAnsi"/>
          <w:b/>
          <w:bCs/>
        </w:rPr>
        <w:tab/>
        <w:t>Factual Situation</w:t>
      </w:r>
    </w:p>
    <w:p w14:paraId="64FE7194" w14:textId="77777777" w:rsidR="0061683E" w:rsidRPr="0061683E" w:rsidRDefault="0061683E" w:rsidP="006B6E68">
      <w:pPr>
        <w:tabs>
          <w:tab w:val="clear" w:pos="567"/>
          <w:tab w:val="clear" w:pos="1134"/>
          <w:tab w:val="clear" w:pos="1701"/>
          <w:tab w:val="clear" w:pos="2268"/>
          <w:tab w:val="clear" w:pos="2835"/>
        </w:tabs>
        <w:overflowPunct/>
        <w:autoSpaceDE/>
        <w:autoSpaceDN/>
        <w:adjustRightInd/>
        <w:spacing w:before="240" w:after="120"/>
        <w:jc w:val="both"/>
        <w:textAlignment w:val="auto"/>
        <w:rPr>
          <w:rFonts w:asciiTheme="minorHAnsi" w:hAnsiTheme="minorHAnsi" w:cstheme="minorHAnsi"/>
        </w:rPr>
      </w:pPr>
      <w:r w:rsidRPr="0061683E">
        <w:rPr>
          <w:rFonts w:asciiTheme="minorHAnsi" w:hAnsiTheme="minorHAnsi" w:cstheme="minorHAnsi"/>
          <w:b/>
          <w:bCs/>
        </w:rPr>
        <w:t>2.1</w:t>
      </w:r>
      <w:r w:rsidRPr="0061683E">
        <w:rPr>
          <w:rFonts w:asciiTheme="minorHAnsi" w:hAnsiTheme="minorHAnsi" w:cstheme="minorHAnsi"/>
          <w:b/>
          <w:bCs/>
        </w:rPr>
        <w:tab/>
        <w:t>Attacks on civilian ICT infrastructure</w:t>
      </w:r>
    </w:p>
    <w:p w14:paraId="10583953" w14:textId="58872DFD" w:rsidR="0061683E" w:rsidRPr="0061683E" w:rsidRDefault="0061683E" w:rsidP="006B6E68">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rPr>
      </w:pPr>
      <w:r w:rsidRPr="0061683E">
        <w:rPr>
          <w:rFonts w:asciiTheme="minorHAnsi" w:hAnsiTheme="minorHAnsi" w:cstheme="minorHAnsi"/>
        </w:rPr>
        <w:t>2.1.1</w:t>
      </w:r>
      <w:r w:rsidRPr="0061683E">
        <w:rPr>
          <w:rFonts w:asciiTheme="minorHAnsi" w:hAnsiTheme="minorHAnsi" w:cstheme="minorHAnsi"/>
        </w:rPr>
        <w:tab/>
        <w:t xml:space="preserve">Since 28 February 2026, Iran has conducted multiple strikes against civilian ICT infrastructure, including data centres, submarine cable landing stations, satellite earth stations, and satellite communications facilities in </w:t>
      </w:r>
      <w:r w:rsidRPr="0061683E">
        <w:rPr>
          <w:rFonts w:asciiTheme="minorHAnsi" w:hAnsiTheme="minorHAnsi" w:cstheme="minorHAnsi"/>
          <w:lang w:val="en-US"/>
        </w:rPr>
        <w:t>Bahrain, Kuwait, the United Arab Emirates</w:t>
      </w:r>
      <w:r w:rsidRPr="0061683E" w:rsidDel="00EA603F">
        <w:rPr>
          <w:rFonts w:asciiTheme="minorHAnsi" w:hAnsiTheme="minorHAnsi" w:cstheme="minorHAnsi"/>
        </w:rPr>
        <w:t xml:space="preserve"> </w:t>
      </w:r>
      <w:r w:rsidRPr="0061683E">
        <w:rPr>
          <w:rFonts w:asciiTheme="minorHAnsi" w:hAnsiTheme="minorHAnsi" w:cstheme="minorHAnsi"/>
        </w:rPr>
        <w:t xml:space="preserve">and Jordan. The GCC </w:t>
      </w:r>
      <w:r w:rsidR="0092232B" w:rsidRPr="0061683E">
        <w:rPr>
          <w:rFonts w:asciiTheme="minorHAnsi" w:hAnsiTheme="minorHAnsi" w:cstheme="minorHAnsi"/>
        </w:rPr>
        <w:t xml:space="preserve">Member States </w:t>
      </w:r>
      <w:r w:rsidRPr="0061683E">
        <w:rPr>
          <w:rFonts w:asciiTheme="minorHAnsi" w:hAnsiTheme="minorHAnsi" w:cstheme="minorHAnsi"/>
        </w:rPr>
        <w:t>and Jordan note that these attacks constitute the first known deliberate targeting of civilian cloud computing infrastructure globally.</w:t>
      </w:r>
    </w:p>
    <w:p w14:paraId="239BD09D" w14:textId="54FC237E" w:rsidR="0061683E" w:rsidRPr="0061683E" w:rsidRDefault="0061683E" w:rsidP="006B6E68">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rPr>
      </w:pPr>
      <w:r w:rsidRPr="0061683E">
        <w:rPr>
          <w:rFonts w:asciiTheme="minorHAnsi" w:hAnsiTheme="minorHAnsi" w:cstheme="minorHAnsi"/>
        </w:rPr>
        <w:t>2.1.2</w:t>
      </w:r>
      <w:r w:rsidRPr="0061683E">
        <w:rPr>
          <w:rFonts w:asciiTheme="minorHAnsi" w:hAnsiTheme="minorHAnsi" w:cstheme="minorHAnsi"/>
        </w:rPr>
        <w:tab/>
        <w:t xml:space="preserve">Iranian authorities have further issued explicit threats against additional civilian ICT infrastructure across </w:t>
      </w:r>
      <w:r w:rsidRPr="0061683E">
        <w:rPr>
          <w:rFonts w:asciiTheme="minorHAnsi" w:hAnsiTheme="minorHAnsi" w:cstheme="minorHAnsi"/>
          <w:lang w:val="en-US"/>
        </w:rPr>
        <w:t>Bahrain, Kuwait, the United Arab Emirates</w:t>
      </w:r>
      <w:r w:rsidRPr="0061683E" w:rsidDel="00EA603F">
        <w:rPr>
          <w:rFonts w:asciiTheme="minorHAnsi" w:hAnsiTheme="minorHAnsi" w:cstheme="minorHAnsi"/>
        </w:rPr>
        <w:t xml:space="preserve"> </w:t>
      </w:r>
      <w:r w:rsidRPr="0061683E">
        <w:rPr>
          <w:rFonts w:asciiTheme="minorHAnsi" w:hAnsiTheme="minorHAnsi" w:cstheme="minorHAnsi"/>
        </w:rPr>
        <w:t xml:space="preserve">and Jordan. </w:t>
      </w:r>
    </w:p>
    <w:p w14:paraId="2B9ED800" w14:textId="77777777" w:rsidR="0061683E" w:rsidRPr="0061683E" w:rsidRDefault="0061683E" w:rsidP="006B6E68">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rPr>
      </w:pPr>
      <w:r w:rsidRPr="0061683E">
        <w:rPr>
          <w:rFonts w:asciiTheme="minorHAnsi" w:hAnsiTheme="minorHAnsi" w:cstheme="minorHAnsi"/>
          <w:b/>
          <w:bCs/>
        </w:rPr>
        <w:t>2.2</w:t>
      </w:r>
      <w:r w:rsidRPr="0061683E">
        <w:rPr>
          <w:rFonts w:asciiTheme="minorHAnsi" w:hAnsiTheme="minorHAnsi" w:cstheme="minorHAnsi"/>
          <w:b/>
          <w:bCs/>
        </w:rPr>
        <w:tab/>
        <w:t>Impact on submarine cable infrastructure</w:t>
      </w:r>
    </w:p>
    <w:p w14:paraId="07D13DFD" w14:textId="67EA77C8" w:rsidR="0061683E" w:rsidRPr="0061683E" w:rsidRDefault="0061683E" w:rsidP="006B6E68">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rPr>
      </w:pPr>
      <w:r w:rsidRPr="0061683E">
        <w:rPr>
          <w:rFonts w:asciiTheme="minorHAnsi" w:hAnsiTheme="minorHAnsi" w:cstheme="minorHAnsi"/>
        </w:rPr>
        <w:t>2.2.1</w:t>
      </w:r>
      <w:r w:rsidRPr="0061683E">
        <w:rPr>
          <w:rFonts w:asciiTheme="minorHAnsi" w:hAnsiTheme="minorHAnsi" w:cstheme="minorHAnsi"/>
        </w:rPr>
        <w:tab/>
      </w:r>
      <w:r w:rsidRPr="0061683E">
        <w:rPr>
          <w:rFonts w:asciiTheme="minorHAnsi" w:hAnsiTheme="minorHAnsi" w:cstheme="minorHAnsi"/>
          <w:lang w:val="en-US"/>
        </w:rPr>
        <w:t xml:space="preserve">Bahrain, Kuwait, </w:t>
      </w:r>
      <w:r w:rsidR="007232EE">
        <w:rPr>
          <w:rFonts w:asciiTheme="minorHAnsi" w:hAnsiTheme="minorHAnsi" w:cstheme="minorHAnsi"/>
          <w:lang w:val="en-US"/>
        </w:rPr>
        <w:t xml:space="preserve">and </w:t>
      </w:r>
      <w:r w:rsidRPr="0061683E">
        <w:rPr>
          <w:rFonts w:asciiTheme="minorHAnsi" w:hAnsiTheme="minorHAnsi" w:cstheme="minorHAnsi"/>
          <w:lang w:val="en-US"/>
        </w:rPr>
        <w:t>the United Arab Emirates</w:t>
      </w:r>
      <w:r w:rsidRPr="0061683E">
        <w:rPr>
          <w:rFonts w:asciiTheme="minorHAnsi" w:hAnsiTheme="minorHAnsi" w:cstheme="minorHAnsi"/>
        </w:rPr>
        <w:t xml:space="preserve"> are served by multiple major submarine cable systems critical to international connectivity, including FLAG/FALCON, Gulf Bridge International (GBI), 2Africa (Meta), Asia-Africa-Europe 1 (AAE-1) and the PEACE Cable. Over 99 per cent of international data exchange is carried by submarine telecommunications cables.</w:t>
      </w:r>
    </w:p>
    <w:p w14:paraId="0143B90E" w14:textId="77777777" w:rsidR="0061683E" w:rsidRPr="0061683E" w:rsidRDefault="0061683E" w:rsidP="006B6E68">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rPr>
      </w:pPr>
      <w:r w:rsidRPr="0061683E">
        <w:rPr>
          <w:rFonts w:asciiTheme="minorHAnsi" w:hAnsiTheme="minorHAnsi" w:cstheme="minorHAnsi"/>
        </w:rPr>
        <w:t>2.2.2</w:t>
      </w:r>
      <w:r w:rsidRPr="0061683E">
        <w:rPr>
          <w:rFonts w:asciiTheme="minorHAnsi" w:hAnsiTheme="minorHAnsi" w:cstheme="minorHAnsi"/>
        </w:rPr>
        <w:tab/>
        <w:t xml:space="preserve">The security situation has caused: suspension of planned submarine cable segments including sections of the 2Africa project; direct strikes on a submarine cable landing station in the UAE on 31 March and 6 April 2026; postponement of investment in new cable landing stations; significant disruptions to maritime connectivity in the Strait of Hormuz since 3 March </w:t>
      </w:r>
      <w:r w:rsidRPr="0061683E">
        <w:rPr>
          <w:rFonts w:asciiTheme="minorHAnsi" w:hAnsiTheme="minorHAnsi" w:cstheme="minorHAnsi"/>
        </w:rPr>
        <w:lastRenderedPageBreak/>
        <w:t>2026 threatening 17 cable systems; Iran’s Defence Council warning that further escalation could result in sea mines throughout the Gulf; cable repair vessels unable to operate; and insurance cost increases.</w:t>
      </w:r>
    </w:p>
    <w:p w14:paraId="1E1EECA9" w14:textId="5D10A7B4" w:rsidR="0061683E" w:rsidRPr="0061683E" w:rsidRDefault="0061683E" w:rsidP="006B6E68">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rPr>
      </w:pPr>
      <w:r w:rsidRPr="0061683E">
        <w:rPr>
          <w:rFonts w:asciiTheme="minorHAnsi" w:hAnsiTheme="minorHAnsi" w:cstheme="minorHAnsi"/>
        </w:rPr>
        <w:t>2.2.3</w:t>
      </w:r>
      <w:r w:rsidRPr="0061683E">
        <w:rPr>
          <w:rFonts w:asciiTheme="minorHAnsi" w:hAnsiTheme="minorHAnsi" w:cstheme="minorHAnsi"/>
        </w:rPr>
        <w:tab/>
        <w:t xml:space="preserve">The GCC </w:t>
      </w:r>
      <w:r w:rsidR="00B34BE7" w:rsidRPr="0061683E">
        <w:rPr>
          <w:rFonts w:asciiTheme="minorHAnsi" w:hAnsiTheme="minorHAnsi" w:cstheme="minorHAnsi"/>
        </w:rPr>
        <w:t xml:space="preserve">Member States </w:t>
      </w:r>
      <w:r w:rsidRPr="0061683E">
        <w:rPr>
          <w:rFonts w:asciiTheme="minorHAnsi" w:hAnsiTheme="minorHAnsi" w:cstheme="minorHAnsi"/>
        </w:rPr>
        <w:t>and Jordan note the work of the ITU/ICPC International Advisory Body on Submarine Cable Resilience and the 2025 Abuja Summit. The deliberate attacks on and threats to submarine cable infrastructure represent a direct challenge to the Advisory Body’s objectives.</w:t>
      </w:r>
    </w:p>
    <w:p w14:paraId="2369C712" w14:textId="77777777" w:rsidR="0061683E" w:rsidRPr="0061683E" w:rsidRDefault="0061683E" w:rsidP="006B6E68">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rPr>
      </w:pPr>
      <w:r w:rsidRPr="0061683E">
        <w:rPr>
          <w:rFonts w:asciiTheme="minorHAnsi" w:hAnsiTheme="minorHAnsi" w:cstheme="minorHAnsi"/>
          <w:b/>
          <w:bCs/>
        </w:rPr>
        <w:t>2.3</w:t>
      </w:r>
      <w:r w:rsidRPr="0061683E">
        <w:rPr>
          <w:rFonts w:asciiTheme="minorHAnsi" w:hAnsiTheme="minorHAnsi" w:cstheme="minorHAnsi"/>
          <w:b/>
          <w:bCs/>
        </w:rPr>
        <w:tab/>
        <w:t>Coordinated cyber operations</w:t>
      </w:r>
    </w:p>
    <w:p w14:paraId="2C06BAF2" w14:textId="290219C9" w:rsidR="0061683E" w:rsidRPr="0061683E" w:rsidRDefault="0061683E" w:rsidP="006B6E68">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rPr>
      </w:pPr>
      <w:r w:rsidRPr="0061683E">
        <w:rPr>
          <w:rFonts w:asciiTheme="minorHAnsi" w:hAnsiTheme="minorHAnsi" w:cstheme="minorHAnsi"/>
        </w:rPr>
        <w:t>2.3.1</w:t>
      </w:r>
      <w:r w:rsidRPr="0061683E">
        <w:rPr>
          <w:rFonts w:asciiTheme="minorHAnsi" w:hAnsiTheme="minorHAnsi" w:cstheme="minorHAnsi"/>
        </w:rPr>
        <w:tab/>
        <w:t xml:space="preserve"> Concurrently with kinetic operations, Iran-aligned state-sponsored and hacktivist groups have conducted coordinated cyber </w:t>
      </w:r>
      <w:r w:rsidR="00B34BE7" w:rsidRPr="0061683E">
        <w:rPr>
          <w:rFonts w:asciiTheme="minorHAnsi" w:hAnsiTheme="minorHAnsi" w:cstheme="minorHAnsi"/>
        </w:rPr>
        <w:t>campaigns</w:t>
      </w:r>
      <w:r w:rsidRPr="0061683E">
        <w:rPr>
          <w:rFonts w:asciiTheme="minorHAnsi" w:hAnsiTheme="minorHAnsi" w:cstheme="minorHAnsi"/>
        </w:rPr>
        <w:t xml:space="preserve"> against ICT and critical infrastructure across </w:t>
      </w:r>
      <w:r w:rsidRPr="0061683E">
        <w:rPr>
          <w:rFonts w:asciiTheme="minorHAnsi" w:hAnsiTheme="minorHAnsi" w:cstheme="minorHAnsi"/>
          <w:lang w:val="en-US"/>
        </w:rPr>
        <w:t>Bahrain, Kuwait, the United Arab Emirates and Jordan</w:t>
      </w:r>
      <w:r w:rsidRPr="0061683E">
        <w:rPr>
          <w:rFonts w:asciiTheme="minorHAnsi" w:hAnsiTheme="minorHAnsi" w:cstheme="minorHAnsi"/>
        </w:rPr>
        <w:t>. Threat intelligence assessments from Mandiant (Google Cloud) and Microsoft Threat Intelligence confirm that these operations heavily target regional telecommunications providers, cloud infrastructure and government portals to disrupt communications and digital services.</w:t>
      </w:r>
    </w:p>
    <w:p w14:paraId="193E96FE" w14:textId="50A3FD99" w:rsidR="0061683E" w:rsidRPr="0061683E" w:rsidRDefault="0061683E" w:rsidP="006B6E68">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rPr>
      </w:pPr>
      <w:r w:rsidRPr="0061683E">
        <w:rPr>
          <w:rFonts w:asciiTheme="minorHAnsi" w:hAnsiTheme="minorHAnsi" w:cstheme="minorHAnsi"/>
        </w:rPr>
        <w:t xml:space="preserve">2.3.2 Intelligence aggregators, including SOCRadar’s 2026 Cyber Threat Assessment and analysis by Kennedys Law, document an unprecedented mobilization of cyber proxies. Over 60 active threat groups are currently tracked in alignment with the conflict, with at least 53 operating explicitly under pro-Iranian banners (e.g., Handala, 313 Team, and Keymous Plus). These collectives have launched extensive Distributed Denial-of-Service (DDoS) campaigns, data leaks, and destructive attacks against high-risk sectors—including government, banking platforms, airport logistics, and e-commerce within </w:t>
      </w:r>
      <w:r w:rsidRPr="0061683E">
        <w:rPr>
          <w:rFonts w:asciiTheme="minorHAnsi" w:hAnsiTheme="minorHAnsi" w:cstheme="minorHAnsi"/>
          <w:lang w:val="en-US"/>
        </w:rPr>
        <w:t>Bahrain, Kuwait, the United Arab Emirates and Jordan</w:t>
      </w:r>
      <w:r w:rsidRPr="0061683E">
        <w:rPr>
          <w:rFonts w:asciiTheme="minorHAnsi" w:hAnsiTheme="minorHAnsi" w:cstheme="minorHAnsi"/>
        </w:rPr>
        <w:t>.</w:t>
      </w:r>
    </w:p>
    <w:p w14:paraId="11334B88" w14:textId="3E44BEA8" w:rsidR="0061683E" w:rsidRPr="0061683E" w:rsidRDefault="0061683E" w:rsidP="006B6E68">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rPr>
      </w:pPr>
      <w:r w:rsidRPr="0061683E">
        <w:rPr>
          <w:rFonts w:asciiTheme="minorHAnsi" w:hAnsiTheme="minorHAnsi" w:cstheme="minorHAnsi"/>
        </w:rPr>
        <w:t xml:space="preserve">2.3.3 While hacktivists drive surface-level disruptions, Iranian state-sponsored actors linked to the IRGC and MOIS are conducting sophisticated espionage and network persistence operations. Reports from Trellix and Mandiant detail how groups like APT42 (Charming Kitten) have pivoted toward advanced social engineering and credential harvesting to compromise corporate cloud environments and telecommunications frameworks. Concurrently, APT34 (OilRig) and APT39 maintain their established modus operandi: actively penetrating </w:t>
      </w:r>
      <w:r w:rsidRPr="0061683E">
        <w:rPr>
          <w:rFonts w:asciiTheme="minorHAnsi" w:hAnsiTheme="minorHAnsi" w:cstheme="minorHAnsi"/>
          <w:lang w:val="en-US"/>
        </w:rPr>
        <w:t>Bahrain, Kuwait, the United Arab Emirates, and Jordan</w:t>
      </w:r>
      <w:r w:rsidRPr="0061683E" w:rsidDel="002976CF">
        <w:rPr>
          <w:rFonts w:asciiTheme="minorHAnsi" w:hAnsiTheme="minorHAnsi" w:cstheme="minorHAnsi"/>
        </w:rPr>
        <w:t xml:space="preserve"> </w:t>
      </w:r>
      <w:r w:rsidRPr="0061683E">
        <w:rPr>
          <w:rFonts w:asciiTheme="minorHAnsi" w:hAnsiTheme="minorHAnsi" w:cstheme="minorHAnsi"/>
        </w:rPr>
        <w:t>telecommunications providers and Internet Service Providers (ISPs) to facilitate widespread surveillance, counterintelligence tracking, and supply chain compromises.</w:t>
      </w:r>
    </w:p>
    <w:p w14:paraId="77E5538B" w14:textId="77777777" w:rsidR="0061683E" w:rsidRPr="0061683E" w:rsidRDefault="0061683E" w:rsidP="006B6E68">
      <w:pPr>
        <w:tabs>
          <w:tab w:val="clear" w:pos="567"/>
          <w:tab w:val="clear" w:pos="1134"/>
          <w:tab w:val="clear" w:pos="1701"/>
          <w:tab w:val="clear" w:pos="2268"/>
          <w:tab w:val="clear" w:pos="2835"/>
        </w:tabs>
        <w:overflowPunct/>
        <w:autoSpaceDE/>
        <w:autoSpaceDN/>
        <w:adjustRightInd/>
        <w:spacing w:before="480" w:after="120"/>
        <w:jc w:val="both"/>
        <w:textAlignment w:val="auto"/>
        <w:rPr>
          <w:rFonts w:asciiTheme="minorHAnsi" w:hAnsiTheme="minorHAnsi" w:cstheme="minorHAnsi"/>
        </w:rPr>
      </w:pPr>
      <w:r w:rsidRPr="0061683E">
        <w:rPr>
          <w:rFonts w:asciiTheme="minorHAnsi" w:hAnsiTheme="minorHAnsi" w:cstheme="minorHAnsi"/>
          <w:b/>
          <w:bCs/>
        </w:rPr>
        <w:t>3.</w:t>
      </w:r>
      <w:r w:rsidRPr="0061683E">
        <w:rPr>
          <w:rFonts w:asciiTheme="minorHAnsi" w:hAnsiTheme="minorHAnsi" w:cstheme="minorHAnsi"/>
          <w:b/>
          <w:bCs/>
        </w:rPr>
        <w:tab/>
        <w:t>Proposals</w:t>
      </w:r>
    </w:p>
    <w:p w14:paraId="33C2E75B" w14:textId="6E531855" w:rsidR="0061683E" w:rsidRPr="0061683E" w:rsidRDefault="0061683E" w:rsidP="006B6E68">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rPr>
      </w:pPr>
      <w:r w:rsidRPr="0061683E">
        <w:rPr>
          <w:rFonts w:asciiTheme="minorHAnsi" w:hAnsiTheme="minorHAnsi" w:cstheme="minorHAnsi"/>
        </w:rPr>
        <w:t>3.1</w:t>
      </w:r>
      <w:r w:rsidRPr="0061683E">
        <w:rPr>
          <w:rFonts w:asciiTheme="minorHAnsi" w:hAnsiTheme="minorHAnsi" w:cstheme="minorHAnsi"/>
        </w:rPr>
        <w:tab/>
        <w:t xml:space="preserve">The GCC </w:t>
      </w:r>
      <w:r w:rsidR="00B34BE7" w:rsidRPr="0061683E">
        <w:rPr>
          <w:rFonts w:asciiTheme="minorHAnsi" w:hAnsiTheme="minorHAnsi" w:cstheme="minorHAnsi"/>
        </w:rPr>
        <w:t xml:space="preserve">Member States </w:t>
      </w:r>
      <w:r w:rsidRPr="0061683E">
        <w:rPr>
          <w:rFonts w:asciiTheme="minorHAnsi" w:hAnsiTheme="minorHAnsi" w:cstheme="minorHAnsi"/>
        </w:rPr>
        <w:t xml:space="preserve">and Jordan propose that the Council support the adoption of the proposed draft Council Resolution below on the Impact on civilian Telecommunications/ICT Infrastructure in </w:t>
      </w:r>
      <w:r w:rsidRPr="0061683E">
        <w:rPr>
          <w:rFonts w:asciiTheme="minorHAnsi" w:hAnsiTheme="minorHAnsi" w:cstheme="minorHAnsi"/>
          <w:lang w:val="en-US"/>
        </w:rPr>
        <w:t>Bahrain, Kuwait, the United Arab Emirates</w:t>
      </w:r>
      <w:r w:rsidRPr="0061683E" w:rsidDel="00EA603F">
        <w:rPr>
          <w:rFonts w:asciiTheme="minorHAnsi" w:hAnsiTheme="minorHAnsi" w:cstheme="minorHAnsi"/>
        </w:rPr>
        <w:t xml:space="preserve"> </w:t>
      </w:r>
      <w:r w:rsidRPr="0061683E">
        <w:rPr>
          <w:rFonts w:asciiTheme="minorHAnsi" w:hAnsiTheme="minorHAnsi" w:cstheme="minorHAnsi"/>
        </w:rPr>
        <w:t>and Jordan, and its Implications for Regional and Global Connectivity.</w:t>
      </w:r>
    </w:p>
    <w:p w14:paraId="573266D9" w14:textId="04D964E7" w:rsidR="0061683E" w:rsidRPr="0061683E" w:rsidRDefault="0061683E" w:rsidP="006B6E68">
      <w:pPr>
        <w:keepNext/>
        <w:keepLines/>
        <w:tabs>
          <w:tab w:val="clear" w:pos="567"/>
          <w:tab w:val="clear" w:pos="1134"/>
          <w:tab w:val="clear" w:pos="1701"/>
          <w:tab w:val="clear" w:pos="2268"/>
          <w:tab w:val="clear" w:pos="2835"/>
        </w:tabs>
        <w:overflowPunct/>
        <w:autoSpaceDE/>
        <w:autoSpaceDN/>
        <w:adjustRightInd/>
        <w:spacing w:before="360" w:after="120"/>
        <w:ind w:left="709" w:hanging="709"/>
        <w:jc w:val="both"/>
        <w:textAlignment w:val="auto"/>
        <w:rPr>
          <w:rFonts w:asciiTheme="minorHAnsi" w:hAnsiTheme="minorHAnsi" w:cstheme="minorHAnsi"/>
          <w:lang w:val="en-US"/>
        </w:rPr>
      </w:pPr>
      <w:r w:rsidRPr="0061683E">
        <w:rPr>
          <w:rFonts w:asciiTheme="minorHAnsi" w:hAnsiTheme="minorHAnsi" w:cstheme="minorHAnsi"/>
          <w:b/>
          <w:bCs/>
          <w:lang w:val="en-US"/>
        </w:rPr>
        <w:t>4.</w:t>
      </w:r>
      <w:r w:rsidRPr="0061683E">
        <w:rPr>
          <w:rFonts w:asciiTheme="minorHAnsi" w:hAnsiTheme="minorHAnsi" w:cstheme="minorHAnsi"/>
          <w:b/>
          <w:bCs/>
          <w:lang w:val="en-US"/>
        </w:rPr>
        <w:tab/>
        <w:t>Context: Bahrain, Kuwait, the United Arab Emirates</w:t>
      </w:r>
      <w:r w:rsidRPr="0061683E" w:rsidDel="002976CF">
        <w:rPr>
          <w:rFonts w:asciiTheme="minorHAnsi" w:hAnsiTheme="minorHAnsi" w:cstheme="minorHAnsi"/>
          <w:b/>
          <w:bCs/>
          <w:lang w:val="en-US"/>
        </w:rPr>
        <w:t xml:space="preserve"> </w:t>
      </w:r>
      <w:r w:rsidRPr="0061683E">
        <w:rPr>
          <w:rFonts w:asciiTheme="minorHAnsi" w:hAnsiTheme="minorHAnsi" w:cstheme="minorHAnsi"/>
          <w:b/>
          <w:bCs/>
          <w:lang w:val="en-US"/>
        </w:rPr>
        <w:t>and Jordan Digital Transformation and ITU Engagement</w:t>
      </w:r>
    </w:p>
    <w:p w14:paraId="43A0760A" w14:textId="684682D9" w:rsidR="0061683E" w:rsidRPr="0061683E" w:rsidRDefault="0061683E" w:rsidP="006B6E68">
      <w:pPr>
        <w:keepNext/>
        <w:keepLines/>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rPr>
      </w:pPr>
      <w:r w:rsidRPr="0061683E">
        <w:rPr>
          <w:rFonts w:asciiTheme="minorHAnsi" w:hAnsiTheme="minorHAnsi" w:cstheme="minorHAnsi"/>
        </w:rPr>
        <w:t>4.1</w:t>
      </w:r>
      <w:r w:rsidRPr="0061683E">
        <w:rPr>
          <w:rFonts w:asciiTheme="minorHAnsi" w:hAnsiTheme="minorHAnsi" w:cstheme="minorHAnsi"/>
        </w:rPr>
        <w:tab/>
      </w:r>
      <w:r w:rsidRPr="0061683E">
        <w:rPr>
          <w:rFonts w:asciiTheme="minorHAnsi" w:hAnsiTheme="minorHAnsi" w:cstheme="minorHAnsi"/>
          <w:lang w:val="en-US"/>
        </w:rPr>
        <w:t>Bahrain, Kuwait, the United Arab Emirates</w:t>
      </w:r>
      <w:r w:rsidRPr="0061683E" w:rsidDel="002976CF">
        <w:rPr>
          <w:rFonts w:asciiTheme="minorHAnsi" w:hAnsiTheme="minorHAnsi" w:cstheme="minorHAnsi"/>
        </w:rPr>
        <w:t xml:space="preserve"> </w:t>
      </w:r>
      <w:r w:rsidRPr="0061683E">
        <w:rPr>
          <w:rFonts w:asciiTheme="minorHAnsi" w:hAnsiTheme="minorHAnsi" w:cstheme="minorHAnsi"/>
        </w:rPr>
        <w:t>and Jordan are collectively among the most digitally advanced in the region. Major national programmes, including, the UAE’s AI Strategy 2031, Bahrain’s Cloud First Policy, Kuwait’s New Kuwait 2035, represent substantial investments in digital infrastructure and transformation.</w:t>
      </w:r>
    </w:p>
    <w:p w14:paraId="7DDD23FD" w14:textId="7416AB1A" w:rsidR="0061683E" w:rsidRPr="0061683E" w:rsidRDefault="0061683E" w:rsidP="006B6E68">
      <w:pPr>
        <w:keepNext/>
        <w:keepLines/>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rPr>
      </w:pPr>
      <w:r w:rsidRPr="0061683E">
        <w:rPr>
          <w:rFonts w:asciiTheme="minorHAnsi" w:hAnsiTheme="minorHAnsi" w:cstheme="minorHAnsi"/>
        </w:rPr>
        <w:t>4.2</w:t>
      </w:r>
      <w:r w:rsidRPr="0061683E">
        <w:rPr>
          <w:rFonts w:asciiTheme="minorHAnsi" w:hAnsiTheme="minorHAnsi" w:cstheme="minorHAnsi"/>
        </w:rPr>
        <w:tab/>
        <w:t xml:space="preserve">These programmes are directly relevant to the ITU’s work across all three Sectors. The attacks on ICT infrastructure undermine the ability of </w:t>
      </w:r>
      <w:r w:rsidRPr="0061683E">
        <w:rPr>
          <w:rFonts w:asciiTheme="minorHAnsi" w:hAnsiTheme="minorHAnsi" w:cstheme="minorHAnsi"/>
          <w:lang w:val="en-US"/>
        </w:rPr>
        <w:t>Bahrain, Kuwait, the United Arab Emirates</w:t>
      </w:r>
      <w:r w:rsidRPr="0061683E" w:rsidDel="00EA603F">
        <w:rPr>
          <w:rFonts w:asciiTheme="minorHAnsi" w:hAnsiTheme="minorHAnsi" w:cstheme="minorHAnsi"/>
        </w:rPr>
        <w:t xml:space="preserve"> </w:t>
      </w:r>
      <w:r w:rsidRPr="0061683E">
        <w:rPr>
          <w:rFonts w:asciiTheme="minorHAnsi" w:hAnsiTheme="minorHAnsi" w:cstheme="minorHAnsi"/>
        </w:rPr>
        <w:t>and Jordan to pursue these objectives and to contribute to the Connect 2030 Agenda.</w:t>
      </w:r>
    </w:p>
    <w:p w14:paraId="27BA9041" w14:textId="77777777" w:rsidR="0061683E" w:rsidRPr="0061683E" w:rsidRDefault="0061683E" w:rsidP="006B6E68">
      <w:pPr>
        <w:tabs>
          <w:tab w:val="clear" w:pos="567"/>
          <w:tab w:val="clear" w:pos="1134"/>
          <w:tab w:val="clear" w:pos="1701"/>
          <w:tab w:val="clear" w:pos="2268"/>
          <w:tab w:val="clear" w:pos="2835"/>
        </w:tabs>
        <w:overflowPunct/>
        <w:autoSpaceDE/>
        <w:autoSpaceDN/>
        <w:adjustRightInd/>
        <w:spacing w:before="480" w:after="120"/>
        <w:jc w:val="both"/>
        <w:textAlignment w:val="auto"/>
        <w:rPr>
          <w:rFonts w:asciiTheme="minorHAnsi" w:hAnsiTheme="minorHAnsi" w:cstheme="minorHAnsi"/>
        </w:rPr>
      </w:pPr>
      <w:r w:rsidRPr="0061683E">
        <w:rPr>
          <w:rFonts w:asciiTheme="minorHAnsi" w:hAnsiTheme="minorHAnsi" w:cstheme="minorHAnsi"/>
          <w:b/>
          <w:bCs/>
        </w:rPr>
        <w:t>5.</w:t>
      </w:r>
      <w:r w:rsidRPr="0061683E">
        <w:rPr>
          <w:rFonts w:asciiTheme="minorHAnsi" w:hAnsiTheme="minorHAnsi" w:cstheme="minorHAnsi"/>
          <w:b/>
          <w:bCs/>
        </w:rPr>
        <w:tab/>
        <w:t>Conclusion</w:t>
      </w:r>
    </w:p>
    <w:p w14:paraId="3B3CE475" w14:textId="24AEF058" w:rsidR="0061683E" w:rsidRPr="0061683E" w:rsidRDefault="0061683E" w:rsidP="006B6E68">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rPr>
      </w:pPr>
      <w:r w:rsidRPr="0061683E">
        <w:rPr>
          <w:rFonts w:asciiTheme="minorHAnsi" w:hAnsiTheme="minorHAnsi" w:cstheme="minorHAnsi"/>
        </w:rPr>
        <w:t>5.1</w:t>
      </w:r>
      <w:r w:rsidRPr="0061683E">
        <w:rPr>
          <w:rFonts w:asciiTheme="minorHAnsi" w:hAnsiTheme="minorHAnsi" w:cstheme="minorHAnsi"/>
        </w:rPr>
        <w:tab/>
        <w:t xml:space="preserve">The GCC </w:t>
      </w:r>
      <w:r w:rsidR="00B34BE7" w:rsidRPr="0061683E">
        <w:rPr>
          <w:rFonts w:asciiTheme="minorHAnsi" w:hAnsiTheme="minorHAnsi" w:cstheme="minorHAnsi"/>
        </w:rPr>
        <w:t xml:space="preserve">Member States </w:t>
      </w:r>
      <w:r w:rsidRPr="0061683E">
        <w:rPr>
          <w:rFonts w:asciiTheme="minorHAnsi" w:hAnsiTheme="minorHAnsi" w:cstheme="minorHAnsi"/>
        </w:rPr>
        <w:t xml:space="preserve">and Jordan present this contribution as a reflection of their collective concern regarding the unprecedented targeting of civilian ICT infrastructure in </w:t>
      </w:r>
      <w:bookmarkStart w:id="12" w:name="_Hlk227075504"/>
      <w:r w:rsidRPr="0061683E">
        <w:rPr>
          <w:rFonts w:asciiTheme="minorHAnsi" w:hAnsiTheme="minorHAnsi" w:cstheme="minorHAnsi"/>
          <w:lang w:val="en-US"/>
        </w:rPr>
        <w:t>Bahrain, Kuwait, the United Arab Emirates</w:t>
      </w:r>
      <w:bookmarkEnd w:id="12"/>
      <w:r w:rsidRPr="0061683E">
        <w:rPr>
          <w:rFonts w:asciiTheme="minorHAnsi" w:hAnsiTheme="minorHAnsi" w:cstheme="minorHAnsi"/>
          <w:lang w:val="en-US"/>
        </w:rPr>
        <w:t xml:space="preserve">, and Jordan </w:t>
      </w:r>
      <w:r w:rsidRPr="0061683E">
        <w:rPr>
          <w:rFonts w:asciiTheme="minorHAnsi" w:hAnsiTheme="minorHAnsi" w:cstheme="minorHAnsi"/>
        </w:rPr>
        <w:t>by Iran.</w:t>
      </w:r>
    </w:p>
    <w:p w14:paraId="2A1523FD" w14:textId="6C77A7B2" w:rsidR="0061683E" w:rsidRDefault="0061683E" w:rsidP="006B6E68">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rPr>
      </w:pPr>
      <w:r w:rsidRPr="0061683E">
        <w:rPr>
          <w:rFonts w:asciiTheme="minorHAnsi" w:hAnsiTheme="minorHAnsi" w:cstheme="minorHAnsi"/>
        </w:rPr>
        <w:t>5.2</w:t>
      </w:r>
      <w:r w:rsidRPr="0061683E">
        <w:rPr>
          <w:rFonts w:asciiTheme="minorHAnsi" w:hAnsiTheme="minorHAnsi" w:cstheme="minorHAnsi"/>
        </w:rPr>
        <w:tab/>
        <w:t xml:space="preserve">The GCC </w:t>
      </w:r>
      <w:r w:rsidR="00B34BE7" w:rsidRPr="0061683E">
        <w:rPr>
          <w:rFonts w:asciiTheme="minorHAnsi" w:hAnsiTheme="minorHAnsi" w:cstheme="minorHAnsi"/>
        </w:rPr>
        <w:t xml:space="preserve">Member States </w:t>
      </w:r>
      <w:r w:rsidRPr="0061683E">
        <w:rPr>
          <w:rFonts w:asciiTheme="minorHAnsi" w:hAnsiTheme="minorHAnsi" w:cstheme="minorHAnsi"/>
        </w:rPr>
        <w:t xml:space="preserve">and Jordan emphasize that the protection of civilian ICT infrastructure is a matter of fundamental importance to all Member States, not a bilateral concern, and to the mandate of the Union. The GCC </w:t>
      </w:r>
      <w:r w:rsidR="00B34BE7" w:rsidRPr="0061683E">
        <w:rPr>
          <w:rFonts w:asciiTheme="minorHAnsi" w:hAnsiTheme="minorHAnsi" w:cstheme="minorHAnsi"/>
        </w:rPr>
        <w:t xml:space="preserve">Member States </w:t>
      </w:r>
      <w:r w:rsidRPr="0061683E">
        <w:rPr>
          <w:rFonts w:asciiTheme="minorHAnsi" w:hAnsiTheme="minorHAnsi" w:cstheme="minorHAnsi"/>
        </w:rPr>
        <w:t>and Jordan stand ready to engage with all Council members and the Secretariat on the matters raised herein.</w:t>
      </w:r>
    </w:p>
    <w:p w14:paraId="75C76942" w14:textId="55151C50" w:rsidR="006B6E68" w:rsidRPr="0061683E" w:rsidRDefault="006B6E68" w:rsidP="006B6E68">
      <w:pPr>
        <w:tabs>
          <w:tab w:val="clear" w:pos="567"/>
          <w:tab w:val="clear" w:pos="1134"/>
          <w:tab w:val="clear" w:pos="1701"/>
          <w:tab w:val="clear" w:pos="2268"/>
          <w:tab w:val="clear" w:pos="2835"/>
        </w:tabs>
        <w:overflowPunct/>
        <w:autoSpaceDE/>
        <w:autoSpaceDN/>
        <w:adjustRightInd/>
        <w:spacing w:before="2280" w:after="120"/>
        <w:jc w:val="both"/>
        <w:textAlignment w:val="auto"/>
        <w:rPr>
          <w:rFonts w:asciiTheme="minorHAnsi" w:hAnsiTheme="minorHAnsi" w:cstheme="minorHAnsi"/>
          <w:i/>
          <w:iCs/>
        </w:rPr>
      </w:pPr>
      <w:r w:rsidRPr="006B6E68">
        <w:rPr>
          <w:rFonts w:asciiTheme="minorHAnsi" w:hAnsiTheme="minorHAnsi" w:cstheme="minorHAnsi"/>
          <w:i/>
          <w:iCs/>
        </w:rPr>
        <w:t xml:space="preserve">Annex: </w:t>
      </w:r>
      <w:r w:rsidRPr="006B6E68">
        <w:rPr>
          <w:rFonts w:asciiTheme="minorHAnsi" w:hAnsiTheme="minorHAnsi" w:cstheme="minorHAnsi"/>
          <w:b/>
          <w:bCs/>
          <w:i/>
          <w:iCs/>
        </w:rPr>
        <w:t>1</w:t>
      </w:r>
    </w:p>
    <w:p w14:paraId="08125F54" w14:textId="77777777" w:rsidR="0061683E" w:rsidRPr="0061683E" w:rsidRDefault="0061683E" w:rsidP="006B6E68">
      <w:pPr>
        <w:tabs>
          <w:tab w:val="clear" w:pos="567"/>
          <w:tab w:val="clear" w:pos="1134"/>
          <w:tab w:val="clear" w:pos="1701"/>
          <w:tab w:val="clear" w:pos="2268"/>
          <w:tab w:val="clear" w:pos="2835"/>
        </w:tabs>
        <w:overflowPunct/>
        <w:autoSpaceDE/>
        <w:autoSpaceDN/>
        <w:adjustRightInd/>
        <w:spacing w:after="120"/>
        <w:jc w:val="both"/>
        <w:textAlignment w:val="auto"/>
        <w:rPr>
          <w:rFonts w:asciiTheme="minorHAnsi" w:hAnsiTheme="minorHAnsi" w:cstheme="minorHAnsi"/>
        </w:rPr>
      </w:pPr>
      <w:r w:rsidRPr="0061683E">
        <w:rPr>
          <w:rFonts w:asciiTheme="minorHAnsi" w:hAnsiTheme="minorHAnsi" w:cstheme="minorHAnsi"/>
        </w:rPr>
        <w:br w:type="page"/>
      </w:r>
    </w:p>
    <w:p w14:paraId="59B2E82D" w14:textId="77777777" w:rsidR="006B6E68" w:rsidRDefault="0061683E" w:rsidP="006B6E68">
      <w:pPr>
        <w:pStyle w:val="AnnexNo"/>
      </w:pPr>
      <w:r w:rsidRPr="0061683E">
        <w:t>ANNEX</w:t>
      </w:r>
    </w:p>
    <w:p w14:paraId="43DFD8C1" w14:textId="6D6EF43F" w:rsidR="0061683E" w:rsidRPr="0061683E" w:rsidRDefault="0061683E" w:rsidP="006B6E68">
      <w:pPr>
        <w:pStyle w:val="AnnexNo"/>
      </w:pPr>
      <w:r w:rsidRPr="0061683E">
        <w:t xml:space="preserve">DRAFT </w:t>
      </w:r>
      <w:r w:rsidR="00BA4863">
        <w:t xml:space="preserve">NEW </w:t>
      </w:r>
      <w:r w:rsidRPr="0061683E">
        <w:t>RESOLUTION [</w:t>
      </w:r>
      <w:r w:rsidR="00F97577">
        <w:t>…</w:t>
      </w:r>
      <w:r w:rsidRPr="0061683E">
        <w:t>]</w:t>
      </w:r>
    </w:p>
    <w:p w14:paraId="6394F723" w14:textId="66472906" w:rsidR="0061683E" w:rsidRPr="0061683E" w:rsidRDefault="0061683E" w:rsidP="00F97577">
      <w:pPr>
        <w:pStyle w:val="Restitle"/>
        <w:rPr>
          <w:lang w:val="en-US"/>
        </w:rPr>
      </w:pPr>
      <w:r w:rsidRPr="0061683E">
        <w:rPr>
          <w:lang w:val="en-US"/>
        </w:rPr>
        <w:t xml:space="preserve">Impact on civilian Telecommunications/ICT Infrastructure </w:t>
      </w:r>
      <w:r w:rsidR="00F97577">
        <w:rPr>
          <w:lang w:val="en-US"/>
        </w:rPr>
        <w:br/>
      </w:r>
      <w:r w:rsidRPr="0061683E">
        <w:rPr>
          <w:lang w:val="en-US"/>
        </w:rPr>
        <w:t>in Bahrain, Kuwait, the United Arab Emirates</w:t>
      </w:r>
      <w:r w:rsidRPr="0061683E" w:rsidDel="00A56E36">
        <w:rPr>
          <w:lang w:val="en-US"/>
        </w:rPr>
        <w:t xml:space="preserve"> </w:t>
      </w:r>
      <w:r w:rsidRPr="0061683E">
        <w:rPr>
          <w:lang w:val="en-US"/>
        </w:rPr>
        <w:t>and Jordan, and its</w:t>
      </w:r>
      <w:r w:rsidR="00F97577">
        <w:rPr>
          <w:lang w:val="en-US"/>
        </w:rPr>
        <w:t> </w:t>
      </w:r>
      <w:r w:rsidRPr="0061683E">
        <w:rPr>
          <w:lang w:val="en-US"/>
        </w:rPr>
        <w:t xml:space="preserve">Implications for Regional and Global Connectivity </w:t>
      </w:r>
    </w:p>
    <w:p w14:paraId="64D9DC8B" w14:textId="50ED0608" w:rsidR="0061683E" w:rsidRPr="0061683E" w:rsidRDefault="0061683E" w:rsidP="00F97577">
      <w:pPr>
        <w:pStyle w:val="Normalaftertitle"/>
        <w:rPr>
          <w:lang w:val="en-US"/>
        </w:rPr>
      </w:pPr>
      <w:r w:rsidRPr="0061683E">
        <w:rPr>
          <w:lang w:val="en-US"/>
        </w:rPr>
        <w:t>The ITU Council,</w:t>
      </w:r>
    </w:p>
    <w:p w14:paraId="14EEB0BE" w14:textId="77777777" w:rsidR="0061683E" w:rsidRPr="0061683E" w:rsidRDefault="0061683E" w:rsidP="00F97577">
      <w:pPr>
        <w:pStyle w:val="Call"/>
        <w:rPr>
          <w:lang w:val="en-US"/>
        </w:rPr>
      </w:pPr>
      <w:r w:rsidRPr="0061683E">
        <w:rPr>
          <w:lang w:val="en-US"/>
        </w:rPr>
        <w:t>recalling</w:t>
      </w:r>
    </w:p>
    <w:p w14:paraId="23FF203F" w14:textId="27B012FB" w:rsidR="0061683E" w:rsidRPr="0061683E" w:rsidRDefault="0061683E" w:rsidP="00F97577">
      <w:pPr>
        <w:jc w:val="both"/>
        <w:rPr>
          <w:lang w:val="en-US"/>
        </w:rPr>
      </w:pPr>
      <w:r w:rsidRPr="0055063A">
        <w:rPr>
          <w:i/>
          <w:iCs/>
          <w:lang w:val="en-US"/>
        </w:rPr>
        <w:t>a)</w:t>
      </w:r>
      <w:r w:rsidRPr="0061683E">
        <w:rPr>
          <w:lang w:val="en-US"/>
        </w:rPr>
        <w:tab/>
        <w:t>the noble principles, purpose and objectives enshrined in the Charter of the United Nations and in the Universal Declaration of Human Rights, as well as in the Declaration of Principles adopted by the World Summit on the Information Society;</w:t>
      </w:r>
    </w:p>
    <w:p w14:paraId="3E6D1BE8" w14:textId="5C219FF2" w:rsidR="0061683E" w:rsidRPr="0061683E" w:rsidRDefault="009C09A0" w:rsidP="009C09A0">
      <w:pPr>
        <w:jc w:val="both"/>
        <w:rPr>
          <w:lang w:val="en-US"/>
        </w:rPr>
      </w:pPr>
      <w:r>
        <w:rPr>
          <w:i/>
          <w:iCs/>
          <w:lang w:val="en-US"/>
        </w:rPr>
        <w:t>b</w:t>
      </w:r>
      <w:r w:rsidR="0061683E" w:rsidRPr="0055063A">
        <w:rPr>
          <w:i/>
          <w:iCs/>
          <w:lang w:val="en-US"/>
        </w:rPr>
        <w:t>)</w:t>
      </w:r>
      <w:r w:rsidR="0061683E" w:rsidRPr="0061683E">
        <w:rPr>
          <w:lang w:val="en-US"/>
        </w:rPr>
        <w:tab/>
        <w:t>the purposes of the Union as enshrined in Article 1 of the ITU Constitution;</w:t>
      </w:r>
    </w:p>
    <w:p w14:paraId="7AD4743C" w14:textId="1101EB05" w:rsidR="0061683E" w:rsidRPr="0061683E" w:rsidRDefault="009C09A0" w:rsidP="00F97577">
      <w:pPr>
        <w:jc w:val="both"/>
        <w:rPr>
          <w:lang w:val="en-US"/>
        </w:rPr>
      </w:pPr>
      <w:r>
        <w:rPr>
          <w:i/>
          <w:iCs/>
          <w:lang w:val="en-US"/>
        </w:rPr>
        <w:t>c</w:t>
      </w:r>
      <w:r w:rsidR="0061683E" w:rsidRPr="0055063A">
        <w:rPr>
          <w:i/>
          <w:iCs/>
          <w:lang w:val="en-US"/>
        </w:rPr>
        <w:t>)</w:t>
      </w:r>
      <w:r w:rsidR="0061683E" w:rsidRPr="0061683E">
        <w:rPr>
          <w:lang w:val="en-US"/>
        </w:rPr>
        <w:tab/>
        <w:t>the principles declared in Articles 38 (No. 186) and 45 (No. 197) of the ITU Constitution</w:t>
      </w:r>
      <w:r w:rsidR="0055063A">
        <w:rPr>
          <w:lang w:val="en-US"/>
        </w:rPr>
        <w:t>,</w:t>
      </w:r>
    </w:p>
    <w:p w14:paraId="437C23A6" w14:textId="77777777" w:rsidR="0061683E" w:rsidRPr="0061683E" w:rsidRDefault="0061683E" w:rsidP="00F97577">
      <w:pPr>
        <w:pStyle w:val="Call"/>
        <w:jc w:val="both"/>
        <w:rPr>
          <w:lang w:val="en-US"/>
        </w:rPr>
      </w:pPr>
      <w:r w:rsidRPr="0061683E">
        <w:rPr>
          <w:lang w:val="en-US"/>
        </w:rPr>
        <w:t>recalling further</w:t>
      </w:r>
    </w:p>
    <w:p w14:paraId="0C7068E8" w14:textId="79CE642B" w:rsidR="0061683E" w:rsidRPr="0061683E" w:rsidRDefault="0061683E" w:rsidP="00F97577">
      <w:pPr>
        <w:jc w:val="both"/>
        <w:rPr>
          <w:lang w:val="en-US"/>
        </w:rPr>
      </w:pPr>
      <w:r w:rsidRPr="0055063A">
        <w:rPr>
          <w:i/>
          <w:iCs/>
          <w:lang w:val="en-US"/>
        </w:rPr>
        <w:t>a)</w:t>
      </w:r>
      <w:r w:rsidRPr="0061683E">
        <w:rPr>
          <w:lang w:val="en-US"/>
        </w:rPr>
        <w:tab/>
        <w:t xml:space="preserve">Resolution 2817 (2026) of the United Nations Security Council of 11 March 2026 which condemned in the strongest terms the egregious attacks by Iran against the territories of Bahrain, Kuwait, Oman, Qatar, Saudi Arabia, the United Arab Emirates and Jordan; </w:t>
      </w:r>
    </w:p>
    <w:p w14:paraId="5EFF33F3" w14:textId="49FEA041" w:rsidR="0061683E" w:rsidRPr="0061683E" w:rsidRDefault="009C09A0" w:rsidP="009C09A0">
      <w:pPr>
        <w:jc w:val="both"/>
        <w:rPr>
          <w:lang w:val="en-US"/>
        </w:rPr>
      </w:pPr>
      <w:r>
        <w:rPr>
          <w:i/>
          <w:iCs/>
          <w:lang w:val="en-US"/>
        </w:rPr>
        <w:t>b</w:t>
      </w:r>
      <w:r w:rsidR="0061683E" w:rsidRPr="0055063A">
        <w:rPr>
          <w:i/>
          <w:iCs/>
          <w:lang w:val="en-US"/>
        </w:rPr>
        <w:t>)</w:t>
      </w:r>
      <w:r w:rsidR="0061683E" w:rsidRPr="0061683E">
        <w:rPr>
          <w:lang w:val="en-US"/>
        </w:rPr>
        <w:tab/>
        <w:t>Resolution 34 of the World Telecommunication Development Conference 2025 (WTDC-25), on the Role of telecommunications/information and communication technologies in disaster preparedness, early warning, rescue, mitigation, relief and response;</w:t>
      </w:r>
    </w:p>
    <w:p w14:paraId="7F78E304" w14:textId="4856B6B4" w:rsidR="0061683E" w:rsidRPr="0061683E" w:rsidRDefault="009C09A0" w:rsidP="00F97577">
      <w:pPr>
        <w:jc w:val="both"/>
        <w:rPr>
          <w:lang w:val="en-US"/>
        </w:rPr>
      </w:pPr>
      <w:r>
        <w:rPr>
          <w:i/>
          <w:iCs/>
          <w:lang w:val="en-US"/>
        </w:rPr>
        <w:t>c</w:t>
      </w:r>
      <w:r w:rsidR="0061683E" w:rsidRPr="0055063A">
        <w:rPr>
          <w:i/>
          <w:iCs/>
          <w:lang w:val="en-US"/>
        </w:rPr>
        <w:t>)</w:t>
      </w:r>
      <w:r w:rsidR="0061683E" w:rsidRPr="0061683E">
        <w:rPr>
          <w:lang w:val="en-US"/>
        </w:rPr>
        <w:tab/>
        <w:t>Resolution 130 (Rev. Bucharest, 2022) of the Plenipotentiary Conference on strengthening the role of ITU in building confidence and security in the use of ICTs;</w:t>
      </w:r>
    </w:p>
    <w:p w14:paraId="24C120A1" w14:textId="6BCDE0CD" w:rsidR="0061683E" w:rsidRPr="0061683E" w:rsidRDefault="009C09A0" w:rsidP="009C09A0">
      <w:pPr>
        <w:jc w:val="both"/>
        <w:rPr>
          <w:lang w:val="en-US"/>
        </w:rPr>
      </w:pPr>
      <w:r>
        <w:rPr>
          <w:i/>
          <w:iCs/>
          <w:lang w:val="en-US"/>
        </w:rPr>
        <w:t>d</w:t>
      </w:r>
      <w:r w:rsidR="0061683E" w:rsidRPr="0055063A">
        <w:rPr>
          <w:i/>
          <w:iCs/>
          <w:lang w:val="en-US"/>
        </w:rPr>
        <w:t>)</w:t>
      </w:r>
      <w:r w:rsidR="0061683E" w:rsidRPr="0061683E">
        <w:rPr>
          <w:lang w:val="en-US"/>
        </w:rPr>
        <w:tab/>
        <w:t>Resolution 136 (Rev. Bucharest, 2022) of the Plenipotentiary Conference on the use of telecommunications/ICTs for humanitarian purposes</w:t>
      </w:r>
      <w:r w:rsidR="0055063A">
        <w:rPr>
          <w:lang w:val="en-US"/>
        </w:rPr>
        <w:t>,</w:t>
      </w:r>
    </w:p>
    <w:p w14:paraId="200D73BE" w14:textId="77777777" w:rsidR="0061683E" w:rsidRPr="0061683E" w:rsidRDefault="0061683E" w:rsidP="00F97577">
      <w:pPr>
        <w:pStyle w:val="Call"/>
        <w:jc w:val="both"/>
        <w:rPr>
          <w:lang w:val="en-US"/>
        </w:rPr>
      </w:pPr>
      <w:r w:rsidRPr="0061683E">
        <w:rPr>
          <w:lang w:val="en-US"/>
        </w:rPr>
        <w:t>reaffirming</w:t>
      </w:r>
    </w:p>
    <w:p w14:paraId="3F1DFCCA" w14:textId="35D42AD8" w:rsidR="0061683E" w:rsidRPr="0055063A" w:rsidRDefault="0055063A" w:rsidP="0055063A">
      <w:pPr>
        <w:rPr>
          <w:lang w:val="en-US"/>
        </w:rPr>
      </w:pPr>
      <w:r w:rsidRPr="0055063A">
        <w:rPr>
          <w:i/>
          <w:iCs/>
          <w:lang w:val="en-US"/>
        </w:rPr>
        <w:t>a)</w:t>
      </w:r>
      <w:r>
        <w:rPr>
          <w:lang w:val="en-US"/>
        </w:rPr>
        <w:tab/>
      </w:r>
      <w:r w:rsidR="0061683E" w:rsidRPr="0055063A">
        <w:rPr>
          <w:lang w:val="en-US"/>
        </w:rPr>
        <w:t xml:space="preserve">the sovereignty, independence, unity, and territorial integrity of Bahrain, Kuwait, the United Arab Emirates and Jordan within their internationally recognized borders, </w:t>
      </w:r>
      <w:r w:rsidR="009C09A0">
        <w:rPr>
          <w:lang w:val="en-US"/>
        </w:rPr>
        <w:t>and</w:t>
      </w:r>
      <w:r w:rsidR="0061683E" w:rsidRPr="0055063A">
        <w:rPr>
          <w:lang w:val="en-US"/>
        </w:rPr>
        <w:t xml:space="preserve"> their territorial waters;</w:t>
      </w:r>
    </w:p>
    <w:p w14:paraId="7C77B722" w14:textId="277C69C0" w:rsidR="0061683E" w:rsidRPr="0061683E" w:rsidRDefault="0055063A" w:rsidP="00F97577">
      <w:pPr>
        <w:jc w:val="both"/>
        <w:rPr>
          <w:lang w:val="en-US"/>
        </w:rPr>
      </w:pPr>
      <w:r w:rsidRPr="0055063A">
        <w:rPr>
          <w:i/>
          <w:iCs/>
          <w:lang w:val="en-US"/>
        </w:rPr>
        <w:t>b)</w:t>
      </w:r>
      <w:r>
        <w:rPr>
          <w:lang w:val="en-US"/>
        </w:rPr>
        <w:tab/>
      </w:r>
      <w:r w:rsidR="0061683E" w:rsidRPr="0061683E">
        <w:rPr>
          <w:lang w:val="en-US"/>
        </w:rPr>
        <w:t>the growing importance of telecommunications for the preservation of peace and the economic and social development of all States as enshrined in the Preamble of the ITU Constitution</w:t>
      </w:r>
      <w:r>
        <w:rPr>
          <w:lang w:val="en-US"/>
        </w:rPr>
        <w:t>,</w:t>
      </w:r>
    </w:p>
    <w:p w14:paraId="17B986D2" w14:textId="77777777" w:rsidR="0061683E" w:rsidRPr="0061683E" w:rsidRDefault="0061683E" w:rsidP="00F97577">
      <w:pPr>
        <w:pStyle w:val="Call"/>
        <w:jc w:val="both"/>
        <w:rPr>
          <w:lang w:val="en-US"/>
        </w:rPr>
      </w:pPr>
      <w:r w:rsidRPr="0061683E">
        <w:rPr>
          <w:lang w:val="en-US"/>
        </w:rPr>
        <w:t>considering</w:t>
      </w:r>
    </w:p>
    <w:p w14:paraId="1AABCBD4" w14:textId="6F2E6C13" w:rsidR="0061683E" w:rsidRPr="0061683E" w:rsidRDefault="0061683E" w:rsidP="009C09A0">
      <w:pPr>
        <w:jc w:val="both"/>
        <w:rPr>
          <w:lang w:val="en-US"/>
        </w:rPr>
      </w:pPr>
      <w:r w:rsidRPr="0061683E">
        <w:rPr>
          <w:lang w:val="en-US"/>
        </w:rPr>
        <w:t xml:space="preserve">that civilian </w:t>
      </w:r>
      <w:r w:rsidR="009C09A0">
        <w:rPr>
          <w:lang w:val="en-US"/>
        </w:rPr>
        <w:t>telecommunication/</w:t>
      </w:r>
      <w:r w:rsidRPr="0061683E">
        <w:rPr>
          <w:lang w:val="en-US"/>
        </w:rPr>
        <w:t>ICT infrastructure</w:t>
      </w:r>
      <w:r w:rsidR="009C09A0">
        <w:rPr>
          <w:lang w:val="en-US"/>
        </w:rPr>
        <w:t xml:space="preserve"> </w:t>
      </w:r>
      <w:r w:rsidRPr="0061683E">
        <w:rPr>
          <w:lang w:val="en-US"/>
        </w:rPr>
        <w:t>is essential to the provision of telecommunication services and to the social and economic development of all nations</w:t>
      </w:r>
      <w:r w:rsidR="009C09A0">
        <w:rPr>
          <w:lang w:val="en-US"/>
        </w:rPr>
        <w:t>,</w:t>
      </w:r>
    </w:p>
    <w:p w14:paraId="4BB734CB" w14:textId="77777777" w:rsidR="0061683E" w:rsidRPr="0061683E" w:rsidRDefault="0061683E" w:rsidP="00F97577">
      <w:pPr>
        <w:pStyle w:val="Call"/>
        <w:jc w:val="both"/>
        <w:rPr>
          <w:lang w:val="en-US"/>
        </w:rPr>
      </w:pPr>
      <w:r w:rsidRPr="0061683E">
        <w:rPr>
          <w:lang w:val="en-US"/>
        </w:rPr>
        <w:t xml:space="preserve">reiterating the ITU commitment </w:t>
      </w:r>
    </w:p>
    <w:p w14:paraId="4E71331A" w14:textId="77777777" w:rsidR="0061683E" w:rsidRPr="0061683E" w:rsidRDefault="0061683E" w:rsidP="00F97577">
      <w:pPr>
        <w:jc w:val="both"/>
        <w:rPr>
          <w:lang w:val="en-US"/>
        </w:rPr>
      </w:pPr>
      <w:r w:rsidRPr="0061683E">
        <w:rPr>
          <w:lang w:val="en-US"/>
        </w:rPr>
        <w:t>to “promote the adoption of measures for ensuring the safety of life through the cooperation of telecommunication services”;</w:t>
      </w:r>
    </w:p>
    <w:p w14:paraId="67C240BD" w14:textId="77777777" w:rsidR="0061683E" w:rsidRPr="0061683E" w:rsidRDefault="0061683E" w:rsidP="00F97577">
      <w:pPr>
        <w:pStyle w:val="Call"/>
        <w:jc w:val="both"/>
        <w:rPr>
          <w:lang w:val="en-US"/>
        </w:rPr>
      </w:pPr>
      <w:r w:rsidRPr="0061683E">
        <w:rPr>
          <w:lang w:val="en-US"/>
        </w:rPr>
        <w:t>condemning</w:t>
      </w:r>
    </w:p>
    <w:p w14:paraId="385E0548" w14:textId="3C31815C" w:rsidR="0061683E" w:rsidRDefault="0061683E" w:rsidP="009C09A0">
      <w:pPr>
        <w:jc w:val="both"/>
        <w:rPr>
          <w:lang w:val="en-US"/>
        </w:rPr>
      </w:pPr>
      <w:r w:rsidRPr="0061683E">
        <w:rPr>
          <w:lang w:val="en-US"/>
        </w:rPr>
        <w:t>the widespread unlawful targeting by Iran of civilian objects, including telecommunication services</w:t>
      </w:r>
      <w:r w:rsidR="009C09A0">
        <w:rPr>
          <w:lang w:val="en-US"/>
        </w:rPr>
        <w:t xml:space="preserve"> and submarine cables</w:t>
      </w:r>
      <w:r w:rsidRPr="0061683E">
        <w:rPr>
          <w:lang w:val="en-US"/>
        </w:rPr>
        <w:t>, occurring in Bahrain, Kuwait, the United Arab Emirates</w:t>
      </w:r>
      <w:r w:rsidRPr="0061683E" w:rsidDel="00A56E36">
        <w:rPr>
          <w:lang w:val="en-US"/>
        </w:rPr>
        <w:t xml:space="preserve"> </w:t>
      </w:r>
      <w:r w:rsidRPr="0061683E">
        <w:rPr>
          <w:lang w:val="en-US"/>
        </w:rPr>
        <w:t xml:space="preserve">and Jordan, </w:t>
      </w:r>
      <w:r w:rsidR="00C834FE">
        <w:rPr>
          <w:lang w:val="en-US"/>
        </w:rPr>
        <w:t xml:space="preserve">in a manner that contradicts </w:t>
      </w:r>
      <w:r w:rsidRPr="0061683E">
        <w:rPr>
          <w:lang w:val="en-US"/>
        </w:rPr>
        <w:t>the ITU Constitution and Convention</w:t>
      </w:r>
      <w:r w:rsidR="0055063A">
        <w:rPr>
          <w:lang w:val="en-US"/>
        </w:rPr>
        <w:t>,</w:t>
      </w:r>
    </w:p>
    <w:p w14:paraId="5052EE56" w14:textId="30BD621C" w:rsidR="00C834FE" w:rsidRDefault="00C834FE" w:rsidP="00072F89">
      <w:pPr>
        <w:pStyle w:val="Call"/>
        <w:rPr>
          <w:lang w:val="en-US"/>
        </w:rPr>
      </w:pPr>
      <w:r>
        <w:rPr>
          <w:lang w:val="en-US"/>
        </w:rPr>
        <w:t>expressing grave concern</w:t>
      </w:r>
    </w:p>
    <w:p w14:paraId="7CE05490" w14:textId="2448C0DD" w:rsidR="00C834FE" w:rsidRPr="0061683E" w:rsidRDefault="00C834FE" w:rsidP="009C09A0">
      <w:pPr>
        <w:jc w:val="both"/>
        <w:rPr>
          <w:lang w:val="en-US"/>
        </w:rPr>
      </w:pPr>
      <w:r w:rsidRPr="00C834FE">
        <w:rPr>
          <w:lang w:val="en-US"/>
        </w:rPr>
        <w:t>at the threats to target additional civilian telecommunication infrastructure, in a manner that contradicts the ITU Constitution and Convention</w:t>
      </w:r>
      <w:r>
        <w:rPr>
          <w:lang w:val="en-US"/>
        </w:rPr>
        <w:t>,</w:t>
      </w:r>
    </w:p>
    <w:p w14:paraId="09FD7406" w14:textId="77777777" w:rsidR="0061683E" w:rsidRPr="0061683E" w:rsidRDefault="0061683E" w:rsidP="00F97577">
      <w:pPr>
        <w:pStyle w:val="Call"/>
        <w:jc w:val="both"/>
        <w:rPr>
          <w:lang w:val="en-US"/>
        </w:rPr>
      </w:pPr>
      <w:r w:rsidRPr="0061683E">
        <w:rPr>
          <w:lang w:val="en-US"/>
        </w:rPr>
        <w:t>resolves to instruct the Directors of the three Bureaux</w:t>
      </w:r>
    </w:p>
    <w:p w14:paraId="5B58CDFD" w14:textId="523C7685" w:rsidR="0061683E" w:rsidRPr="0061683E" w:rsidRDefault="00DC2B60" w:rsidP="00F97577">
      <w:pPr>
        <w:jc w:val="both"/>
        <w:rPr>
          <w:lang w:val="en-US"/>
        </w:rPr>
      </w:pPr>
      <w:r>
        <w:rPr>
          <w:lang w:val="en-US"/>
        </w:rPr>
        <w:t>1</w:t>
      </w:r>
      <w:r>
        <w:rPr>
          <w:lang w:val="en-US"/>
        </w:rPr>
        <w:tab/>
      </w:r>
      <w:r w:rsidR="0061683E" w:rsidRPr="0061683E">
        <w:rPr>
          <w:lang w:val="en-US"/>
        </w:rPr>
        <w:t xml:space="preserve">to monitor and provide regular reports on </w:t>
      </w:r>
      <w:r w:rsidR="00C834FE">
        <w:rPr>
          <w:lang w:val="en-US"/>
        </w:rPr>
        <w:t>those</w:t>
      </w:r>
      <w:r w:rsidR="00C834FE" w:rsidRPr="0061683E">
        <w:rPr>
          <w:lang w:val="en-US"/>
        </w:rPr>
        <w:t xml:space="preserve"> </w:t>
      </w:r>
      <w:r w:rsidR="0061683E" w:rsidRPr="0061683E">
        <w:rPr>
          <w:lang w:val="en-US"/>
        </w:rPr>
        <w:t xml:space="preserve">attacks against telecommunication services and infrastructure in Bahrain, Kuwait, the United Arab Emirates and Jordan, including on their global implications; </w:t>
      </w:r>
    </w:p>
    <w:p w14:paraId="51A4D2C6" w14:textId="749BACD2" w:rsidR="009C09A0" w:rsidRDefault="00DC2B60" w:rsidP="00F97577">
      <w:pPr>
        <w:jc w:val="both"/>
        <w:rPr>
          <w:lang w:val="en-US"/>
        </w:rPr>
      </w:pPr>
      <w:r>
        <w:rPr>
          <w:lang w:val="en-US"/>
        </w:rPr>
        <w:t>2</w:t>
      </w:r>
      <w:r>
        <w:rPr>
          <w:lang w:val="en-US"/>
        </w:rPr>
        <w:tab/>
      </w:r>
      <w:r w:rsidR="0061683E" w:rsidRPr="0061683E">
        <w:rPr>
          <w:lang w:val="en-US"/>
        </w:rPr>
        <w:t xml:space="preserve">to carry out an assessment of the impact of </w:t>
      </w:r>
      <w:r w:rsidR="00C834FE">
        <w:rPr>
          <w:lang w:val="en-US"/>
        </w:rPr>
        <w:t>those</w:t>
      </w:r>
      <w:r w:rsidR="00C834FE" w:rsidRPr="0061683E">
        <w:rPr>
          <w:lang w:val="en-US"/>
        </w:rPr>
        <w:t xml:space="preserve"> </w:t>
      </w:r>
      <w:r w:rsidR="0061683E" w:rsidRPr="0061683E">
        <w:rPr>
          <w:lang w:val="en-US"/>
        </w:rPr>
        <w:t>attacks on telecommunications services and infrastructure, including ITU programmes and activities, in Bahrain, Kuwait, the United Arab Emirates and Jordan, and provide a report thereon</w:t>
      </w:r>
      <w:r w:rsidR="009C09A0">
        <w:rPr>
          <w:lang w:val="en-US"/>
        </w:rPr>
        <w:t>;</w:t>
      </w:r>
    </w:p>
    <w:p w14:paraId="78E34B82" w14:textId="23EC72BA" w:rsidR="0061683E" w:rsidRPr="0061683E" w:rsidRDefault="009C09A0" w:rsidP="00F97577">
      <w:pPr>
        <w:jc w:val="both"/>
        <w:rPr>
          <w:lang w:val="en-US"/>
        </w:rPr>
      </w:pPr>
      <w:r>
        <w:rPr>
          <w:lang w:val="en-US"/>
        </w:rPr>
        <w:t>3</w:t>
      </w:r>
      <w:r>
        <w:rPr>
          <w:lang w:val="en-US"/>
        </w:rPr>
        <w:tab/>
      </w:r>
      <w:r w:rsidRPr="009C09A0">
        <w:rPr>
          <w:lang w:val="en-US"/>
        </w:rPr>
        <w:t>to ensure adequate financial and human resources mobilization, including under the internal budget and the Information and Communication Technology Development Fund, for the implementation of the proposed actions</w:t>
      </w:r>
      <w:r w:rsidR="00DC2B60">
        <w:rPr>
          <w:lang w:val="en-US"/>
        </w:rPr>
        <w:t>,</w:t>
      </w:r>
      <w:r w:rsidR="0061683E" w:rsidRPr="0061683E">
        <w:rPr>
          <w:lang w:val="en-US"/>
        </w:rPr>
        <w:t xml:space="preserve"> </w:t>
      </w:r>
    </w:p>
    <w:p w14:paraId="73887C28" w14:textId="77777777" w:rsidR="0061683E" w:rsidRPr="0061683E" w:rsidRDefault="0061683E" w:rsidP="00F97577">
      <w:pPr>
        <w:pStyle w:val="Call"/>
        <w:jc w:val="both"/>
        <w:rPr>
          <w:lang w:val="en-US"/>
        </w:rPr>
      </w:pPr>
      <w:r w:rsidRPr="0061683E">
        <w:rPr>
          <w:lang w:val="en-US"/>
        </w:rPr>
        <w:t>instructs the Secretary-General</w:t>
      </w:r>
    </w:p>
    <w:p w14:paraId="5610032A" w14:textId="752B7F3F" w:rsidR="0061683E" w:rsidRPr="0061683E" w:rsidRDefault="00DC2B60" w:rsidP="00F97577">
      <w:pPr>
        <w:jc w:val="both"/>
        <w:rPr>
          <w:lang w:val="en-US"/>
        </w:rPr>
      </w:pPr>
      <w:r>
        <w:rPr>
          <w:lang w:val="en-US"/>
        </w:rPr>
        <w:t>1</w:t>
      </w:r>
      <w:r>
        <w:rPr>
          <w:lang w:val="en-US"/>
        </w:rPr>
        <w:tab/>
      </w:r>
      <w:r w:rsidR="0061683E" w:rsidRPr="0061683E">
        <w:rPr>
          <w:lang w:val="en-US"/>
        </w:rPr>
        <w:t>to coordinate the activities carried out by the three Sectors of the Union in accordance with the resolves above, to ensure that the Union's action in favour of affected countries is as effective as possible</w:t>
      </w:r>
      <w:r w:rsidR="0015402A">
        <w:rPr>
          <w:lang w:val="en-US"/>
        </w:rPr>
        <w:t>;</w:t>
      </w:r>
    </w:p>
    <w:p w14:paraId="6CDBBF44" w14:textId="1341F2B2" w:rsidR="0061683E" w:rsidRPr="0061683E" w:rsidRDefault="00DC2B60" w:rsidP="007232EE">
      <w:pPr>
        <w:jc w:val="both"/>
        <w:rPr>
          <w:lang w:val="en-US"/>
        </w:rPr>
      </w:pPr>
      <w:r>
        <w:rPr>
          <w:lang w:val="en-US"/>
        </w:rPr>
        <w:t>2</w:t>
      </w:r>
      <w:r>
        <w:rPr>
          <w:lang w:val="en-US"/>
        </w:rPr>
        <w:tab/>
      </w:r>
      <w:r w:rsidR="0061683E" w:rsidRPr="0061683E">
        <w:rPr>
          <w:lang w:val="en-US"/>
        </w:rPr>
        <w:t xml:space="preserve">to provide a report on the impact of </w:t>
      </w:r>
      <w:r w:rsidR="00C834FE">
        <w:rPr>
          <w:lang w:val="en-US"/>
        </w:rPr>
        <w:t>those</w:t>
      </w:r>
      <w:r w:rsidR="00C834FE" w:rsidRPr="0061683E">
        <w:rPr>
          <w:lang w:val="en-US"/>
        </w:rPr>
        <w:t xml:space="preserve"> </w:t>
      </w:r>
      <w:r w:rsidR="0061683E" w:rsidRPr="0061683E">
        <w:rPr>
          <w:lang w:val="en-US"/>
        </w:rPr>
        <w:t xml:space="preserve">attacks on </w:t>
      </w:r>
      <w:r w:rsidR="007232EE">
        <w:rPr>
          <w:lang w:val="en-US"/>
        </w:rPr>
        <w:t>telecommunication/</w:t>
      </w:r>
      <w:r w:rsidR="0061683E" w:rsidRPr="0061683E">
        <w:rPr>
          <w:lang w:val="en-US"/>
        </w:rPr>
        <w:t>ICT infrastructure in Bahrain, Kuwait, the United Arab Emirates and Jordan, including a damage assessment for the 2027 Plenipotentiary Conference and for the final Council meeting on 7 November 2026, and future meetings and conferences as appropriate.</w:t>
      </w:r>
    </w:p>
    <w:p w14:paraId="0D1E478F" w14:textId="77777777" w:rsidR="007A3FCD" w:rsidRPr="0061683E" w:rsidRDefault="007A3FCD" w:rsidP="007A3FCD">
      <w:pPr>
        <w:jc w:val="center"/>
        <w:rPr>
          <w:rFonts w:asciiTheme="minorHAnsi" w:hAnsiTheme="minorHAnsi" w:cstheme="minorHAnsi"/>
        </w:rPr>
      </w:pPr>
      <w:r w:rsidRPr="0061683E">
        <w:rPr>
          <w:rFonts w:asciiTheme="minorHAnsi" w:hAnsiTheme="minorHAnsi" w:cstheme="minorHAnsi"/>
        </w:rPr>
        <w:t>______________</w:t>
      </w:r>
    </w:p>
    <w:sectPr w:rsidR="007A3FCD" w:rsidRPr="0061683E" w:rsidSect="00AD3606">
      <w:footerReference w:type="default" r:id="rId12"/>
      <w:headerReference w:type="first" r:id="rId13"/>
      <w:footerReference w:type="first" r:id="rId14"/>
      <w:pgSz w:w="11907" w:h="16834"/>
      <w:pgMar w:top="1418" w:right="1418" w:bottom="1418" w:left="1418" w:header="720" w:footer="720" w:gutter="0"/>
      <w:paperSrc w:first="286" w:other="286"/>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350728" w14:textId="77777777" w:rsidR="00AF5136" w:rsidRDefault="00AF5136">
      <w:r>
        <w:separator/>
      </w:r>
    </w:p>
  </w:endnote>
  <w:endnote w:type="continuationSeparator" w:id="0">
    <w:p w14:paraId="04EB0F89" w14:textId="77777777" w:rsidR="00AF5136" w:rsidRDefault="00AF5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03"/>
      <w:gridCol w:w="8261"/>
    </w:tblGrid>
    <w:tr w:rsidR="00EE49E8" w:rsidRPr="00784011" w14:paraId="75102083" w14:textId="77777777" w:rsidTr="00771366">
      <w:trPr>
        <w:jc w:val="center"/>
      </w:trPr>
      <w:tc>
        <w:tcPr>
          <w:tcW w:w="1803" w:type="dxa"/>
          <w:vAlign w:val="center"/>
        </w:tcPr>
        <w:p w14:paraId="3C16AE96" w14:textId="77777777" w:rsidR="00EE49E8" w:rsidRDefault="00C6520B" w:rsidP="00EE49E8">
          <w:pPr>
            <w:pStyle w:val="Header"/>
            <w:jc w:val="left"/>
            <w:rPr>
              <w:noProof/>
            </w:rPr>
          </w:pPr>
          <w:r>
            <w:rPr>
              <w:noProof/>
            </w:rPr>
            <w:t>gDoc #</w:t>
          </w:r>
        </w:p>
      </w:tc>
      <w:tc>
        <w:tcPr>
          <w:tcW w:w="8261" w:type="dxa"/>
        </w:tcPr>
        <w:p w14:paraId="4D34939F" w14:textId="48725716" w:rsidR="00EE49E8" w:rsidRPr="00E06FD5" w:rsidRDefault="00EE49E8" w:rsidP="006F6FEB">
          <w:pPr>
            <w:pStyle w:val="Header"/>
            <w:tabs>
              <w:tab w:val="left" w:pos="6459"/>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92232B">
            <w:rPr>
              <w:bCs/>
            </w:rPr>
            <w:t>95</w:t>
          </w:r>
          <w:r w:rsidR="007232EE">
            <w:rPr>
              <w:bCs/>
            </w:rPr>
            <w:t>(Rev.</w:t>
          </w:r>
          <w:r w:rsidR="00C834FE">
            <w:rPr>
              <w:bCs/>
            </w:rPr>
            <w:t>2</w:t>
          </w:r>
          <w:r w:rsidR="007232EE">
            <w:rPr>
              <w:bCs/>
            </w:rPr>
            <w:t>)</w:t>
          </w:r>
          <w:r w:rsidRPr="00623AE3">
            <w:rPr>
              <w:bCs/>
            </w:rPr>
            <w:t>-E</w:t>
          </w:r>
          <w:r>
            <w:rPr>
              <w:bCs/>
            </w:rPr>
            <w:tab/>
          </w:r>
          <w:r>
            <w:fldChar w:fldCharType="begin"/>
          </w:r>
          <w:r>
            <w:instrText>PAGE</w:instrText>
          </w:r>
          <w:r>
            <w:fldChar w:fldCharType="separate"/>
          </w:r>
          <w:r>
            <w:t>1</w:t>
          </w:r>
          <w:r>
            <w:rPr>
              <w:noProof/>
            </w:rPr>
            <w:fldChar w:fldCharType="end"/>
          </w:r>
        </w:p>
      </w:tc>
    </w:tr>
  </w:tbl>
  <w:p w14:paraId="06BC350F" w14:textId="77777777" w:rsidR="00EE49E8" w:rsidRPr="00DB1936" w:rsidRDefault="00EE49E8" w:rsidP="00EE49E8">
    <w:pPr>
      <w:pStyle w:val="Header"/>
      <w:tabs>
        <w:tab w:val="left" w:pos="8080"/>
        <w:tab w:val="right" w:pos="9072"/>
      </w:tabs>
      <w:jc w:val="left"/>
      <w:rPr>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064"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803"/>
      <w:gridCol w:w="8261"/>
    </w:tblGrid>
    <w:tr w:rsidR="00EE49E8" w:rsidRPr="00784011" w14:paraId="3706779C" w14:textId="77777777" w:rsidTr="006B77F1">
      <w:trPr>
        <w:jc w:val="center"/>
      </w:trPr>
      <w:tc>
        <w:tcPr>
          <w:tcW w:w="1803" w:type="dxa"/>
          <w:vAlign w:val="center"/>
        </w:tcPr>
        <w:p w14:paraId="21DBFDFB" w14:textId="77777777" w:rsidR="00EE49E8" w:rsidRPr="006B77F1" w:rsidRDefault="00DE532B" w:rsidP="00EE49E8">
          <w:pPr>
            <w:pStyle w:val="Header"/>
            <w:jc w:val="left"/>
            <w:rPr>
              <w:noProof/>
            </w:rPr>
          </w:pPr>
          <w:hyperlink r:id="rId1" w:history="1">
            <w:r>
              <w:rPr>
                <w:rStyle w:val="Hyperlink"/>
                <w:u w:val="none"/>
              </w:rPr>
              <w:t>council.itu.int/2026</w:t>
            </w:r>
          </w:hyperlink>
        </w:p>
      </w:tc>
      <w:tc>
        <w:tcPr>
          <w:tcW w:w="8261" w:type="dxa"/>
        </w:tcPr>
        <w:p w14:paraId="0FAB3B16" w14:textId="6583BAE9" w:rsidR="00EE49E8" w:rsidRPr="00E06FD5" w:rsidRDefault="00EE49E8" w:rsidP="006F6FEB">
          <w:pPr>
            <w:pStyle w:val="Header"/>
            <w:tabs>
              <w:tab w:val="left" w:pos="6459"/>
              <w:tab w:val="right" w:pos="8505"/>
              <w:tab w:val="right" w:pos="9639"/>
            </w:tabs>
            <w:jc w:val="left"/>
            <w:rPr>
              <w:rFonts w:ascii="Arial" w:hAnsi="Arial" w:cs="Arial"/>
              <w:b/>
              <w:bCs/>
              <w:szCs w:val="18"/>
            </w:rPr>
          </w:pPr>
          <w:r>
            <w:rPr>
              <w:bCs/>
            </w:rPr>
            <w:tab/>
          </w:r>
          <w:r w:rsidRPr="00623AE3">
            <w:rPr>
              <w:bCs/>
            </w:rPr>
            <w:t>C</w:t>
          </w:r>
          <w:r>
            <w:rPr>
              <w:bCs/>
            </w:rPr>
            <w:t>2</w:t>
          </w:r>
          <w:r w:rsidR="00DE532B">
            <w:rPr>
              <w:bCs/>
            </w:rPr>
            <w:t>6</w:t>
          </w:r>
          <w:r w:rsidRPr="00623AE3">
            <w:rPr>
              <w:bCs/>
            </w:rPr>
            <w:t>/</w:t>
          </w:r>
          <w:r w:rsidR="0092232B">
            <w:rPr>
              <w:bCs/>
            </w:rPr>
            <w:t>95</w:t>
          </w:r>
          <w:r w:rsidR="007232EE">
            <w:rPr>
              <w:bCs/>
            </w:rPr>
            <w:t>(Rev.</w:t>
          </w:r>
          <w:r w:rsidR="00C834FE">
            <w:rPr>
              <w:bCs/>
            </w:rPr>
            <w:t>2</w:t>
          </w:r>
          <w:r w:rsidR="007232EE">
            <w:rPr>
              <w:bCs/>
            </w:rPr>
            <w:t>)</w:t>
          </w:r>
          <w:r w:rsidRPr="00623AE3">
            <w:rPr>
              <w:bCs/>
            </w:rPr>
            <w:t>-E</w:t>
          </w:r>
          <w:r>
            <w:rPr>
              <w:bCs/>
            </w:rPr>
            <w:tab/>
          </w:r>
          <w:r>
            <w:fldChar w:fldCharType="begin"/>
          </w:r>
          <w:r>
            <w:instrText>PAGE</w:instrText>
          </w:r>
          <w:r>
            <w:fldChar w:fldCharType="separate"/>
          </w:r>
          <w:r>
            <w:t>1</w:t>
          </w:r>
          <w:r>
            <w:rPr>
              <w:noProof/>
            </w:rPr>
            <w:fldChar w:fldCharType="end"/>
          </w:r>
        </w:p>
      </w:tc>
    </w:tr>
  </w:tbl>
  <w:p w14:paraId="0E27737E" w14:textId="77777777" w:rsidR="00A514A4" w:rsidRPr="00623AE3" w:rsidRDefault="00A514A4" w:rsidP="00EE49E8">
    <w:pPr>
      <w:pStyle w:val="Header"/>
      <w:tabs>
        <w:tab w:val="left" w:pos="8080"/>
        <w:tab w:val="right" w:pos="9072"/>
      </w:tabs>
      <w:jc w:val="right"/>
      <w:rPr>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4818B" w14:textId="77777777" w:rsidR="00AF5136" w:rsidRDefault="00AF5136">
      <w:r>
        <w:t>____________________</w:t>
      </w:r>
    </w:p>
  </w:footnote>
  <w:footnote w:type="continuationSeparator" w:id="0">
    <w:p w14:paraId="40CE9DAC" w14:textId="77777777" w:rsidR="00AF5136" w:rsidRDefault="00AF51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CA2B7" w14:textId="77777777" w:rsidR="00AD3606" w:rsidRPr="00512087" w:rsidRDefault="00512087" w:rsidP="0049369C">
    <w:pPr>
      <w:pStyle w:val="Header"/>
    </w:pPr>
    <w:r>
      <w:rPr>
        <w:noProof/>
      </w:rPr>
      <w:drawing>
        <wp:inline distT="0" distB="0" distL="0" distR="0" wp14:anchorId="16AD69B0" wp14:editId="15BC3CB0">
          <wp:extent cx="5760085" cy="840740"/>
          <wp:effectExtent l="0" t="0" r="0" b="0"/>
          <wp:docPr id="9987911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8791133" name="Picture 998791133"/>
                  <pic:cNvPicPr/>
                </pic:nvPicPr>
                <pic:blipFill>
                  <a:blip r:embed="rId1">
                    <a:extLst>
                      <a:ext uri="{28A0092B-C50C-407E-A947-70E740481C1C}">
                        <a14:useLocalDpi xmlns:a14="http://schemas.microsoft.com/office/drawing/2010/main" val="0"/>
                      </a:ext>
                    </a:extLst>
                  </a:blip>
                  <a:stretch>
                    <a:fillRect/>
                  </a:stretch>
                </pic:blipFill>
                <pic:spPr>
                  <a:xfrm>
                    <a:off x="0" y="0"/>
                    <a:ext cx="5760085" cy="8407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FAD72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B6420BE"/>
    <w:multiLevelType w:val="hybridMultilevel"/>
    <w:tmpl w:val="9BEAD8EE"/>
    <w:lvl w:ilvl="0" w:tplc="3DE4B386">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CD267F"/>
    <w:multiLevelType w:val="hybridMultilevel"/>
    <w:tmpl w:val="F64438C4"/>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F4675B5"/>
    <w:multiLevelType w:val="hybridMultilevel"/>
    <w:tmpl w:val="2FF67A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4816267">
    <w:abstractNumId w:val="0"/>
  </w:num>
  <w:num w:numId="2" w16cid:durableId="1932427208">
    <w:abstractNumId w:val="1"/>
  </w:num>
  <w:num w:numId="3" w16cid:durableId="1969971035">
    <w:abstractNumId w:val="3"/>
  </w:num>
  <w:num w:numId="4" w16cid:durableId="19830015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09"/>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7212"/>
    <w:rsid w:val="000210D4"/>
    <w:rsid w:val="00042469"/>
    <w:rsid w:val="0006007D"/>
    <w:rsid w:val="00063016"/>
    <w:rsid w:val="00066795"/>
    <w:rsid w:val="00072F89"/>
    <w:rsid w:val="00076AF6"/>
    <w:rsid w:val="00085CF2"/>
    <w:rsid w:val="000B1705"/>
    <w:rsid w:val="000D75B2"/>
    <w:rsid w:val="000E372C"/>
    <w:rsid w:val="000F5DDB"/>
    <w:rsid w:val="001121F5"/>
    <w:rsid w:val="001400DC"/>
    <w:rsid w:val="00140CE1"/>
    <w:rsid w:val="0015189A"/>
    <w:rsid w:val="0015402A"/>
    <w:rsid w:val="0017539C"/>
    <w:rsid w:val="00175AC2"/>
    <w:rsid w:val="0017609F"/>
    <w:rsid w:val="00176F47"/>
    <w:rsid w:val="001A3154"/>
    <w:rsid w:val="001A7D1D"/>
    <w:rsid w:val="001B51DD"/>
    <w:rsid w:val="001C628E"/>
    <w:rsid w:val="001E0F7B"/>
    <w:rsid w:val="001F5569"/>
    <w:rsid w:val="0020487B"/>
    <w:rsid w:val="002119FD"/>
    <w:rsid w:val="002130E0"/>
    <w:rsid w:val="00221F46"/>
    <w:rsid w:val="00264425"/>
    <w:rsid w:val="00265875"/>
    <w:rsid w:val="0027303B"/>
    <w:rsid w:val="00277DEA"/>
    <w:rsid w:val="0028109B"/>
    <w:rsid w:val="002916B4"/>
    <w:rsid w:val="002A0615"/>
    <w:rsid w:val="002A133E"/>
    <w:rsid w:val="002A2188"/>
    <w:rsid w:val="002B1F58"/>
    <w:rsid w:val="002C1C7A"/>
    <w:rsid w:val="002C3F32"/>
    <w:rsid w:val="002C54E2"/>
    <w:rsid w:val="0030160F"/>
    <w:rsid w:val="00320223"/>
    <w:rsid w:val="00322D0D"/>
    <w:rsid w:val="00361465"/>
    <w:rsid w:val="003747E3"/>
    <w:rsid w:val="003845D3"/>
    <w:rsid w:val="003877F5"/>
    <w:rsid w:val="003936D3"/>
    <w:rsid w:val="003942D4"/>
    <w:rsid w:val="003958A8"/>
    <w:rsid w:val="003B29C2"/>
    <w:rsid w:val="003B4FAF"/>
    <w:rsid w:val="003C2533"/>
    <w:rsid w:val="003D5A7F"/>
    <w:rsid w:val="003F0228"/>
    <w:rsid w:val="0040435A"/>
    <w:rsid w:val="004152DA"/>
    <w:rsid w:val="00416A24"/>
    <w:rsid w:val="00431D9E"/>
    <w:rsid w:val="00433CE8"/>
    <w:rsid w:val="00434A5C"/>
    <w:rsid w:val="00453079"/>
    <w:rsid w:val="004544D9"/>
    <w:rsid w:val="00465C35"/>
    <w:rsid w:val="00472BAD"/>
    <w:rsid w:val="00484009"/>
    <w:rsid w:val="00490E72"/>
    <w:rsid w:val="00491157"/>
    <w:rsid w:val="00491BA9"/>
    <w:rsid w:val="004921C8"/>
    <w:rsid w:val="0049369C"/>
    <w:rsid w:val="00495615"/>
    <w:rsid w:val="00495B0B"/>
    <w:rsid w:val="004A1B8B"/>
    <w:rsid w:val="004D1851"/>
    <w:rsid w:val="004D599D"/>
    <w:rsid w:val="004E1D98"/>
    <w:rsid w:val="004E2EA5"/>
    <w:rsid w:val="004E3AEB"/>
    <w:rsid w:val="0050223C"/>
    <w:rsid w:val="00512087"/>
    <w:rsid w:val="005243FF"/>
    <w:rsid w:val="0055063A"/>
    <w:rsid w:val="00564FBC"/>
    <w:rsid w:val="005800BC"/>
    <w:rsid w:val="00582442"/>
    <w:rsid w:val="005F3269"/>
    <w:rsid w:val="005F5F6E"/>
    <w:rsid w:val="0061071E"/>
    <w:rsid w:val="0061683E"/>
    <w:rsid w:val="00623AE3"/>
    <w:rsid w:val="0064737F"/>
    <w:rsid w:val="006535F1"/>
    <w:rsid w:val="0065557D"/>
    <w:rsid w:val="00660D50"/>
    <w:rsid w:val="00662984"/>
    <w:rsid w:val="006716BB"/>
    <w:rsid w:val="00672B7F"/>
    <w:rsid w:val="00682D54"/>
    <w:rsid w:val="006843C4"/>
    <w:rsid w:val="006A2F4B"/>
    <w:rsid w:val="006B1859"/>
    <w:rsid w:val="006B6680"/>
    <w:rsid w:val="006B6DCC"/>
    <w:rsid w:val="006B6E68"/>
    <w:rsid w:val="006B77F1"/>
    <w:rsid w:val="006F6FEB"/>
    <w:rsid w:val="00702DEF"/>
    <w:rsid w:val="00706861"/>
    <w:rsid w:val="00713101"/>
    <w:rsid w:val="00722551"/>
    <w:rsid w:val="007232EE"/>
    <w:rsid w:val="0075051B"/>
    <w:rsid w:val="00765C89"/>
    <w:rsid w:val="0077110E"/>
    <w:rsid w:val="00771366"/>
    <w:rsid w:val="00793188"/>
    <w:rsid w:val="00794D34"/>
    <w:rsid w:val="007A3FCD"/>
    <w:rsid w:val="007B19CF"/>
    <w:rsid w:val="007D01AF"/>
    <w:rsid w:val="007E37B6"/>
    <w:rsid w:val="00813E5E"/>
    <w:rsid w:val="0083581B"/>
    <w:rsid w:val="0084546D"/>
    <w:rsid w:val="00863874"/>
    <w:rsid w:val="00864AFF"/>
    <w:rsid w:val="00865925"/>
    <w:rsid w:val="008B4A6A"/>
    <w:rsid w:val="008C7E27"/>
    <w:rsid w:val="008F7448"/>
    <w:rsid w:val="0090147A"/>
    <w:rsid w:val="009173EF"/>
    <w:rsid w:val="0092232B"/>
    <w:rsid w:val="00932906"/>
    <w:rsid w:val="00954C49"/>
    <w:rsid w:val="00955888"/>
    <w:rsid w:val="00961B0B"/>
    <w:rsid w:val="00962D33"/>
    <w:rsid w:val="009842A1"/>
    <w:rsid w:val="00987384"/>
    <w:rsid w:val="009A12DA"/>
    <w:rsid w:val="009A76A8"/>
    <w:rsid w:val="009B38C3"/>
    <w:rsid w:val="009C09A0"/>
    <w:rsid w:val="009D7F96"/>
    <w:rsid w:val="009E17BD"/>
    <w:rsid w:val="009E485A"/>
    <w:rsid w:val="009F20A1"/>
    <w:rsid w:val="00A04CEC"/>
    <w:rsid w:val="00A109AF"/>
    <w:rsid w:val="00A27F92"/>
    <w:rsid w:val="00A32257"/>
    <w:rsid w:val="00A36D20"/>
    <w:rsid w:val="00A41EEB"/>
    <w:rsid w:val="00A514A4"/>
    <w:rsid w:val="00A55622"/>
    <w:rsid w:val="00A83502"/>
    <w:rsid w:val="00A94BAB"/>
    <w:rsid w:val="00AD15B3"/>
    <w:rsid w:val="00AD3606"/>
    <w:rsid w:val="00AD4A3D"/>
    <w:rsid w:val="00AF5136"/>
    <w:rsid w:val="00AF6E49"/>
    <w:rsid w:val="00B04A67"/>
    <w:rsid w:val="00B0583C"/>
    <w:rsid w:val="00B34BE7"/>
    <w:rsid w:val="00B40A81"/>
    <w:rsid w:val="00B44910"/>
    <w:rsid w:val="00B72267"/>
    <w:rsid w:val="00B76EB6"/>
    <w:rsid w:val="00B7737B"/>
    <w:rsid w:val="00B824C8"/>
    <w:rsid w:val="00B84B9D"/>
    <w:rsid w:val="00B9131F"/>
    <w:rsid w:val="00BA4863"/>
    <w:rsid w:val="00BB0646"/>
    <w:rsid w:val="00BC251A"/>
    <w:rsid w:val="00BC4A20"/>
    <w:rsid w:val="00BD032B"/>
    <w:rsid w:val="00BE01C6"/>
    <w:rsid w:val="00BE2640"/>
    <w:rsid w:val="00BF1FDE"/>
    <w:rsid w:val="00C01189"/>
    <w:rsid w:val="00C0458D"/>
    <w:rsid w:val="00C374DE"/>
    <w:rsid w:val="00C47AD4"/>
    <w:rsid w:val="00C52D81"/>
    <w:rsid w:val="00C55198"/>
    <w:rsid w:val="00C5605F"/>
    <w:rsid w:val="00C6520B"/>
    <w:rsid w:val="00C76ED4"/>
    <w:rsid w:val="00C834FE"/>
    <w:rsid w:val="00CA6393"/>
    <w:rsid w:val="00CA7995"/>
    <w:rsid w:val="00CB18FF"/>
    <w:rsid w:val="00CD0C08"/>
    <w:rsid w:val="00CE03FB"/>
    <w:rsid w:val="00CE433C"/>
    <w:rsid w:val="00CF0161"/>
    <w:rsid w:val="00CF33F3"/>
    <w:rsid w:val="00CF4A2B"/>
    <w:rsid w:val="00D024CA"/>
    <w:rsid w:val="00D06183"/>
    <w:rsid w:val="00D22C42"/>
    <w:rsid w:val="00D250DE"/>
    <w:rsid w:val="00D65041"/>
    <w:rsid w:val="00DB1936"/>
    <w:rsid w:val="00DB384B"/>
    <w:rsid w:val="00DC2B60"/>
    <w:rsid w:val="00DE532B"/>
    <w:rsid w:val="00DF0189"/>
    <w:rsid w:val="00E06FD5"/>
    <w:rsid w:val="00E10E80"/>
    <w:rsid w:val="00E124F0"/>
    <w:rsid w:val="00E13FAC"/>
    <w:rsid w:val="00E227F3"/>
    <w:rsid w:val="00E545C6"/>
    <w:rsid w:val="00E60F04"/>
    <w:rsid w:val="00E65B24"/>
    <w:rsid w:val="00E664EB"/>
    <w:rsid w:val="00E854E4"/>
    <w:rsid w:val="00E86DBF"/>
    <w:rsid w:val="00E969AF"/>
    <w:rsid w:val="00EB0D6F"/>
    <w:rsid w:val="00EB2232"/>
    <w:rsid w:val="00EC5337"/>
    <w:rsid w:val="00EE49E8"/>
    <w:rsid w:val="00F16BAB"/>
    <w:rsid w:val="00F2150A"/>
    <w:rsid w:val="00F22F42"/>
    <w:rsid w:val="00F231D8"/>
    <w:rsid w:val="00F27212"/>
    <w:rsid w:val="00F44C00"/>
    <w:rsid w:val="00F45D2C"/>
    <w:rsid w:val="00F46C5F"/>
    <w:rsid w:val="00F632C0"/>
    <w:rsid w:val="00F641E1"/>
    <w:rsid w:val="00F94A63"/>
    <w:rsid w:val="00F97577"/>
    <w:rsid w:val="00FA1C28"/>
    <w:rsid w:val="00FB1279"/>
    <w:rsid w:val="00FB6B76"/>
    <w:rsid w:val="00FB7596"/>
    <w:rsid w:val="00FE4077"/>
    <w:rsid w:val="00FE500D"/>
    <w:rsid w:val="00FE77D2"/>
    <w:rsid w:val="00FF39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306ADDF"/>
  <w15:docId w15:val="{A3AB3EBA-5C9E-4C90-A85F-825689D3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C54E2"/>
    <w:pPr>
      <w:tabs>
        <w:tab w:val="left" w:pos="567"/>
        <w:tab w:val="left" w:pos="1134"/>
        <w:tab w:val="left" w:pos="1701"/>
        <w:tab w:val="left" w:pos="2268"/>
        <w:tab w:val="left" w:pos="2835"/>
      </w:tabs>
      <w:overflowPunct w:val="0"/>
      <w:autoSpaceDE w:val="0"/>
      <w:autoSpaceDN w:val="0"/>
      <w:adjustRightInd w:val="0"/>
      <w:spacing w:before="120"/>
      <w:textAlignment w:val="baseline"/>
    </w:pPr>
    <w:rPr>
      <w:rFonts w:ascii="Calibri" w:hAnsi="Calibri"/>
      <w:sz w:val="24"/>
      <w:lang w:val="en-GB" w:eastAsia="en-US"/>
    </w:rPr>
  </w:style>
  <w:style w:type="paragraph" w:styleId="Heading1">
    <w:name w:val="heading 1"/>
    <w:basedOn w:val="Normal"/>
    <w:next w:val="Normal"/>
    <w:qFormat/>
    <w:rsid w:val="00B9131F"/>
    <w:pPr>
      <w:keepNext/>
      <w:keepLines/>
      <w:spacing w:before="360"/>
      <w:ind w:left="567" w:hanging="567"/>
      <w:outlineLvl w:val="0"/>
    </w:pPr>
    <w:rPr>
      <w:b/>
      <w:sz w:val="28"/>
    </w:rPr>
  </w:style>
  <w:style w:type="paragraph" w:styleId="Heading2">
    <w:name w:val="heading 2"/>
    <w:basedOn w:val="Heading1"/>
    <w:next w:val="Normal"/>
    <w:qFormat/>
    <w:rsid w:val="00B9131F"/>
    <w:pPr>
      <w:spacing w:before="240"/>
      <w:outlineLvl w:val="1"/>
    </w:pPr>
    <w:rPr>
      <w:sz w:val="24"/>
    </w:rPr>
  </w:style>
  <w:style w:type="paragraph" w:styleId="Heading3">
    <w:name w:val="heading 3"/>
    <w:basedOn w:val="Heading1"/>
    <w:next w:val="Normal"/>
    <w:qFormat/>
    <w:rsid w:val="00B9131F"/>
    <w:pPr>
      <w:spacing w:before="200"/>
      <w:outlineLvl w:val="2"/>
    </w:pPr>
    <w:rPr>
      <w:sz w:val="24"/>
    </w:rPr>
  </w:style>
  <w:style w:type="paragraph" w:styleId="Heading4">
    <w:name w:val="heading 4"/>
    <w:basedOn w:val="Heading3"/>
    <w:next w:val="Normal"/>
    <w:qFormat/>
    <w:rsid w:val="00B9131F"/>
    <w:pPr>
      <w:ind w:left="1134" w:hanging="1134"/>
      <w:outlineLvl w:val="3"/>
    </w:pPr>
  </w:style>
  <w:style w:type="paragraph" w:styleId="Heading5">
    <w:name w:val="heading 5"/>
    <w:basedOn w:val="Heading4"/>
    <w:next w:val="Normal"/>
    <w:qFormat/>
    <w:rsid w:val="00B9131F"/>
    <w:pPr>
      <w:outlineLvl w:val="4"/>
    </w:pPr>
  </w:style>
  <w:style w:type="paragraph" w:styleId="Heading6">
    <w:name w:val="heading 6"/>
    <w:basedOn w:val="Heading4"/>
    <w:next w:val="Normal"/>
    <w:qFormat/>
    <w:rsid w:val="00B9131F"/>
    <w:pPr>
      <w:outlineLvl w:val="5"/>
    </w:pPr>
  </w:style>
  <w:style w:type="paragraph" w:styleId="Heading7">
    <w:name w:val="heading 7"/>
    <w:basedOn w:val="Heading4"/>
    <w:next w:val="Normal"/>
    <w:qFormat/>
    <w:rsid w:val="00813E5E"/>
    <w:pPr>
      <w:ind w:left="1701" w:hanging="1701"/>
      <w:outlineLvl w:val="6"/>
    </w:pPr>
  </w:style>
  <w:style w:type="paragraph" w:styleId="Heading8">
    <w:name w:val="heading 8"/>
    <w:basedOn w:val="Heading4"/>
    <w:next w:val="Normal"/>
    <w:qFormat/>
    <w:rsid w:val="00B9131F"/>
    <w:pPr>
      <w:ind w:left="1701" w:hanging="1701"/>
      <w:outlineLvl w:val="7"/>
    </w:pPr>
  </w:style>
  <w:style w:type="paragraph" w:styleId="Heading9">
    <w:name w:val="heading 9"/>
    <w:basedOn w:val="Heading4"/>
    <w:next w:val="Normal"/>
    <w:qFormat/>
    <w:rsid w:val="00B9131F"/>
    <w:pPr>
      <w:ind w:left="1701" w:hanging="1701"/>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4">
    <w:name w:val="toc 4"/>
    <w:basedOn w:val="Normal"/>
    <w:next w:val="Normal"/>
    <w:rsid w:val="00813E5E"/>
    <w:pPr>
      <w:tabs>
        <w:tab w:val="clear" w:pos="567"/>
        <w:tab w:val="clear" w:pos="1134"/>
        <w:tab w:val="clear" w:pos="1701"/>
        <w:tab w:val="clear" w:pos="2268"/>
        <w:tab w:val="clear" w:pos="2835"/>
        <w:tab w:val="left" w:pos="964"/>
        <w:tab w:val="left" w:pos="8789"/>
        <w:tab w:val="right" w:pos="9639"/>
      </w:tabs>
      <w:ind w:left="964" w:hanging="964"/>
    </w:pPr>
  </w:style>
  <w:style w:type="paragraph" w:styleId="TOC3">
    <w:name w:val="toc 3"/>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2">
    <w:name w:val="toc 2"/>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1">
    <w:name w:val="toc 1"/>
    <w:basedOn w:val="Normal"/>
    <w:rsid w:val="00813E5E"/>
    <w:pPr>
      <w:tabs>
        <w:tab w:val="clear" w:pos="567"/>
        <w:tab w:val="clear" w:pos="1134"/>
        <w:tab w:val="clear" w:pos="1701"/>
        <w:tab w:val="clear" w:pos="2268"/>
        <w:tab w:val="clear" w:pos="2835"/>
        <w:tab w:val="left" w:pos="964"/>
        <w:tab w:val="left" w:leader="dot" w:pos="8789"/>
        <w:tab w:val="right" w:pos="9639"/>
      </w:tabs>
      <w:spacing w:before="240"/>
      <w:ind w:left="964" w:hanging="964"/>
    </w:pPr>
  </w:style>
  <w:style w:type="paragraph" w:styleId="TOC7">
    <w:name w:val="toc 7"/>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6">
    <w:name w:val="toc 6"/>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TOC5">
    <w:name w:val="toc 5"/>
    <w:basedOn w:val="Normal"/>
    <w:next w:val="Normal"/>
    <w:rsid w:val="00813E5E"/>
    <w:pPr>
      <w:tabs>
        <w:tab w:val="clear" w:pos="567"/>
        <w:tab w:val="clear" w:pos="1134"/>
        <w:tab w:val="clear" w:pos="1701"/>
        <w:tab w:val="clear" w:pos="2268"/>
        <w:tab w:val="clear" w:pos="2835"/>
        <w:tab w:val="left" w:pos="964"/>
        <w:tab w:val="left" w:leader="dot" w:pos="8789"/>
        <w:tab w:val="right" w:pos="9639"/>
      </w:tabs>
      <w:ind w:left="964" w:hanging="964"/>
    </w:pPr>
  </w:style>
  <w:style w:type="paragraph" w:styleId="Index7">
    <w:name w:val="index 7"/>
    <w:basedOn w:val="Normal"/>
    <w:next w:val="Normal"/>
    <w:rsid w:val="004D1851"/>
    <w:pPr>
      <w:ind w:left="1698"/>
    </w:pPr>
  </w:style>
  <w:style w:type="paragraph" w:styleId="Index6">
    <w:name w:val="index 6"/>
    <w:basedOn w:val="Normal"/>
    <w:next w:val="Normal"/>
    <w:rsid w:val="004D1851"/>
    <w:pPr>
      <w:ind w:left="1415"/>
    </w:pPr>
  </w:style>
  <w:style w:type="paragraph" w:styleId="Index5">
    <w:name w:val="index 5"/>
    <w:basedOn w:val="Normal"/>
    <w:next w:val="Normal"/>
    <w:rsid w:val="004D1851"/>
    <w:pPr>
      <w:ind w:left="1132"/>
    </w:pPr>
  </w:style>
  <w:style w:type="paragraph" w:styleId="Index4">
    <w:name w:val="index 4"/>
    <w:basedOn w:val="Normal"/>
    <w:next w:val="Normal"/>
    <w:rsid w:val="004D1851"/>
    <w:pPr>
      <w:ind w:left="849"/>
    </w:pPr>
  </w:style>
  <w:style w:type="paragraph" w:styleId="Index3">
    <w:name w:val="index 3"/>
    <w:basedOn w:val="Normal"/>
    <w:next w:val="Normal"/>
    <w:rsid w:val="004D1851"/>
    <w:pPr>
      <w:ind w:left="566"/>
    </w:pPr>
  </w:style>
  <w:style w:type="paragraph" w:styleId="Index2">
    <w:name w:val="index 2"/>
    <w:basedOn w:val="Normal"/>
    <w:next w:val="Normal"/>
    <w:rsid w:val="004D1851"/>
    <w:pPr>
      <w:ind w:left="283"/>
    </w:pPr>
  </w:style>
  <w:style w:type="paragraph" w:styleId="Index1">
    <w:name w:val="index 1"/>
    <w:basedOn w:val="Normal"/>
    <w:next w:val="Normal"/>
    <w:rsid w:val="004D1851"/>
  </w:style>
  <w:style w:type="character" w:styleId="LineNumber">
    <w:name w:val="line number"/>
    <w:basedOn w:val="DefaultParagraphFont"/>
    <w:rsid w:val="00B9131F"/>
    <w:rPr>
      <w:rFonts w:asciiTheme="minorHAnsi" w:hAnsiTheme="minorHAnsi"/>
      <w:sz w:val="24"/>
    </w:rPr>
  </w:style>
  <w:style w:type="paragraph" w:styleId="IndexHeading">
    <w:name w:val="index heading"/>
    <w:basedOn w:val="Normal"/>
    <w:next w:val="Index1"/>
    <w:rsid w:val="004D1851"/>
  </w:style>
  <w:style w:type="paragraph" w:styleId="Footer">
    <w:name w:val="footer"/>
    <w:basedOn w:val="Normal"/>
    <w:rsid w:val="00813E5E"/>
    <w:pPr>
      <w:tabs>
        <w:tab w:val="clear" w:pos="567"/>
        <w:tab w:val="clear" w:pos="1134"/>
        <w:tab w:val="clear" w:pos="1701"/>
        <w:tab w:val="clear" w:pos="2268"/>
        <w:tab w:val="clear" w:pos="2835"/>
        <w:tab w:val="left" w:pos="5954"/>
        <w:tab w:val="right" w:pos="9639"/>
      </w:tabs>
      <w:spacing w:before="0"/>
    </w:pPr>
    <w:rPr>
      <w:caps/>
      <w:noProof/>
      <w:sz w:val="16"/>
    </w:rPr>
  </w:style>
  <w:style w:type="paragraph" w:styleId="Header">
    <w:name w:val="header"/>
    <w:basedOn w:val="Normal"/>
    <w:link w:val="HeaderChar"/>
    <w:uiPriority w:val="99"/>
    <w:rsid w:val="005800BC"/>
    <w:pPr>
      <w:tabs>
        <w:tab w:val="clear" w:pos="567"/>
        <w:tab w:val="clear" w:pos="1134"/>
        <w:tab w:val="clear" w:pos="1701"/>
        <w:tab w:val="clear" w:pos="2268"/>
        <w:tab w:val="clear" w:pos="2835"/>
      </w:tabs>
      <w:spacing w:before="0"/>
      <w:jc w:val="center"/>
    </w:pPr>
    <w:rPr>
      <w:color w:val="7F7F7F" w:themeColor="text1" w:themeTint="80"/>
      <w:sz w:val="18"/>
    </w:rPr>
  </w:style>
  <w:style w:type="character" w:styleId="FootnoteReference">
    <w:name w:val="footnote reference"/>
    <w:basedOn w:val="DefaultParagraphFont"/>
    <w:rsid w:val="00813E5E"/>
    <w:rPr>
      <w:rFonts w:ascii="Calibri" w:hAnsi="Calibri"/>
      <w:position w:val="6"/>
      <w:sz w:val="16"/>
    </w:rPr>
  </w:style>
  <w:style w:type="paragraph" w:styleId="FootnoteText">
    <w:name w:val="footnote text"/>
    <w:basedOn w:val="Normal"/>
    <w:rsid w:val="00D024CA"/>
    <w:pPr>
      <w:keepLines/>
      <w:tabs>
        <w:tab w:val="left" w:pos="284"/>
      </w:tabs>
      <w:ind w:left="284" w:hanging="284"/>
    </w:pPr>
    <w:rPr>
      <w:sz w:val="22"/>
    </w:rPr>
  </w:style>
  <w:style w:type="paragraph" w:styleId="NormalIndent">
    <w:name w:val="Normal Indent"/>
    <w:basedOn w:val="Normal"/>
    <w:rsid w:val="00813E5E"/>
    <w:pPr>
      <w:ind w:left="567"/>
    </w:pPr>
  </w:style>
  <w:style w:type="paragraph" w:customStyle="1" w:styleId="enumlev1">
    <w:name w:val="enumlev1"/>
    <w:basedOn w:val="Normal"/>
    <w:qFormat/>
    <w:rsid w:val="001A3154"/>
    <w:pPr>
      <w:spacing w:before="80"/>
      <w:ind w:left="567" w:hanging="567"/>
    </w:pPr>
  </w:style>
  <w:style w:type="paragraph" w:customStyle="1" w:styleId="enumlev2">
    <w:name w:val="enumlev2"/>
    <w:basedOn w:val="enumlev1"/>
    <w:qFormat/>
    <w:rsid w:val="001A3154"/>
    <w:pPr>
      <w:ind w:left="1134"/>
    </w:pPr>
  </w:style>
  <w:style w:type="paragraph" w:customStyle="1" w:styleId="enumlev3">
    <w:name w:val="enumlev3"/>
    <w:basedOn w:val="enumlev2"/>
    <w:qFormat/>
    <w:rsid w:val="00813E5E"/>
    <w:pPr>
      <w:ind w:left="1701"/>
    </w:pPr>
  </w:style>
  <w:style w:type="paragraph" w:customStyle="1" w:styleId="Normalaftertitle">
    <w:name w:val="Normal after title"/>
    <w:basedOn w:val="Normal"/>
    <w:next w:val="Normal"/>
    <w:rsid w:val="00813E5E"/>
    <w:pPr>
      <w:spacing w:before="240"/>
    </w:pPr>
  </w:style>
  <w:style w:type="character" w:customStyle="1" w:styleId="HeaderChar">
    <w:name w:val="Header Char"/>
    <w:basedOn w:val="DefaultParagraphFont"/>
    <w:link w:val="Header"/>
    <w:uiPriority w:val="99"/>
    <w:rsid w:val="005800BC"/>
    <w:rPr>
      <w:rFonts w:ascii="Calibri" w:hAnsi="Calibri"/>
      <w:color w:val="7F7F7F" w:themeColor="text1" w:themeTint="80"/>
      <w:sz w:val="18"/>
      <w:lang w:val="en-GB" w:eastAsia="en-US"/>
    </w:rPr>
  </w:style>
  <w:style w:type="paragraph" w:customStyle="1" w:styleId="Head">
    <w:name w:val="Head"/>
    <w:basedOn w:val="Normal"/>
    <w:rsid w:val="004D1851"/>
    <w:pPr>
      <w:tabs>
        <w:tab w:val="left" w:pos="6663"/>
      </w:tabs>
      <w:overflowPunct/>
      <w:autoSpaceDE/>
      <w:autoSpaceDN/>
      <w:adjustRightInd/>
      <w:spacing w:before="0"/>
      <w:textAlignment w:val="auto"/>
    </w:pPr>
  </w:style>
  <w:style w:type="paragraph" w:customStyle="1" w:styleId="toc0">
    <w:name w:val="toc 0"/>
    <w:basedOn w:val="Normal"/>
    <w:next w:val="TOC1"/>
    <w:rsid w:val="00813E5E"/>
    <w:pPr>
      <w:tabs>
        <w:tab w:val="clear" w:pos="567"/>
        <w:tab w:val="clear" w:pos="1134"/>
        <w:tab w:val="clear" w:pos="1701"/>
        <w:tab w:val="clear" w:pos="2268"/>
        <w:tab w:val="clear" w:pos="2835"/>
        <w:tab w:val="right" w:pos="9781"/>
      </w:tabs>
    </w:pPr>
    <w:rPr>
      <w:b/>
    </w:rPr>
  </w:style>
  <w:style w:type="paragraph" w:styleId="List">
    <w:name w:val="List"/>
    <w:basedOn w:val="Normal"/>
    <w:rsid w:val="004D1851"/>
    <w:pPr>
      <w:tabs>
        <w:tab w:val="left" w:pos="2127"/>
      </w:tabs>
      <w:ind w:left="2127" w:hanging="2127"/>
    </w:pPr>
  </w:style>
  <w:style w:type="paragraph" w:customStyle="1" w:styleId="Part">
    <w:name w:val="Part"/>
    <w:basedOn w:val="Normal"/>
    <w:next w:val="Normal"/>
    <w:rsid w:val="00813E5E"/>
    <w:pPr>
      <w:tabs>
        <w:tab w:val="clear" w:pos="567"/>
        <w:tab w:val="clear" w:pos="1134"/>
        <w:tab w:val="clear" w:pos="1701"/>
        <w:tab w:val="clear" w:pos="2268"/>
        <w:tab w:val="clear" w:pos="2835"/>
      </w:tabs>
      <w:spacing w:before="600"/>
      <w:jc w:val="center"/>
    </w:pPr>
    <w:rPr>
      <w:caps/>
      <w:sz w:val="28"/>
    </w:rPr>
  </w:style>
  <w:style w:type="paragraph" w:customStyle="1" w:styleId="Source">
    <w:name w:val="Source"/>
    <w:basedOn w:val="Normal"/>
    <w:next w:val="Title1"/>
    <w:autoRedefine/>
    <w:rsid w:val="0092232B"/>
    <w:pPr>
      <w:framePr w:hSpace="181" w:wrap="around" w:vAnchor="page" w:hAnchor="page" w:x="1589" w:y="2314"/>
      <w:spacing w:before="840"/>
      <w:jc w:val="both"/>
    </w:pPr>
    <w:rPr>
      <w:b/>
      <w:sz w:val="34"/>
    </w:rPr>
  </w:style>
  <w:style w:type="paragraph" w:customStyle="1" w:styleId="meeting">
    <w:name w:val="meeting"/>
    <w:basedOn w:val="Head"/>
    <w:next w:val="Head"/>
    <w:rsid w:val="004D1851"/>
    <w:pPr>
      <w:tabs>
        <w:tab w:val="left" w:pos="7371"/>
      </w:tabs>
      <w:spacing w:after="567"/>
    </w:pPr>
  </w:style>
  <w:style w:type="paragraph" w:customStyle="1" w:styleId="Subject">
    <w:name w:val="Subject"/>
    <w:basedOn w:val="Normal"/>
    <w:next w:val="Source"/>
    <w:rsid w:val="004D1851"/>
    <w:pPr>
      <w:spacing w:before="0"/>
      <w:ind w:left="1134" w:hanging="1134"/>
    </w:pPr>
  </w:style>
  <w:style w:type="paragraph" w:customStyle="1" w:styleId="Object">
    <w:name w:val="Object"/>
    <w:basedOn w:val="Subject"/>
    <w:next w:val="Subject"/>
    <w:rsid w:val="004D1851"/>
  </w:style>
  <w:style w:type="paragraph" w:customStyle="1" w:styleId="Data">
    <w:name w:val="Data"/>
    <w:basedOn w:val="Subject"/>
    <w:next w:val="Subject"/>
    <w:rsid w:val="004D1851"/>
  </w:style>
  <w:style w:type="table" w:styleId="TableGrid">
    <w:name w:val="Table Grid"/>
    <w:basedOn w:val="TableNormal"/>
    <w:uiPriority w:val="39"/>
    <w:rsid w:val="00AD3606"/>
    <w:rPr>
      <w:rFonts w:asciiTheme="minorHAnsi" w:eastAsiaTheme="minorHAnsi" w:hAnsiTheme="minorHAnsi" w:cstheme="minorBidi"/>
      <w:sz w:val="22"/>
      <w:szCs w:val="22"/>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B9131F"/>
    <w:rPr>
      <w:color w:val="4F81BD" w:themeColor="accent1"/>
      <w:u w:val="single"/>
    </w:rPr>
  </w:style>
  <w:style w:type="paragraph" w:customStyle="1" w:styleId="FirstFooter">
    <w:name w:val="FirstFooter"/>
    <w:basedOn w:val="Footer"/>
    <w:rsid w:val="00813E5E"/>
    <w:rPr>
      <w:caps w:val="0"/>
    </w:rPr>
  </w:style>
  <w:style w:type="paragraph" w:customStyle="1" w:styleId="Note">
    <w:name w:val="Note"/>
    <w:basedOn w:val="Normal"/>
    <w:rsid w:val="00813E5E"/>
    <w:pPr>
      <w:tabs>
        <w:tab w:val="clear" w:pos="567"/>
        <w:tab w:val="left" w:pos="851"/>
      </w:tabs>
    </w:pPr>
  </w:style>
  <w:style w:type="paragraph" w:styleId="TOC9">
    <w:name w:val="toc 9"/>
    <w:basedOn w:val="TOC4"/>
    <w:rsid w:val="004D1851"/>
  </w:style>
  <w:style w:type="paragraph" w:customStyle="1" w:styleId="Headingb">
    <w:name w:val="Heading_b"/>
    <w:basedOn w:val="Heading3"/>
    <w:next w:val="Normal"/>
    <w:rsid w:val="00B9131F"/>
    <w:pPr>
      <w:spacing w:before="160"/>
      <w:ind w:left="0" w:firstLine="0"/>
      <w:outlineLvl w:val="0"/>
    </w:pPr>
  </w:style>
  <w:style w:type="character" w:styleId="FollowedHyperlink">
    <w:name w:val="FollowedHyperlink"/>
    <w:basedOn w:val="DefaultParagraphFont"/>
    <w:rsid w:val="00813E5E"/>
    <w:rPr>
      <w:color w:val="800080"/>
      <w:u w:val="single"/>
    </w:rPr>
  </w:style>
  <w:style w:type="paragraph" w:customStyle="1" w:styleId="Title1">
    <w:name w:val="Title 1"/>
    <w:basedOn w:val="Source"/>
    <w:next w:val="Title2"/>
    <w:rsid w:val="002C54E2"/>
    <w:pPr>
      <w:framePr w:wrap="around"/>
      <w:spacing w:before="240"/>
    </w:pPr>
    <w:rPr>
      <w:b w:val="0"/>
    </w:rPr>
  </w:style>
  <w:style w:type="paragraph" w:customStyle="1" w:styleId="Title2">
    <w:name w:val="Title 2"/>
    <w:basedOn w:val="Source"/>
    <w:next w:val="Title3"/>
    <w:rsid w:val="00813E5E"/>
    <w:pPr>
      <w:framePr w:wrap="around"/>
      <w:spacing w:before="240"/>
    </w:pPr>
    <w:rPr>
      <w:b w:val="0"/>
      <w:caps/>
    </w:rPr>
  </w:style>
  <w:style w:type="paragraph" w:customStyle="1" w:styleId="Title3">
    <w:name w:val="Title 3"/>
    <w:basedOn w:val="Title2"/>
    <w:next w:val="Normalaftertitle"/>
    <w:rsid w:val="00813E5E"/>
    <w:pPr>
      <w:framePr w:wrap="around"/>
    </w:pPr>
    <w:rPr>
      <w:caps w:val="0"/>
    </w:rPr>
  </w:style>
  <w:style w:type="paragraph" w:customStyle="1" w:styleId="Title4">
    <w:name w:val="Title 4"/>
    <w:basedOn w:val="Title3"/>
    <w:next w:val="Heading1"/>
    <w:rsid w:val="004D1851"/>
    <w:pPr>
      <w:framePr w:wrap="around"/>
    </w:pPr>
    <w:rPr>
      <w:b/>
    </w:rPr>
  </w:style>
  <w:style w:type="paragraph" w:customStyle="1" w:styleId="dnum">
    <w:name w:val="dnum"/>
    <w:basedOn w:val="Normal"/>
    <w:rsid w:val="004D1851"/>
    <w:pPr>
      <w:framePr w:hSpace="181" w:wrap="around" w:vAnchor="page" w:hAnchor="margin" w:y="852"/>
      <w:shd w:val="solid" w:color="FFFFFF" w:fill="FFFFFF"/>
      <w:tabs>
        <w:tab w:val="left" w:pos="1871"/>
      </w:tabs>
    </w:pPr>
    <w:rPr>
      <w:b/>
      <w:bCs/>
    </w:rPr>
  </w:style>
  <w:style w:type="paragraph" w:customStyle="1" w:styleId="ddate">
    <w:name w:val="ddate"/>
    <w:basedOn w:val="Normal"/>
    <w:rsid w:val="004D1851"/>
    <w:pPr>
      <w:framePr w:hSpace="181" w:wrap="around" w:vAnchor="page" w:hAnchor="margin" w:y="852"/>
      <w:shd w:val="solid" w:color="FFFFFF" w:fill="FFFFFF"/>
      <w:tabs>
        <w:tab w:val="left" w:pos="1871"/>
      </w:tabs>
      <w:spacing w:before="0"/>
    </w:pPr>
    <w:rPr>
      <w:b/>
      <w:bCs/>
    </w:rPr>
  </w:style>
  <w:style w:type="paragraph" w:customStyle="1" w:styleId="dorlang">
    <w:name w:val="dorlang"/>
    <w:basedOn w:val="Normal"/>
    <w:rsid w:val="004D1851"/>
    <w:pPr>
      <w:framePr w:hSpace="181" w:wrap="around" w:vAnchor="page" w:hAnchor="margin" w:y="852"/>
      <w:shd w:val="solid" w:color="FFFFFF" w:fill="FFFFFF"/>
      <w:tabs>
        <w:tab w:val="left" w:pos="1871"/>
      </w:tabs>
      <w:spacing w:before="0"/>
    </w:pPr>
    <w:rPr>
      <w:b/>
      <w:bCs/>
    </w:rPr>
  </w:style>
  <w:style w:type="paragraph" w:customStyle="1" w:styleId="AnnexNo">
    <w:name w:val="Annex_No"/>
    <w:basedOn w:val="Normal"/>
    <w:next w:val="Annexref"/>
    <w:qFormat/>
    <w:rsid w:val="00221F46"/>
    <w:pPr>
      <w:keepNext/>
      <w:keepLines/>
      <w:spacing w:before="720"/>
      <w:jc w:val="center"/>
    </w:pPr>
    <w:rPr>
      <w:caps/>
      <w:sz w:val="28"/>
    </w:rPr>
  </w:style>
  <w:style w:type="paragraph" w:customStyle="1" w:styleId="Annextitle">
    <w:name w:val="Annex_title"/>
    <w:basedOn w:val="Normal"/>
    <w:next w:val="Normal"/>
    <w:qFormat/>
    <w:rsid w:val="00221F46"/>
    <w:pPr>
      <w:keepNext/>
      <w:keepLines/>
      <w:spacing w:after="240"/>
      <w:jc w:val="center"/>
    </w:pPr>
    <w:rPr>
      <w:b/>
      <w:sz w:val="28"/>
    </w:rPr>
  </w:style>
  <w:style w:type="paragraph" w:customStyle="1" w:styleId="Annexref">
    <w:name w:val="Annex_ref"/>
    <w:basedOn w:val="Normal"/>
    <w:next w:val="Annextitle"/>
    <w:qFormat/>
    <w:rsid w:val="00221F46"/>
    <w:pPr>
      <w:keepNext/>
      <w:keepLines/>
      <w:jc w:val="center"/>
    </w:pPr>
  </w:style>
  <w:style w:type="paragraph" w:customStyle="1" w:styleId="Call">
    <w:name w:val="Call"/>
    <w:basedOn w:val="Normal"/>
    <w:next w:val="Normal"/>
    <w:qFormat/>
    <w:rsid w:val="00F641E1"/>
    <w:pPr>
      <w:keepNext/>
      <w:keepLines/>
      <w:tabs>
        <w:tab w:val="clear" w:pos="1134"/>
        <w:tab w:val="clear" w:pos="1701"/>
        <w:tab w:val="clear" w:pos="2268"/>
        <w:tab w:val="clear" w:pos="2835"/>
      </w:tabs>
      <w:spacing w:before="160"/>
      <w:ind w:left="567"/>
    </w:pPr>
    <w:rPr>
      <w:i/>
    </w:rPr>
  </w:style>
  <w:style w:type="paragraph" w:customStyle="1" w:styleId="Subtitle">
    <w:name w:val="Sub_title"/>
    <w:basedOn w:val="Title1"/>
    <w:qFormat/>
    <w:rsid w:val="00176F47"/>
    <w:pPr>
      <w:framePr w:wrap="around" w:vAnchor="margin" w:hAnchor="text" w:x="1821" w:y="2317"/>
      <w:spacing w:before="120" w:after="120"/>
    </w:pPr>
    <w:rPr>
      <w:sz w:val="32"/>
      <w:szCs w:val="32"/>
    </w:rPr>
  </w:style>
  <w:style w:type="paragraph" w:customStyle="1" w:styleId="Figure">
    <w:name w:val="Figure"/>
    <w:basedOn w:val="Normal"/>
    <w:next w:val="Figuretitle"/>
    <w:qFormat/>
    <w:rsid w:val="001A3154"/>
    <w:pPr>
      <w:spacing w:after="240"/>
      <w:jc w:val="center"/>
    </w:pPr>
  </w:style>
  <w:style w:type="paragraph" w:customStyle="1" w:styleId="Figuretitle">
    <w:name w:val="Figure_title"/>
    <w:basedOn w:val="Tabletitle"/>
    <w:next w:val="Normalaftertitle"/>
    <w:qFormat/>
    <w:rsid w:val="001A3154"/>
    <w:pPr>
      <w:spacing w:before="120" w:after="0"/>
    </w:pPr>
  </w:style>
  <w:style w:type="paragraph" w:customStyle="1" w:styleId="Tabletitle">
    <w:name w:val="Table_title"/>
    <w:basedOn w:val="TableNo"/>
    <w:next w:val="Tabletext"/>
    <w:rsid w:val="00813E5E"/>
    <w:pPr>
      <w:tabs>
        <w:tab w:val="clear" w:pos="567"/>
        <w:tab w:val="clear" w:pos="1134"/>
        <w:tab w:val="clear" w:pos="1701"/>
        <w:tab w:val="clear" w:pos="2268"/>
        <w:tab w:val="clear" w:pos="2835"/>
        <w:tab w:val="left" w:pos="2948"/>
        <w:tab w:val="left" w:pos="4082"/>
      </w:tabs>
      <w:spacing w:before="0"/>
    </w:pPr>
    <w:rPr>
      <w:b/>
      <w:caps w:val="0"/>
    </w:rPr>
  </w:style>
  <w:style w:type="paragraph" w:customStyle="1" w:styleId="TableNo">
    <w:name w:val="Table_No"/>
    <w:basedOn w:val="Normal"/>
    <w:next w:val="Tabletitle"/>
    <w:rsid w:val="00813E5E"/>
    <w:pPr>
      <w:keepNext/>
      <w:spacing w:before="560" w:after="120"/>
      <w:jc w:val="center"/>
    </w:pPr>
    <w:rPr>
      <w:caps/>
    </w:rPr>
  </w:style>
  <w:style w:type="paragraph" w:customStyle="1" w:styleId="Tabletext">
    <w:name w:val="Table_text"/>
    <w:basedOn w:val="Normal"/>
    <w:rsid w:val="00813E5E"/>
    <w:pPr>
      <w:tabs>
        <w:tab w:val="clear" w:pos="567"/>
        <w:tab w:val="clear" w:pos="1134"/>
        <w:tab w:val="clear" w:pos="1701"/>
        <w:tab w:val="clear" w:pos="2268"/>
        <w:tab w:val="clear" w:pos="2835"/>
      </w:tabs>
      <w:spacing w:before="60" w:after="60"/>
    </w:pPr>
    <w:rPr>
      <w:sz w:val="22"/>
    </w:rPr>
  </w:style>
  <w:style w:type="paragraph" w:customStyle="1" w:styleId="Figurelegend">
    <w:name w:val="Figure_legend"/>
    <w:basedOn w:val="Normal"/>
    <w:qFormat/>
    <w:rsid w:val="00B9131F"/>
    <w:pPr>
      <w:spacing w:before="20" w:after="240"/>
    </w:pPr>
    <w:rPr>
      <w:sz w:val="20"/>
    </w:rPr>
  </w:style>
  <w:style w:type="paragraph" w:customStyle="1" w:styleId="FigureNo">
    <w:name w:val="Figure_No"/>
    <w:basedOn w:val="Normal"/>
    <w:next w:val="Figuretitle"/>
    <w:qFormat/>
    <w:rsid w:val="001A3154"/>
    <w:pPr>
      <w:keepNext/>
      <w:keepLines/>
      <w:spacing w:before="480"/>
      <w:jc w:val="center"/>
    </w:pPr>
    <w:rPr>
      <w:caps/>
    </w:rPr>
  </w:style>
  <w:style w:type="paragraph" w:customStyle="1" w:styleId="Figurewithouttitle">
    <w:name w:val="Figure_without_title"/>
    <w:basedOn w:val="Figure"/>
    <w:next w:val="Normalaftertitle"/>
    <w:rsid w:val="001A3154"/>
  </w:style>
  <w:style w:type="paragraph" w:customStyle="1" w:styleId="Headingi">
    <w:name w:val="Heading_i"/>
    <w:basedOn w:val="Heading3"/>
    <w:next w:val="Normal"/>
    <w:rsid w:val="00B9131F"/>
    <w:pPr>
      <w:spacing w:before="160"/>
      <w:ind w:left="0" w:firstLine="0"/>
      <w:outlineLvl w:val="0"/>
    </w:pPr>
    <w:rPr>
      <w:rFonts w:asciiTheme="minorHAnsi" w:hAnsiTheme="minorHAnsi"/>
      <w:b w:val="0"/>
      <w:i/>
    </w:rPr>
  </w:style>
  <w:style w:type="character" w:styleId="PageNumber">
    <w:name w:val="page number"/>
    <w:basedOn w:val="DefaultParagraphFont"/>
    <w:rsid w:val="00813E5E"/>
    <w:rPr>
      <w:rFonts w:ascii="Calibri" w:hAnsi="Calibri"/>
    </w:rPr>
  </w:style>
  <w:style w:type="paragraph" w:customStyle="1" w:styleId="PartNo">
    <w:name w:val="Part_No"/>
    <w:basedOn w:val="AnnexNo"/>
    <w:next w:val="Parttitle"/>
    <w:rsid w:val="004D1851"/>
  </w:style>
  <w:style w:type="paragraph" w:customStyle="1" w:styleId="Parttitle">
    <w:name w:val="Part_title"/>
    <w:basedOn w:val="Annextitle"/>
    <w:next w:val="Partref"/>
    <w:rsid w:val="004D1851"/>
  </w:style>
  <w:style w:type="paragraph" w:customStyle="1" w:styleId="Partref">
    <w:name w:val="Part_ref"/>
    <w:basedOn w:val="Annexref"/>
    <w:next w:val="Normalaftertitle"/>
    <w:rsid w:val="004D1851"/>
  </w:style>
  <w:style w:type="paragraph" w:customStyle="1" w:styleId="RecNo">
    <w:name w:val="Rec_No"/>
    <w:basedOn w:val="Normal"/>
    <w:next w:val="Rectitle"/>
    <w:rsid w:val="00813E5E"/>
    <w:pPr>
      <w:spacing w:before="720"/>
      <w:jc w:val="center"/>
    </w:pPr>
    <w:rPr>
      <w:caps/>
      <w:sz w:val="28"/>
    </w:rPr>
  </w:style>
  <w:style w:type="paragraph" w:customStyle="1" w:styleId="Rectitle">
    <w:name w:val="Rec_title"/>
    <w:basedOn w:val="Normal"/>
    <w:next w:val="Heading1"/>
    <w:rsid w:val="00813E5E"/>
    <w:pPr>
      <w:spacing w:before="240"/>
      <w:jc w:val="center"/>
    </w:pPr>
    <w:rPr>
      <w:b/>
      <w:sz w:val="28"/>
    </w:rPr>
  </w:style>
  <w:style w:type="paragraph" w:customStyle="1" w:styleId="Recref">
    <w:name w:val="Rec_ref"/>
    <w:basedOn w:val="Rectitle"/>
    <w:next w:val="Recdate"/>
    <w:rsid w:val="004D1851"/>
    <w:pPr>
      <w:spacing w:before="120"/>
    </w:pPr>
    <w:rPr>
      <w:rFonts w:ascii="Times New Roman" w:hAnsi="Times New Roman"/>
      <w:b w:val="0"/>
      <w:sz w:val="24"/>
    </w:rPr>
  </w:style>
  <w:style w:type="paragraph" w:customStyle="1" w:styleId="Recdate">
    <w:name w:val="Rec_date"/>
    <w:basedOn w:val="Recref"/>
    <w:next w:val="Normalaftertitle"/>
    <w:rsid w:val="004D1851"/>
    <w:pPr>
      <w:jc w:val="right"/>
    </w:pPr>
    <w:rPr>
      <w:sz w:val="22"/>
    </w:rPr>
  </w:style>
  <w:style w:type="paragraph" w:customStyle="1" w:styleId="Questiondate">
    <w:name w:val="Question_date"/>
    <w:basedOn w:val="Recdate"/>
    <w:next w:val="Normalaftertitle"/>
    <w:rsid w:val="004D1851"/>
  </w:style>
  <w:style w:type="paragraph" w:customStyle="1" w:styleId="QuestionNo">
    <w:name w:val="Question_No"/>
    <w:basedOn w:val="RecNo"/>
    <w:next w:val="Questiontitle"/>
    <w:rsid w:val="004D1851"/>
  </w:style>
  <w:style w:type="paragraph" w:customStyle="1" w:styleId="Questionref">
    <w:name w:val="Question_ref"/>
    <w:basedOn w:val="Recref"/>
    <w:next w:val="Questiondate"/>
    <w:rsid w:val="004D1851"/>
  </w:style>
  <w:style w:type="paragraph" w:customStyle="1" w:styleId="Questiontitle">
    <w:name w:val="Question_title"/>
    <w:basedOn w:val="Rectitle"/>
    <w:next w:val="Questionref"/>
    <w:rsid w:val="004D1851"/>
  </w:style>
  <w:style w:type="paragraph" w:customStyle="1" w:styleId="Reftext">
    <w:name w:val="Ref_text"/>
    <w:basedOn w:val="Normal"/>
    <w:rsid w:val="00813E5E"/>
    <w:pPr>
      <w:ind w:left="567" w:hanging="567"/>
    </w:pPr>
  </w:style>
  <w:style w:type="paragraph" w:customStyle="1" w:styleId="Reftitle">
    <w:name w:val="Ref_title"/>
    <w:basedOn w:val="Normal"/>
    <w:next w:val="Reftext"/>
    <w:rsid w:val="00813E5E"/>
    <w:pPr>
      <w:spacing w:before="480"/>
      <w:jc w:val="center"/>
    </w:pPr>
    <w:rPr>
      <w:caps/>
      <w:sz w:val="28"/>
    </w:rPr>
  </w:style>
  <w:style w:type="paragraph" w:customStyle="1" w:styleId="Resdate">
    <w:name w:val="Res_date"/>
    <w:basedOn w:val="Recdate"/>
    <w:next w:val="Normalaftertitle"/>
    <w:rsid w:val="004D1851"/>
  </w:style>
  <w:style w:type="paragraph" w:customStyle="1" w:styleId="ResNo">
    <w:name w:val="Res_No"/>
    <w:basedOn w:val="AnnexNo"/>
    <w:next w:val="Restitle"/>
    <w:rsid w:val="00813E5E"/>
  </w:style>
  <w:style w:type="paragraph" w:customStyle="1" w:styleId="Restitle">
    <w:name w:val="Res_title"/>
    <w:basedOn w:val="Annextitle"/>
    <w:next w:val="Normal"/>
    <w:rsid w:val="00813E5E"/>
  </w:style>
  <w:style w:type="paragraph" w:customStyle="1" w:styleId="Resref">
    <w:name w:val="Res_ref"/>
    <w:basedOn w:val="Recref"/>
    <w:next w:val="Resdate"/>
    <w:rsid w:val="004D1851"/>
  </w:style>
  <w:style w:type="paragraph" w:customStyle="1" w:styleId="SectionNo">
    <w:name w:val="Section_No"/>
    <w:basedOn w:val="AnnexNo"/>
    <w:next w:val="Sectiontitle"/>
    <w:rsid w:val="004D1851"/>
  </w:style>
  <w:style w:type="paragraph" w:customStyle="1" w:styleId="Sectiontitle">
    <w:name w:val="Section_title"/>
    <w:basedOn w:val="Normal"/>
    <w:next w:val="Normalaftertitle"/>
    <w:rsid w:val="004D1851"/>
    <w:rPr>
      <w:sz w:val="28"/>
    </w:rPr>
  </w:style>
  <w:style w:type="paragraph" w:customStyle="1" w:styleId="Tablehead">
    <w:name w:val="Table_head"/>
    <w:basedOn w:val="Tabletext"/>
    <w:rsid w:val="00813E5E"/>
    <w:pPr>
      <w:spacing w:before="120" w:after="120"/>
      <w:jc w:val="center"/>
    </w:pPr>
    <w:rPr>
      <w:b/>
    </w:rPr>
  </w:style>
  <w:style w:type="paragraph" w:customStyle="1" w:styleId="Tablelegend">
    <w:name w:val="Table_legend"/>
    <w:basedOn w:val="Tabletext"/>
    <w:rsid w:val="00813E5E"/>
    <w:pPr>
      <w:spacing w:before="120"/>
    </w:pPr>
  </w:style>
  <w:style w:type="paragraph" w:customStyle="1" w:styleId="Tableref">
    <w:name w:val="Table_ref"/>
    <w:basedOn w:val="Normal"/>
    <w:next w:val="Tabletitle"/>
    <w:rsid w:val="004D1851"/>
    <w:pPr>
      <w:keepNext/>
      <w:spacing w:before="567"/>
      <w:jc w:val="center"/>
    </w:pPr>
  </w:style>
  <w:style w:type="paragraph" w:customStyle="1" w:styleId="Artheading">
    <w:name w:val="Art_heading"/>
    <w:basedOn w:val="Normal"/>
    <w:next w:val="Normalaftertitle"/>
    <w:qFormat/>
    <w:rsid w:val="00F641E1"/>
    <w:pPr>
      <w:keepNext/>
      <w:keepLines/>
      <w:tabs>
        <w:tab w:val="clear" w:pos="567"/>
        <w:tab w:val="clear" w:pos="1134"/>
        <w:tab w:val="clear" w:pos="1701"/>
        <w:tab w:val="clear" w:pos="2268"/>
        <w:tab w:val="clear" w:pos="2835"/>
      </w:tabs>
      <w:spacing w:before="360"/>
      <w:jc w:val="center"/>
    </w:pPr>
    <w:rPr>
      <w:b/>
    </w:rPr>
  </w:style>
  <w:style w:type="paragraph" w:customStyle="1" w:styleId="ArtNo">
    <w:name w:val="Art_No"/>
    <w:basedOn w:val="Normal"/>
    <w:next w:val="Arttitle"/>
    <w:qFormat/>
    <w:rsid w:val="00F641E1"/>
    <w:pPr>
      <w:keepNext/>
      <w:keepLines/>
      <w:tabs>
        <w:tab w:val="clear" w:pos="567"/>
        <w:tab w:val="clear" w:pos="1134"/>
        <w:tab w:val="clear" w:pos="1701"/>
        <w:tab w:val="clear" w:pos="2268"/>
        <w:tab w:val="clear" w:pos="2835"/>
      </w:tabs>
      <w:spacing w:before="480"/>
      <w:jc w:val="center"/>
    </w:pPr>
    <w:rPr>
      <w:caps/>
      <w:sz w:val="28"/>
    </w:rPr>
  </w:style>
  <w:style w:type="paragraph" w:customStyle="1" w:styleId="Arttitle">
    <w:name w:val="Art_title"/>
    <w:basedOn w:val="Normal"/>
    <w:next w:val="Normal"/>
    <w:qFormat/>
    <w:rsid w:val="00F641E1"/>
    <w:pPr>
      <w:keepNext/>
      <w:keepLines/>
      <w:tabs>
        <w:tab w:val="clear" w:pos="567"/>
        <w:tab w:val="clear" w:pos="1134"/>
        <w:tab w:val="clear" w:pos="1701"/>
        <w:tab w:val="clear" w:pos="2268"/>
        <w:tab w:val="clear" w:pos="2835"/>
      </w:tabs>
      <w:spacing w:after="240"/>
      <w:jc w:val="center"/>
    </w:pPr>
    <w:rPr>
      <w:b/>
      <w:sz w:val="28"/>
    </w:rPr>
  </w:style>
  <w:style w:type="paragraph" w:customStyle="1" w:styleId="ChapNo">
    <w:name w:val="Chap_No"/>
    <w:basedOn w:val="ArtNo"/>
    <w:next w:val="Chaptitle"/>
    <w:qFormat/>
    <w:rsid w:val="00813E5E"/>
  </w:style>
  <w:style w:type="paragraph" w:customStyle="1" w:styleId="Chaptitle">
    <w:name w:val="Chap_title"/>
    <w:basedOn w:val="Arttitle"/>
    <w:next w:val="Normal"/>
    <w:qFormat/>
    <w:rsid w:val="001A3154"/>
  </w:style>
  <w:style w:type="character" w:styleId="UnresolvedMention">
    <w:name w:val="Unresolved Mention"/>
    <w:basedOn w:val="DefaultParagraphFont"/>
    <w:uiPriority w:val="99"/>
    <w:semiHidden/>
    <w:unhideWhenUsed/>
    <w:rsid w:val="00BF1FDE"/>
    <w:rPr>
      <w:color w:val="605E5C"/>
      <w:shd w:val="clear" w:color="auto" w:fill="E1DFDD"/>
    </w:rPr>
  </w:style>
  <w:style w:type="character" w:styleId="PlaceholderText">
    <w:name w:val="Placeholder Text"/>
    <w:basedOn w:val="DefaultParagraphFont"/>
    <w:uiPriority w:val="99"/>
    <w:semiHidden/>
    <w:rsid w:val="00CA7995"/>
    <w:rPr>
      <w:color w:val="666666"/>
    </w:rPr>
  </w:style>
  <w:style w:type="paragraph" w:customStyle="1" w:styleId="Reasons">
    <w:name w:val="Reasons"/>
    <w:basedOn w:val="Normal"/>
    <w:qFormat/>
    <w:rsid w:val="007A3FCD"/>
    <w:pPr>
      <w:tabs>
        <w:tab w:val="clear" w:pos="567"/>
        <w:tab w:val="clear" w:pos="1134"/>
        <w:tab w:val="clear" w:pos="1701"/>
        <w:tab w:val="clear" w:pos="2268"/>
        <w:tab w:val="clear" w:pos="2835"/>
      </w:tabs>
      <w:overflowPunct/>
      <w:autoSpaceDE/>
      <w:autoSpaceDN/>
      <w:adjustRightInd/>
      <w:spacing w:before="0"/>
      <w:textAlignment w:val="auto"/>
    </w:pPr>
    <w:rPr>
      <w:rFonts w:ascii="Times New Roman" w:hAnsi="Times New Roman"/>
      <w:lang w:val="en-US"/>
    </w:rPr>
  </w:style>
  <w:style w:type="paragraph" w:styleId="ListParagraph">
    <w:name w:val="List Paragraph"/>
    <w:basedOn w:val="Normal"/>
    <w:uiPriority w:val="34"/>
    <w:qFormat/>
    <w:rsid w:val="0055063A"/>
    <w:pPr>
      <w:ind w:left="720"/>
      <w:contextualSpacing/>
    </w:pPr>
  </w:style>
  <w:style w:type="paragraph" w:styleId="Revision">
    <w:name w:val="Revision"/>
    <w:hidden/>
    <w:uiPriority w:val="99"/>
    <w:semiHidden/>
    <w:rsid w:val="009C09A0"/>
    <w:rPr>
      <w:rFonts w:ascii="Calibri" w:hAnsi="Calibri"/>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itu.int/en/council/Documents/basic-texts/Constitution-E.pdf"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md/S25-CL-C-0081/e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itu.int/en/council/Documents/basic-texts-2023/RES-136-E.pdf" TargetMode="External"/><Relationship Id="rId4" Type="http://schemas.openxmlformats.org/officeDocument/2006/relationships/settings" Target="settings.xml"/><Relationship Id="rId9" Type="http://schemas.openxmlformats.org/officeDocument/2006/relationships/hyperlink" Target="https://www.itu.int/en/council/Documents/basic-texts-2023/RES-130-E.pdf"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https://council.itu.int/2026/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2B4DE-FC73-46C6-BFF6-6457901D3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1869</Words>
  <Characters>11602</Characters>
  <Application>Microsoft Office Word</Application>
  <DocSecurity>0</DocSecurity>
  <Lines>200</Lines>
  <Paragraphs>80</Paragraphs>
  <ScaleCrop>false</ScaleCrop>
  <HeadingPairs>
    <vt:vector size="2" baseType="variant">
      <vt:variant>
        <vt:lpstr>Title</vt:lpstr>
      </vt:variant>
      <vt:variant>
        <vt:i4>1</vt:i4>
      </vt:variant>
    </vt:vector>
  </HeadingPairs>
  <TitlesOfParts>
    <vt:vector size="1" baseType="lpstr">
      <vt:lpstr>Multicountry contribution - Impact on civilian telecommunications/ICT infrastructure in Bahrain, Kuwait, Qatar, the United Arab Emirates and Jordan, and its implications for regional and global connectivity</vt:lpstr>
    </vt:vector>
  </TitlesOfParts>
  <Manager>General Secretariat</Manager>
  <Company>International Telecommunication Union (ITU)</Company>
  <LinksUpToDate>false</LinksUpToDate>
  <CharactersWithSpaces>13391</CharactersWithSpaces>
  <SharedDoc>false</SharedDoc>
  <HLinks>
    <vt:vector size="6" baseType="variant">
      <vt:variant>
        <vt:i4>3342371</vt:i4>
      </vt:variant>
      <vt:variant>
        <vt:i4>12</vt:i4>
      </vt:variant>
      <vt:variant>
        <vt:i4>0</vt:i4>
      </vt:variant>
      <vt:variant>
        <vt:i4>5</vt:i4>
      </vt:variant>
      <vt:variant>
        <vt:lpwstr>http://www.itu.int/council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Multicountry contribution - Impact on civilian telecommunications/ICT infrastructure in Bahrain, Kuwait, Qatar, the United Arab Emirates and Jordan, and its implications for regional and global connectivity</dc:title>
  <dc:subject>ITU Council 2026</dc:subject>
  <dc:creator>GBS</dc:creator>
  <cp:keywords>C26; C2026; Council 2026; PP26</cp:keywords>
  <dc:description/>
  <cp:lastModifiedBy>GBS</cp:lastModifiedBy>
  <cp:revision>3</cp:revision>
  <cp:lastPrinted>2000-07-18T13:30:00Z</cp:lastPrinted>
  <dcterms:created xsi:type="dcterms:W3CDTF">2026-04-30T17:28:00Z</dcterms:created>
  <dcterms:modified xsi:type="dcterms:W3CDTF">2026-04-30T17:29:00Z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num">
    <vt:lpwstr>PE_C08.DOT</vt:lpwstr>
  </property>
  <property fmtid="{D5CDD505-2E9C-101B-9397-08002B2CF9AE}" pid="3" name="Docdate">
    <vt:lpwstr/>
  </property>
  <property fmtid="{D5CDD505-2E9C-101B-9397-08002B2CF9AE}" pid="4" name="Docorlang">
    <vt:lpwstr/>
  </property>
  <property fmtid="{D5CDD505-2E9C-101B-9397-08002B2CF9AE}" pid="5" name="Docbluepink">
    <vt:lpwstr/>
  </property>
  <property fmtid="{D5CDD505-2E9C-101B-9397-08002B2CF9AE}" pid="6" name="Docdest">
    <vt:lpwstr/>
  </property>
  <property fmtid="{D5CDD505-2E9C-101B-9397-08002B2CF9AE}" pid="7" name="Docauthor">
    <vt:lpwstr/>
  </property>
  <property fmtid="{D5CDD505-2E9C-101B-9397-08002B2CF9AE}" pid="8" name="GrammarlyDocumentId">
    <vt:lpwstr>caebc3b039d2086fae139bdca98a6c61c028c4ec16ce6ef236d196610d84ef77</vt:lpwstr>
  </property>
</Properties>
</file>