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D72F49" w:rsidRPr="00E274C2" w14:paraId="2E6D22F2" w14:textId="77777777" w:rsidTr="00796BDB">
        <w:trPr>
          <w:cantSplit/>
          <w:trHeight w:val="23"/>
        </w:trPr>
        <w:tc>
          <w:tcPr>
            <w:tcW w:w="3969" w:type="dxa"/>
            <w:vMerge w:val="restart"/>
            <w:tcMar>
              <w:left w:w="0" w:type="dxa"/>
            </w:tcMar>
          </w:tcPr>
          <w:p w14:paraId="7EA04E69" w14:textId="221CFAA7" w:rsidR="00D72F49" w:rsidRPr="00E274C2" w:rsidRDefault="00D72F49" w:rsidP="00796BDB">
            <w:pPr>
              <w:tabs>
                <w:tab w:val="left" w:pos="851"/>
              </w:tabs>
              <w:spacing w:before="0" w:line="240" w:lineRule="atLeast"/>
              <w:rPr>
                <w:b/>
              </w:rPr>
            </w:pPr>
            <w:r w:rsidRPr="00E274C2">
              <w:rPr>
                <w:b/>
              </w:rPr>
              <w:t>Point de l'ordre du jour:</w:t>
            </w:r>
            <w:r w:rsidR="00B40F47" w:rsidRPr="00E274C2">
              <w:rPr>
                <w:b/>
              </w:rPr>
              <w:t xml:space="preserve"> </w:t>
            </w:r>
            <w:r w:rsidR="009C1E7B">
              <w:rPr>
                <w:b/>
              </w:rPr>
              <w:t>PL 1</w:t>
            </w:r>
          </w:p>
        </w:tc>
        <w:tc>
          <w:tcPr>
            <w:tcW w:w="5245" w:type="dxa"/>
          </w:tcPr>
          <w:p w14:paraId="66ED0887" w14:textId="60AD95E5" w:rsidR="00D72F49" w:rsidRPr="00E274C2" w:rsidRDefault="009C1E7B" w:rsidP="009D5FAF">
            <w:pPr>
              <w:tabs>
                <w:tab w:val="left" w:pos="851"/>
              </w:tabs>
              <w:spacing w:before="0" w:line="240" w:lineRule="atLeast"/>
              <w:jc w:val="right"/>
              <w:rPr>
                <w:b/>
              </w:rPr>
            </w:pPr>
            <w:r>
              <w:rPr>
                <w:b/>
              </w:rPr>
              <w:t>Révision 1 du</w:t>
            </w:r>
            <w:r w:rsidR="009D5FAF">
              <w:rPr>
                <w:b/>
              </w:rPr>
              <w:br/>
            </w:r>
            <w:r w:rsidR="00D72F49" w:rsidRPr="00E274C2">
              <w:rPr>
                <w:b/>
              </w:rPr>
              <w:t>Document C2</w:t>
            </w:r>
            <w:r w:rsidR="00E4448E" w:rsidRPr="00E274C2">
              <w:rPr>
                <w:b/>
              </w:rPr>
              <w:t>6</w:t>
            </w:r>
            <w:r w:rsidR="00D72F49" w:rsidRPr="00E274C2">
              <w:rPr>
                <w:b/>
              </w:rPr>
              <w:t>/</w:t>
            </w:r>
            <w:r w:rsidR="009E7CD1" w:rsidRPr="00E274C2">
              <w:rPr>
                <w:b/>
              </w:rPr>
              <w:t>95</w:t>
            </w:r>
            <w:r w:rsidR="00D72F49" w:rsidRPr="00E274C2">
              <w:rPr>
                <w:b/>
              </w:rPr>
              <w:t>-F</w:t>
            </w:r>
          </w:p>
        </w:tc>
      </w:tr>
      <w:tr w:rsidR="00D72F49" w:rsidRPr="00E274C2" w14:paraId="7593E304" w14:textId="77777777" w:rsidTr="00796BDB">
        <w:trPr>
          <w:cantSplit/>
        </w:trPr>
        <w:tc>
          <w:tcPr>
            <w:tcW w:w="3969" w:type="dxa"/>
            <w:vMerge/>
          </w:tcPr>
          <w:p w14:paraId="2BE27A14" w14:textId="77777777" w:rsidR="00D72F49" w:rsidRPr="00E274C2" w:rsidRDefault="00D72F49" w:rsidP="00796BDB">
            <w:pPr>
              <w:tabs>
                <w:tab w:val="left" w:pos="851"/>
              </w:tabs>
              <w:spacing w:line="240" w:lineRule="atLeast"/>
              <w:rPr>
                <w:b/>
              </w:rPr>
            </w:pPr>
          </w:p>
        </w:tc>
        <w:tc>
          <w:tcPr>
            <w:tcW w:w="5245" w:type="dxa"/>
          </w:tcPr>
          <w:p w14:paraId="2A7214C7" w14:textId="460E2998" w:rsidR="00D72F49" w:rsidRPr="00E274C2" w:rsidRDefault="009C1E7B" w:rsidP="00796BDB">
            <w:pPr>
              <w:tabs>
                <w:tab w:val="left" w:pos="851"/>
              </w:tabs>
              <w:spacing w:before="0"/>
              <w:jc w:val="right"/>
              <w:rPr>
                <w:b/>
              </w:rPr>
            </w:pPr>
            <w:r>
              <w:rPr>
                <w:b/>
              </w:rPr>
              <w:t>28</w:t>
            </w:r>
            <w:r w:rsidRPr="00E274C2">
              <w:rPr>
                <w:b/>
              </w:rPr>
              <w:t xml:space="preserve"> </w:t>
            </w:r>
            <w:r w:rsidR="009E7CD1" w:rsidRPr="00E274C2">
              <w:rPr>
                <w:b/>
              </w:rPr>
              <w:t>avril</w:t>
            </w:r>
            <w:r w:rsidR="00B40F47" w:rsidRPr="00E274C2">
              <w:rPr>
                <w:b/>
              </w:rPr>
              <w:t xml:space="preserve"> 2026</w:t>
            </w:r>
          </w:p>
        </w:tc>
      </w:tr>
      <w:tr w:rsidR="00D72F49" w:rsidRPr="00E274C2" w14:paraId="788988A6" w14:textId="77777777" w:rsidTr="00796BDB">
        <w:trPr>
          <w:cantSplit/>
          <w:trHeight w:val="23"/>
        </w:trPr>
        <w:tc>
          <w:tcPr>
            <w:tcW w:w="3969" w:type="dxa"/>
            <w:vMerge/>
          </w:tcPr>
          <w:p w14:paraId="457910A8" w14:textId="77777777" w:rsidR="00D72F49" w:rsidRPr="00E274C2" w:rsidRDefault="00D72F49" w:rsidP="00796BDB">
            <w:pPr>
              <w:tabs>
                <w:tab w:val="left" w:pos="851"/>
              </w:tabs>
              <w:spacing w:line="240" w:lineRule="atLeast"/>
              <w:rPr>
                <w:b/>
              </w:rPr>
            </w:pPr>
          </w:p>
        </w:tc>
        <w:tc>
          <w:tcPr>
            <w:tcW w:w="5245" w:type="dxa"/>
          </w:tcPr>
          <w:p w14:paraId="5080CEC7" w14:textId="77777777" w:rsidR="00D72F49" w:rsidRPr="00E274C2" w:rsidRDefault="00D72F49" w:rsidP="00796BDB">
            <w:pPr>
              <w:tabs>
                <w:tab w:val="left" w:pos="851"/>
              </w:tabs>
              <w:spacing w:before="0" w:line="240" w:lineRule="atLeast"/>
              <w:jc w:val="right"/>
              <w:rPr>
                <w:b/>
              </w:rPr>
            </w:pPr>
            <w:r w:rsidRPr="00E274C2">
              <w:rPr>
                <w:b/>
              </w:rPr>
              <w:t>Original: anglais</w:t>
            </w:r>
          </w:p>
        </w:tc>
      </w:tr>
      <w:tr w:rsidR="00D72F49" w:rsidRPr="00E274C2" w14:paraId="177F77C7" w14:textId="77777777" w:rsidTr="00796BDB">
        <w:trPr>
          <w:cantSplit/>
          <w:trHeight w:val="23"/>
        </w:trPr>
        <w:tc>
          <w:tcPr>
            <w:tcW w:w="3969" w:type="dxa"/>
          </w:tcPr>
          <w:p w14:paraId="4F4C38C5" w14:textId="77777777" w:rsidR="00D72F49" w:rsidRPr="00E274C2" w:rsidRDefault="00D72F49" w:rsidP="00796BDB">
            <w:pPr>
              <w:tabs>
                <w:tab w:val="left" w:pos="851"/>
              </w:tabs>
              <w:spacing w:line="240" w:lineRule="atLeast"/>
              <w:rPr>
                <w:b/>
              </w:rPr>
            </w:pPr>
          </w:p>
        </w:tc>
        <w:tc>
          <w:tcPr>
            <w:tcW w:w="5245" w:type="dxa"/>
          </w:tcPr>
          <w:p w14:paraId="3A2AD022" w14:textId="77777777" w:rsidR="00D72F49" w:rsidRPr="00E274C2" w:rsidRDefault="00D72F49" w:rsidP="00796BDB">
            <w:pPr>
              <w:tabs>
                <w:tab w:val="left" w:pos="851"/>
              </w:tabs>
              <w:spacing w:before="0" w:line="240" w:lineRule="atLeast"/>
              <w:jc w:val="right"/>
              <w:rPr>
                <w:b/>
              </w:rPr>
            </w:pPr>
          </w:p>
        </w:tc>
      </w:tr>
      <w:tr w:rsidR="00D72F49" w:rsidRPr="00E274C2" w14:paraId="2363738C" w14:textId="77777777" w:rsidTr="00796BDB">
        <w:trPr>
          <w:cantSplit/>
        </w:trPr>
        <w:tc>
          <w:tcPr>
            <w:tcW w:w="9214" w:type="dxa"/>
            <w:gridSpan w:val="2"/>
            <w:tcMar>
              <w:left w:w="0" w:type="dxa"/>
            </w:tcMar>
          </w:tcPr>
          <w:p w14:paraId="1022D574" w14:textId="0680DD2F" w:rsidR="00D72F49" w:rsidRPr="00E274C2" w:rsidRDefault="009E7CD1" w:rsidP="00A27DFB">
            <w:pPr>
              <w:pStyle w:val="Source"/>
              <w:jc w:val="left"/>
              <w:rPr>
                <w:sz w:val="34"/>
                <w:szCs w:val="34"/>
              </w:rPr>
            </w:pPr>
            <w:r w:rsidRPr="00E274C2">
              <w:rPr>
                <w:sz w:val="34"/>
                <w:szCs w:val="34"/>
              </w:rPr>
              <w:t>Contribution de l</w:t>
            </w:r>
            <w:r w:rsidR="00A27DFB" w:rsidRPr="00E274C2">
              <w:rPr>
                <w:sz w:val="34"/>
                <w:szCs w:val="34"/>
              </w:rPr>
              <w:t>'</w:t>
            </w:r>
            <w:r w:rsidRPr="00E274C2">
              <w:rPr>
                <w:sz w:val="34"/>
                <w:szCs w:val="34"/>
              </w:rPr>
              <w:t>Arabie saoudite (Royaume d'), de Bahreïn (Royaume de), des Émirats arabes unis, de la Jordanie (Royaume</w:t>
            </w:r>
            <w:r w:rsidR="00E0342F" w:rsidRPr="00E274C2">
              <w:rPr>
                <w:sz w:val="34"/>
                <w:szCs w:val="34"/>
              </w:rPr>
              <w:t> </w:t>
            </w:r>
            <w:r w:rsidRPr="00E274C2">
              <w:rPr>
                <w:sz w:val="34"/>
                <w:szCs w:val="34"/>
              </w:rPr>
              <w:t>hachémite de), du Koweït (État du), d</w:t>
            </w:r>
            <w:r w:rsidR="00A27DFB" w:rsidRPr="00E274C2">
              <w:rPr>
                <w:sz w:val="34"/>
                <w:szCs w:val="34"/>
              </w:rPr>
              <w:t>'</w:t>
            </w:r>
            <w:r w:rsidRPr="00E274C2">
              <w:rPr>
                <w:sz w:val="34"/>
                <w:szCs w:val="34"/>
              </w:rPr>
              <w:t>Oman</w:t>
            </w:r>
            <w:r w:rsidR="000E6647" w:rsidRPr="00E274C2">
              <w:rPr>
                <w:sz w:val="34"/>
                <w:szCs w:val="34"/>
              </w:rPr>
              <w:t> </w:t>
            </w:r>
            <w:r w:rsidRPr="00E274C2">
              <w:rPr>
                <w:sz w:val="34"/>
                <w:szCs w:val="34"/>
              </w:rPr>
              <w:t>(Sultanat</w:t>
            </w:r>
            <w:r w:rsidR="00E0342F" w:rsidRPr="00E274C2">
              <w:rPr>
                <w:sz w:val="34"/>
                <w:szCs w:val="34"/>
              </w:rPr>
              <w:t> </w:t>
            </w:r>
            <w:r w:rsidRPr="00E274C2">
              <w:rPr>
                <w:sz w:val="34"/>
                <w:szCs w:val="34"/>
              </w:rPr>
              <w:t>d') et du Qatar (État du)</w:t>
            </w:r>
          </w:p>
        </w:tc>
      </w:tr>
      <w:tr w:rsidR="00D72F49" w:rsidRPr="00E274C2" w14:paraId="7A1A5F68" w14:textId="77777777" w:rsidTr="000E6647">
        <w:trPr>
          <w:cantSplit/>
        </w:trPr>
        <w:tc>
          <w:tcPr>
            <w:tcW w:w="9214" w:type="dxa"/>
            <w:gridSpan w:val="2"/>
            <w:tcBorders>
              <w:bottom w:val="single" w:sz="4" w:space="0" w:color="auto"/>
            </w:tcBorders>
            <w:tcMar>
              <w:left w:w="0" w:type="dxa"/>
            </w:tcMar>
          </w:tcPr>
          <w:p w14:paraId="39548260" w14:textId="074AD3F9" w:rsidR="00D72F49" w:rsidRPr="00E274C2" w:rsidRDefault="009E7CD1" w:rsidP="00A27DFB">
            <w:pPr>
              <w:pStyle w:val="Subtitle"/>
              <w:framePr w:hSpace="0" w:wrap="auto" w:hAnchor="text" w:xAlign="left" w:yAlign="inline"/>
              <w:rPr>
                <w:sz w:val="32"/>
                <w:szCs w:val="32"/>
                <w:lang w:val="fr-FR"/>
              </w:rPr>
            </w:pPr>
            <w:r w:rsidRPr="00E274C2">
              <w:rPr>
                <w:sz w:val="32"/>
                <w:szCs w:val="32"/>
                <w:lang w:val="fr-FR"/>
              </w:rPr>
              <w:t>DOMMAGES SUBIS PAR L</w:t>
            </w:r>
            <w:r w:rsidR="00A27DFB" w:rsidRPr="00E274C2">
              <w:rPr>
                <w:sz w:val="32"/>
                <w:szCs w:val="32"/>
                <w:lang w:val="fr-FR"/>
              </w:rPr>
              <w:t>'</w:t>
            </w:r>
            <w:r w:rsidRPr="00E274C2">
              <w:rPr>
                <w:sz w:val="32"/>
                <w:szCs w:val="32"/>
                <w:lang w:val="fr-FR"/>
              </w:rPr>
              <w:t>INFRASTRUCTURE CIVILE DES TÉLÉCOMMUNICATIONS/TIC À BAHREÏN, AU KOWEÏT, AUX</w:t>
            </w:r>
            <w:r w:rsidR="00A64C9D">
              <w:rPr>
                <w:sz w:val="32"/>
                <w:szCs w:val="32"/>
                <w:lang w:val="fr-FR"/>
              </w:rPr>
              <w:t> </w:t>
            </w:r>
            <w:r w:rsidRPr="00E274C2">
              <w:rPr>
                <w:sz w:val="32"/>
                <w:szCs w:val="32"/>
                <w:lang w:val="fr-FR"/>
              </w:rPr>
              <w:t>ÉMIRATS</w:t>
            </w:r>
            <w:r w:rsidR="00A64C9D">
              <w:rPr>
                <w:sz w:val="32"/>
                <w:szCs w:val="32"/>
                <w:lang w:val="fr-FR"/>
              </w:rPr>
              <w:t> </w:t>
            </w:r>
            <w:r w:rsidRPr="00E274C2">
              <w:rPr>
                <w:sz w:val="32"/>
                <w:szCs w:val="32"/>
                <w:lang w:val="fr-FR"/>
              </w:rPr>
              <w:t xml:space="preserve">ARABES UNIS ET EN JORDANIE, ET INCIDENCES </w:t>
            </w:r>
            <w:r w:rsidR="00A64C9D">
              <w:rPr>
                <w:sz w:val="32"/>
                <w:szCs w:val="32"/>
                <w:lang w:val="fr-FR"/>
              </w:rPr>
              <w:br/>
            </w:r>
            <w:r w:rsidRPr="00E274C2">
              <w:rPr>
                <w:sz w:val="32"/>
                <w:szCs w:val="32"/>
                <w:lang w:val="fr-FR"/>
              </w:rPr>
              <w:t>SUR LA</w:t>
            </w:r>
            <w:r w:rsidR="000E6647" w:rsidRPr="00E274C2">
              <w:rPr>
                <w:sz w:val="32"/>
                <w:szCs w:val="32"/>
                <w:lang w:val="fr-FR"/>
              </w:rPr>
              <w:t xml:space="preserve"> </w:t>
            </w:r>
            <w:r w:rsidRPr="00E274C2">
              <w:rPr>
                <w:sz w:val="32"/>
                <w:szCs w:val="32"/>
                <w:lang w:val="fr-FR"/>
              </w:rPr>
              <w:t>CONNECTIVITÉ RÉGIONALE ET MONDIALE</w:t>
            </w:r>
          </w:p>
        </w:tc>
      </w:tr>
      <w:tr w:rsidR="00D72F49" w:rsidRPr="00E274C2" w14:paraId="7D60A461" w14:textId="77777777" w:rsidTr="000E6647">
        <w:trPr>
          <w:cantSplit/>
        </w:trPr>
        <w:tc>
          <w:tcPr>
            <w:tcW w:w="9214" w:type="dxa"/>
            <w:gridSpan w:val="2"/>
            <w:tcBorders>
              <w:top w:val="single" w:sz="4" w:space="0" w:color="auto"/>
            </w:tcBorders>
            <w:tcMar>
              <w:left w:w="0" w:type="dxa"/>
            </w:tcMar>
          </w:tcPr>
          <w:p w14:paraId="60CB245F" w14:textId="77777777" w:rsidR="00D72F49" w:rsidRPr="00E274C2" w:rsidRDefault="00F37FE5" w:rsidP="0008592F">
            <w:pPr>
              <w:rPr>
                <w:b/>
                <w:bCs/>
                <w:sz w:val="26"/>
                <w:szCs w:val="26"/>
              </w:rPr>
            </w:pPr>
            <w:r w:rsidRPr="00E274C2">
              <w:rPr>
                <w:b/>
                <w:bCs/>
                <w:sz w:val="26"/>
                <w:szCs w:val="26"/>
              </w:rPr>
              <w:t>Objet</w:t>
            </w:r>
          </w:p>
          <w:p w14:paraId="511DA2DD" w14:textId="2AF69030" w:rsidR="00B40F47" w:rsidRPr="00E274C2" w:rsidRDefault="009E7CD1" w:rsidP="00B40F47">
            <w:r w:rsidRPr="00E274C2">
              <w:t>La présente contribution, présentée au nom des six États Membres du Conseil de coopération pour les États arabes du Golfe (GCC) (Bahreïn, Koweït, Oman, Qatar, Arabie</w:t>
            </w:r>
            <w:r w:rsidR="00535D22" w:rsidRPr="00E274C2">
              <w:t> </w:t>
            </w:r>
            <w:r w:rsidRPr="00E274C2">
              <w:t>saoudite, Émirats</w:t>
            </w:r>
            <w:r w:rsidR="00535D22" w:rsidRPr="00E274C2">
              <w:t> </w:t>
            </w:r>
            <w:r w:rsidRPr="00E274C2">
              <w:t>arabes unis) et de la Jordanie, a pour objet d</w:t>
            </w:r>
            <w:r w:rsidR="00A27DFB" w:rsidRPr="00E274C2">
              <w:t>'</w:t>
            </w:r>
            <w:r w:rsidRPr="00E274C2">
              <w:t>attirer l</w:t>
            </w:r>
            <w:r w:rsidR="00A27DFB" w:rsidRPr="00E274C2">
              <w:t>'</w:t>
            </w:r>
            <w:r w:rsidRPr="00E274C2">
              <w:t>attention du Conseil sur le fait que l</w:t>
            </w:r>
            <w:r w:rsidR="00A27DFB" w:rsidRPr="00E274C2">
              <w:t>'</w:t>
            </w:r>
            <w:r w:rsidRPr="00E274C2">
              <w:t>Iran prend pour cible, de manière illégale et délibérée, l</w:t>
            </w:r>
            <w:r w:rsidR="00A27DFB" w:rsidRPr="00E274C2">
              <w:t>'</w:t>
            </w:r>
            <w:r w:rsidRPr="00E274C2">
              <w:t>infrastructure TIC civile de Bahreïn, du Koweït, des Émirats arabes unis et de la Jordanie depuis février 2026. Les États membres du GCC et la Jordanie approuvent collectivement les propositions des Émirats arabes unis, y compris le projet de nouvelle Résolution du Conseil relative aux dommages subis par l</w:t>
            </w:r>
            <w:r w:rsidR="00A27DFB" w:rsidRPr="00E274C2">
              <w:t>'</w:t>
            </w:r>
            <w:r w:rsidRPr="00E274C2">
              <w:t>infrastructure civile des télécommunications/TIC à Bahreïn, au Koweït, au aux Émirats arabes unis et en Jordanie, et à leurs incidences sur la connectivité régionale et mondiale</w:t>
            </w:r>
            <w:r w:rsidR="00B40F47" w:rsidRPr="00E274C2">
              <w:t>.</w:t>
            </w:r>
          </w:p>
          <w:p w14:paraId="5092F5FC" w14:textId="147F15F3" w:rsidR="00D72F49" w:rsidRPr="00E274C2" w:rsidRDefault="00D72F49" w:rsidP="0008592F">
            <w:pPr>
              <w:rPr>
                <w:b/>
                <w:bCs/>
                <w:sz w:val="26"/>
                <w:szCs w:val="26"/>
              </w:rPr>
            </w:pPr>
            <w:r w:rsidRPr="00E274C2">
              <w:rPr>
                <w:b/>
                <w:bCs/>
                <w:sz w:val="26"/>
                <w:szCs w:val="26"/>
              </w:rPr>
              <w:t>Suite à donner par le Conseil</w:t>
            </w:r>
          </w:p>
          <w:p w14:paraId="30F3A162" w14:textId="377EB092" w:rsidR="00D72F49" w:rsidRPr="00E274C2" w:rsidRDefault="009E7CD1" w:rsidP="00796BDB">
            <w:r w:rsidRPr="00E274C2">
              <w:t xml:space="preserve">Le Conseil est invité à </w:t>
            </w:r>
            <w:r w:rsidRPr="00E274C2">
              <w:rPr>
                <w:b/>
                <w:bCs/>
              </w:rPr>
              <w:t>examiner</w:t>
            </w:r>
            <w:r w:rsidRPr="00E274C2">
              <w:t xml:space="preserve"> la présente contribution et à </w:t>
            </w:r>
            <w:r w:rsidRPr="00E274C2">
              <w:rPr>
                <w:b/>
                <w:bCs/>
              </w:rPr>
              <w:t>appuyer</w:t>
            </w:r>
            <w:r w:rsidRPr="00E274C2">
              <w:t xml:space="preserve"> l</w:t>
            </w:r>
            <w:r w:rsidR="00A27DFB" w:rsidRPr="00E274C2">
              <w:t>'</w:t>
            </w:r>
            <w:r w:rsidRPr="00E274C2">
              <w:t>adoption du projet de nouvelle Résolution du Conseil proposé par les Émirats arabes unis au nom des États</w:t>
            </w:r>
            <w:r w:rsidR="000E6647" w:rsidRPr="00E274C2">
              <w:t> </w:t>
            </w:r>
            <w:r w:rsidRPr="00E274C2">
              <w:t>Membres du GCC et de la Jordanie</w:t>
            </w:r>
            <w:r w:rsidR="00B40F47" w:rsidRPr="00E274C2">
              <w:t>.</w:t>
            </w:r>
          </w:p>
          <w:p w14:paraId="52C57D31" w14:textId="5E5A6B72" w:rsidR="00D72F49" w:rsidRPr="00E274C2" w:rsidRDefault="00D72F49" w:rsidP="000E6647">
            <w:pPr>
              <w:keepNext/>
              <w:keepLines/>
              <w:spacing w:before="160" w:after="360"/>
              <w:rPr>
                <w:sz w:val="22"/>
              </w:rPr>
            </w:pPr>
            <w:r w:rsidRPr="00E274C2">
              <w:rPr>
                <w:sz w:val="22"/>
              </w:rPr>
              <w:t>__________________</w:t>
            </w:r>
          </w:p>
        </w:tc>
      </w:tr>
    </w:tbl>
    <w:p w14:paraId="0C92624F" w14:textId="77777777" w:rsidR="000E6647" w:rsidRPr="00E274C2" w:rsidRDefault="000E6647">
      <w:pPr>
        <w:tabs>
          <w:tab w:val="clear" w:pos="567"/>
          <w:tab w:val="clear" w:pos="1134"/>
          <w:tab w:val="clear" w:pos="1701"/>
          <w:tab w:val="clear" w:pos="2268"/>
          <w:tab w:val="clear" w:pos="2835"/>
        </w:tabs>
        <w:overflowPunct/>
        <w:autoSpaceDE/>
        <w:autoSpaceDN/>
        <w:adjustRightInd/>
        <w:spacing w:before="0"/>
        <w:textAlignment w:val="auto"/>
      </w:pPr>
      <w:r w:rsidRPr="00E274C2">
        <w:br w:type="page"/>
      </w:r>
    </w:p>
    <w:tbl>
      <w:tblPr>
        <w:tblpPr w:leftFromText="181" w:rightFromText="181" w:vertAnchor="page" w:horzAnchor="margin" w:tblpY="1591"/>
        <w:tblW w:w="9214" w:type="dxa"/>
        <w:tblLayout w:type="fixed"/>
        <w:tblLook w:val="0000" w:firstRow="0" w:lastRow="0" w:firstColumn="0" w:lastColumn="0" w:noHBand="0" w:noVBand="0"/>
      </w:tblPr>
      <w:tblGrid>
        <w:gridCol w:w="9214"/>
      </w:tblGrid>
      <w:tr w:rsidR="000E6647" w:rsidRPr="00E274C2" w14:paraId="6F3E68F9" w14:textId="77777777" w:rsidTr="000E6647">
        <w:trPr>
          <w:cantSplit/>
        </w:trPr>
        <w:tc>
          <w:tcPr>
            <w:tcW w:w="9214" w:type="dxa"/>
            <w:tcBorders>
              <w:bottom w:val="single" w:sz="4" w:space="0" w:color="auto"/>
            </w:tcBorders>
            <w:tcMar>
              <w:left w:w="0" w:type="dxa"/>
            </w:tcMar>
          </w:tcPr>
          <w:p w14:paraId="5FEAE79C" w14:textId="77777777" w:rsidR="000E6647" w:rsidRPr="00E274C2" w:rsidRDefault="000E6647" w:rsidP="000E6647">
            <w:pPr>
              <w:keepNext/>
              <w:keepLines/>
              <w:rPr>
                <w:b/>
                <w:bCs/>
                <w:sz w:val="26"/>
                <w:szCs w:val="26"/>
              </w:rPr>
            </w:pPr>
            <w:r w:rsidRPr="00E274C2">
              <w:rPr>
                <w:b/>
                <w:bCs/>
                <w:sz w:val="26"/>
                <w:szCs w:val="26"/>
              </w:rPr>
              <w:lastRenderedPageBreak/>
              <w:t>Références</w:t>
            </w:r>
          </w:p>
          <w:p w14:paraId="51C43552" w14:textId="358BC2BB" w:rsidR="000E6647" w:rsidRPr="004E2F86" w:rsidRDefault="000E6647" w:rsidP="000E6647">
            <w:pPr>
              <w:rPr>
                <w:b/>
                <w:bCs/>
                <w:i/>
                <w:iCs/>
                <w:sz w:val="26"/>
                <w:szCs w:val="26"/>
              </w:rPr>
            </w:pPr>
            <w:hyperlink r:id="rId8" w:history="1">
              <w:r w:rsidRPr="004E2F86">
                <w:rPr>
                  <w:rStyle w:val="Hyperlink"/>
                  <w:rFonts w:eastAsia="Times New Roman" w:cs="Times New Roman"/>
                  <w:i/>
                  <w:iCs/>
                  <w:szCs w:val="24"/>
                </w:rPr>
                <w:t>Préambule et articles 1, 38 et 45</w:t>
              </w:r>
            </w:hyperlink>
            <w:r w:rsidRPr="004E2F86">
              <w:rPr>
                <w:i/>
                <w:iCs/>
                <w:szCs w:val="24"/>
              </w:rPr>
              <w:t xml:space="preserve"> de la Constitution de l'UIT; </w:t>
            </w:r>
            <w:hyperlink r:id="rId9" w:history="1">
              <w:r w:rsidRPr="004E2F86">
                <w:rPr>
                  <w:rStyle w:val="Hyperlink"/>
                  <w:rFonts w:eastAsia="Times New Roman" w:cs="Times New Roman"/>
                  <w:i/>
                  <w:iCs/>
                  <w:szCs w:val="24"/>
                </w:rPr>
                <w:t>Résolutions 130</w:t>
              </w:r>
            </w:hyperlink>
            <w:r w:rsidRPr="004E2F86">
              <w:rPr>
                <w:i/>
                <w:iCs/>
                <w:szCs w:val="24"/>
              </w:rPr>
              <w:t xml:space="preserve"> (Rév. Bucarest, 2022) et </w:t>
            </w:r>
            <w:hyperlink r:id="rId10" w:history="1">
              <w:r w:rsidRPr="004E2F86">
                <w:rPr>
                  <w:rStyle w:val="Hyperlink"/>
                  <w:rFonts w:eastAsia="Times New Roman" w:cs="Times New Roman"/>
                  <w:i/>
                  <w:iCs/>
                  <w:szCs w:val="24"/>
                </w:rPr>
                <w:t>136</w:t>
              </w:r>
            </w:hyperlink>
            <w:r w:rsidRPr="004E2F86">
              <w:rPr>
                <w:i/>
                <w:iCs/>
                <w:szCs w:val="24"/>
              </w:rPr>
              <w:t xml:space="preserve"> (Rév. Bucarest, 2022) de la Conférence de plénipotentiaires; Déclaration de la CMDT-25 sur la protection des réseaux et services publics de télécommunication pendant les conflits armés et les catastrophes; Organe consultatif international UIT/CIPC sur la résilience des câbles sous-marins (</w:t>
            </w:r>
            <w:hyperlink r:id="rId11" w:history="1">
              <w:r w:rsidRPr="004E2F86">
                <w:rPr>
                  <w:rStyle w:val="Hyperlink"/>
                  <w:rFonts w:eastAsia="Times New Roman" w:cs="Times New Roman"/>
                  <w:i/>
                  <w:iCs/>
                  <w:szCs w:val="24"/>
                </w:rPr>
                <w:t>Document C25/81</w:t>
              </w:r>
            </w:hyperlink>
            <w:r w:rsidRPr="004E2F86">
              <w:rPr>
                <w:i/>
                <w:iCs/>
                <w:szCs w:val="24"/>
              </w:rPr>
              <w:t xml:space="preserve"> du Conseil); Résolution 2817 (2026) du Conseil de sécurité des Nations Unies; Résolution 61/1 du Conseil des droits de l'homme.</w:t>
            </w:r>
          </w:p>
        </w:tc>
      </w:tr>
    </w:tbl>
    <w:p w14:paraId="2CF6D16D" w14:textId="77777777" w:rsidR="00A51849" w:rsidRPr="00E274C2" w:rsidRDefault="00A51849">
      <w:pPr>
        <w:tabs>
          <w:tab w:val="clear" w:pos="567"/>
          <w:tab w:val="clear" w:pos="1134"/>
          <w:tab w:val="clear" w:pos="1701"/>
          <w:tab w:val="clear" w:pos="2268"/>
          <w:tab w:val="clear" w:pos="2835"/>
        </w:tabs>
        <w:overflowPunct/>
        <w:autoSpaceDE/>
        <w:autoSpaceDN/>
        <w:adjustRightInd/>
        <w:spacing w:before="0"/>
        <w:textAlignment w:val="auto"/>
      </w:pPr>
      <w:r w:rsidRPr="00E274C2">
        <w:br w:type="page"/>
      </w:r>
    </w:p>
    <w:p w14:paraId="70FDF6D1" w14:textId="00FF7FE0" w:rsidR="00B40F47" w:rsidRPr="00E274C2" w:rsidRDefault="009E7CD1" w:rsidP="0012338D">
      <w:pPr>
        <w:pStyle w:val="Heading1"/>
      </w:pPr>
      <w:r w:rsidRPr="00E274C2">
        <w:lastRenderedPageBreak/>
        <w:t>1</w:t>
      </w:r>
      <w:r w:rsidRPr="00E274C2">
        <w:tab/>
        <w:t>Introduction</w:t>
      </w:r>
    </w:p>
    <w:p w14:paraId="79386D69" w14:textId="70293CFE" w:rsidR="009E7CD1" w:rsidRPr="00E274C2" w:rsidRDefault="009E7CD1" w:rsidP="0012338D">
      <w:r w:rsidRPr="00E274C2">
        <w:t>1.1</w:t>
      </w:r>
      <w:r w:rsidRPr="00E274C2">
        <w:tab/>
        <w:t>Le Conseil de coopération pour les États arabes du Golfe (GCC), composé de Bahreïn, du Koweït, d</w:t>
      </w:r>
      <w:r w:rsidR="00A27DFB" w:rsidRPr="00E274C2">
        <w:t>'</w:t>
      </w:r>
      <w:r w:rsidRPr="00E274C2">
        <w:t>Oman, du Qatar, de l</w:t>
      </w:r>
      <w:r w:rsidR="00A27DFB" w:rsidRPr="00E274C2">
        <w:t>'</w:t>
      </w:r>
      <w:r w:rsidRPr="00E274C2">
        <w:t>Arabie saoudite et des Émirats arabes unis, la Jordanie représente une région de la plus haute importance pour les télécommunications mondiales. En outre, la région du Golfe abrite des points d</w:t>
      </w:r>
      <w:r w:rsidR="00A27DFB" w:rsidRPr="00E274C2">
        <w:t>'</w:t>
      </w:r>
      <w:r w:rsidRPr="00E274C2">
        <w:t>atterrissement de câbles sous</w:t>
      </w:r>
      <w:r w:rsidR="00981AB3" w:rsidRPr="00E274C2">
        <w:noBreakHyphen/>
      </w:r>
      <w:r w:rsidRPr="00E274C2">
        <w:t>marins, des ensembles de centres de données, des stations au sol de satellites d'importance majeure et sert de couloir de transit pour le trafic international de données reliant l</w:t>
      </w:r>
      <w:r w:rsidR="00A27DFB" w:rsidRPr="00E274C2">
        <w:t>'</w:t>
      </w:r>
      <w:r w:rsidRPr="00E274C2">
        <w:t>Europe, l</w:t>
      </w:r>
      <w:r w:rsidR="00A27DFB" w:rsidRPr="00E274C2">
        <w:t>'</w:t>
      </w:r>
      <w:r w:rsidRPr="00E274C2">
        <w:t>Afrique et</w:t>
      </w:r>
      <w:r w:rsidR="00981AB3" w:rsidRPr="00E274C2">
        <w:t> </w:t>
      </w:r>
      <w:r w:rsidRPr="00E274C2">
        <w:t>l</w:t>
      </w:r>
      <w:r w:rsidR="00A27DFB" w:rsidRPr="00E274C2">
        <w:t>'</w:t>
      </w:r>
      <w:r w:rsidRPr="00E274C2">
        <w:t>Asie.</w:t>
      </w:r>
    </w:p>
    <w:p w14:paraId="4E25CB99" w14:textId="4C0EC166" w:rsidR="009E7CD1" w:rsidRPr="00E274C2" w:rsidRDefault="009E7CD1" w:rsidP="009E7CD1">
      <w:r w:rsidRPr="00E274C2">
        <w:t>1.2</w:t>
      </w:r>
      <w:r w:rsidRPr="00E274C2">
        <w:tab/>
        <w:t>Les États membres du CCG et la Jordanie notent qu'aux termes de sa Résolution</w:t>
      </w:r>
      <w:r w:rsidR="008824C1" w:rsidRPr="00E274C2">
        <w:t> </w:t>
      </w:r>
      <w:r w:rsidRPr="00E274C2">
        <w:t>2817 (2026) adoptée le 11 mars 2026, le Conseil de sécurité des Nations Unies a condamné avec la plus grande fermeté les attaques inacceptables perpétrées par la République islamique d</w:t>
      </w:r>
      <w:r w:rsidR="00A27DFB" w:rsidRPr="00E274C2">
        <w:t>'</w:t>
      </w:r>
      <w:r w:rsidRPr="00E274C2">
        <w:t>Iran contre les territoires des États Membres du GCC et de la Jordanie, a déploré le ciblage délibéré d</w:t>
      </w:r>
      <w:r w:rsidR="00A27DFB" w:rsidRPr="00E274C2">
        <w:t>'</w:t>
      </w:r>
      <w:r w:rsidRPr="00E274C2">
        <w:t>infrastructures civiles essentielles, a exigé que cessent immédiatement toutes attaques et menaces, et a condamné toute action ou menace de la République islamique d</w:t>
      </w:r>
      <w:r w:rsidR="00A27DFB" w:rsidRPr="00E274C2">
        <w:t>'</w:t>
      </w:r>
      <w:r w:rsidRPr="00E274C2">
        <w:t>Iran visant à fermer, à entraver ou perturber de quelque manière que ce soit la navigation internationale dans le détroit d</w:t>
      </w:r>
      <w:r w:rsidR="00A27DFB" w:rsidRPr="00E274C2">
        <w:t>'</w:t>
      </w:r>
      <w:r w:rsidRPr="00E274C2">
        <w:t>Ormuz.</w:t>
      </w:r>
    </w:p>
    <w:p w14:paraId="1B008F7D" w14:textId="2AD40919" w:rsidR="009E7CD1" w:rsidRPr="00E274C2" w:rsidRDefault="009E7CD1" w:rsidP="009E7CD1">
      <w:r w:rsidRPr="00E274C2">
        <w:t>1.3</w:t>
      </w:r>
      <w:r w:rsidRPr="00E274C2">
        <w:tab/>
        <w:t>Les États membres du GCC et la Jordanie notent en outre qu'aux termes de sa Résolution 61/1, adoptée par consensus le 25 mars 2026, le Conseil des droits de l</w:t>
      </w:r>
      <w:r w:rsidR="00A27DFB" w:rsidRPr="00E274C2">
        <w:t>'</w:t>
      </w:r>
      <w:r w:rsidRPr="00E274C2">
        <w:t>homme a condamné toutes les violations du droit international, notamment du droit international humanitaire et du droit international des droits de l</w:t>
      </w:r>
      <w:r w:rsidR="00A27DFB" w:rsidRPr="00E274C2">
        <w:t>'</w:t>
      </w:r>
      <w:r w:rsidRPr="00E274C2">
        <w:t>homme, auxquelles donnent lieu les attaques menées par l</w:t>
      </w:r>
      <w:r w:rsidR="00A27DFB" w:rsidRPr="00E274C2">
        <w:t>'</w:t>
      </w:r>
      <w:r w:rsidRPr="00E274C2">
        <w:t>Iran, en particulier celles qui visent des civils et des biens de caractère civil, et a exigé également que l</w:t>
      </w:r>
      <w:r w:rsidR="00A27DFB" w:rsidRPr="00E274C2">
        <w:t>'</w:t>
      </w:r>
      <w:r w:rsidRPr="00E274C2">
        <w:t>Iran accorde rapidement à toutes les victimes une réparation intégrale et effective pour tous les préjudices et dommages causés par les attaques qu</w:t>
      </w:r>
      <w:r w:rsidR="00A27DFB" w:rsidRPr="00E274C2">
        <w:t>'</w:t>
      </w:r>
      <w:r w:rsidRPr="00E274C2">
        <w:t>elle a commises.</w:t>
      </w:r>
    </w:p>
    <w:p w14:paraId="31D04C14" w14:textId="493DB487" w:rsidR="009E7CD1" w:rsidRPr="00E274C2" w:rsidRDefault="009E7CD1" w:rsidP="009E7CD1">
      <w:r w:rsidRPr="00E274C2">
        <w:t>1.4</w:t>
      </w:r>
      <w:r w:rsidRPr="00E274C2">
        <w:tab/>
        <w:t>La position des États membres du GCC et de la Jordanie exposée dans la présente contribution est pleinement conforme à la Résolution 2817 (2026) du Conseil de sécurité des Nations Unies et à la Résolution 61/1 du Conseil des droits de l</w:t>
      </w:r>
      <w:r w:rsidR="00A27DFB" w:rsidRPr="00E274C2">
        <w:t>'</w:t>
      </w:r>
      <w:r w:rsidRPr="00E274C2">
        <w:t>homme.</w:t>
      </w:r>
    </w:p>
    <w:p w14:paraId="438A6E3F" w14:textId="792FDBD8" w:rsidR="00B40F47" w:rsidRPr="00E274C2" w:rsidRDefault="009E7CD1" w:rsidP="0012338D">
      <w:pPr>
        <w:pStyle w:val="Heading1"/>
        <w:rPr>
          <w:bCs/>
        </w:rPr>
      </w:pPr>
      <w:r w:rsidRPr="00E274C2">
        <w:t>2</w:t>
      </w:r>
      <w:r w:rsidRPr="00E274C2">
        <w:tab/>
        <w:t>Rappel des faits</w:t>
      </w:r>
    </w:p>
    <w:p w14:paraId="47BCACDF" w14:textId="3928574B" w:rsidR="009E7CD1" w:rsidRPr="00E274C2" w:rsidRDefault="009E7CD1" w:rsidP="0012338D">
      <w:pPr>
        <w:pStyle w:val="Heading2"/>
      </w:pPr>
      <w:r w:rsidRPr="00E274C2">
        <w:t>2.1</w:t>
      </w:r>
      <w:r w:rsidRPr="00E274C2">
        <w:tab/>
        <w:t>Attaques contre l</w:t>
      </w:r>
      <w:r w:rsidR="00A27DFB" w:rsidRPr="00E274C2">
        <w:t>'</w:t>
      </w:r>
      <w:r w:rsidRPr="00E274C2">
        <w:t>infrastructure civile des TIC</w:t>
      </w:r>
    </w:p>
    <w:p w14:paraId="62B3B303" w14:textId="4CB42264" w:rsidR="009E7CD1" w:rsidRPr="00E274C2" w:rsidRDefault="009E7CD1" w:rsidP="0012338D">
      <w:r w:rsidRPr="00E274C2">
        <w:t>2.1.1</w:t>
      </w:r>
      <w:r w:rsidR="00981AB3" w:rsidRPr="00E274C2">
        <w:tab/>
      </w:r>
      <w:r w:rsidRPr="00E274C2">
        <w:t>Depuis le 28 février 2026, l</w:t>
      </w:r>
      <w:r w:rsidR="00A27DFB" w:rsidRPr="00E274C2">
        <w:t>'</w:t>
      </w:r>
      <w:r w:rsidRPr="00E274C2">
        <w:t>Iran a mené plusieurs frappes contre l</w:t>
      </w:r>
      <w:r w:rsidR="00A27DFB" w:rsidRPr="00E274C2">
        <w:t>'</w:t>
      </w:r>
      <w:r w:rsidRPr="00E274C2">
        <w:t>infrastructure TIC civile, notamment contre des centres de données, des stations d</w:t>
      </w:r>
      <w:r w:rsidR="00A27DFB" w:rsidRPr="00E274C2">
        <w:t>'</w:t>
      </w:r>
      <w:r w:rsidRPr="00E274C2">
        <w:t>atterrissement de câbles sous-marins, des stations terriennes de satellites et des installations de communication par satellite à Bahreïn, au Koweït, aux Émirats arabes unis et en Jordanie. Les États</w:t>
      </w:r>
      <w:r w:rsidR="00981AB3" w:rsidRPr="00E274C2">
        <w:t> M</w:t>
      </w:r>
      <w:r w:rsidRPr="00E274C2">
        <w:t>embres du</w:t>
      </w:r>
      <w:r w:rsidR="004E2F86">
        <w:t> </w:t>
      </w:r>
      <w:r w:rsidRPr="00E274C2">
        <w:t>GCC et la Jordanie notent qu'il s'agit de la toute première fois que des infrastructures civiles d</w:t>
      </w:r>
      <w:r w:rsidR="00A27DFB" w:rsidRPr="00E274C2">
        <w:t>'</w:t>
      </w:r>
      <w:r w:rsidRPr="00E274C2">
        <w:t>informatique en nuage sont prises pour cible.</w:t>
      </w:r>
    </w:p>
    <w:p w14:paraId="4A1DE663" w14:textId="3C72D49F" w:rsidR="009E7CD1" w:rsidRPr="00E274C2" w:rsidRDefault="009E7CD1" w:rsidP="0012338D">
      <w:r w:rsidRPr="00E274C2">
        <w:t>2.1.2</w:t>
      </w:r>
      <w:r w:rsidRPr="00E274C2">
        <w:tab/>
        <w:t>Les autorités iraniennes ont en outre explicitement menacé de cibler de nouvelles infrastructures TIC civiles à Bahreïn, au Koweït, aux Émirats arabes unis et en Jordanie.</w:t>
      </w:r>
    </w:p>
    <w:p w14:paraId="05B3BBBE" w14:textId="0E343DD6" w:rsidR="009E7CD1" w:rsidRPr="00E274C2" w:rsidRDefault="009E7CD1" w:rsidP="00981AB3">
      <w:pPr>
        <w:pStyle w:val="Heading2"/>
        <w:rPr>
          <w:rFonts w:asciiTheme="minorHAnsi" w:hAnsiTheme="minorHAnsi" w:cstheme="minorHAnsi"/>
        </w:rPr>
      </w:pPr>
      <w:r w:rsidRPr="00E274C2">
        <w:lastRenderedPageBreak/>
        <w:t>2.2</w:t>
      </w:r>
      <w:r w:rsidRPr="00E274C2">
        <w:tab/>
        <w:t>Incidences sur l</w:t>
      </w:r>
      <w:r w:rsidR="00A27DFB" w:rsidRPr="00E274C2">
        <w:t>'</w:t>
      </w:r>
      <w:r w:rsidRPr="00E274C2">
        <w:t>infrastructure des câbles sous-marins</w:t>
      </w:r>
    </w:p>
    <w:p w14:paraId="5B360C36" w14:textId="0AD1FF5D" w:rsidR="009E7CD1" w:rsidRPr="00E274C2" w:rsidRDefault="009E7CD1" w:rsidP="00981AB3">
      <w:pPr>
        <w:keepNext/>
        <w:keepLines/>
      </w:pPr>
      <w:r w:rsidRPr="00E274C2">
        <w:t>2.2.1</w:t>
      </w:r>
      <w:r w:rsidRPr="00E274C2">
        <w:tab/>
        <w:t>Bahreïn, le Koweït et les Émirats arabes unis sont desservis par plusieurs grands systèmes de câbles sous-marins essentiels à la connectivité internationale, notamment les systèmes FLAG/FALCON, Gulf Bridge International (GBI), 2Africa (Meta), Asia</w:t>
      </w:r>
      <w:r w:rsidR="002D6CF0" w:rsidRPr="00E274C2">
        <w:noBreakHyphen/>
      </w:r>
      <w:r w:rsidRPr="00E274C2">
        <w:t>Africa-Europe 1 (AAE-1) et PEACE C</w:t>
      </w:r>
      <w:r w:rsidR="00217D44" w:rsidRPr="00E274C2">
        <w:t>a</w:t>
      </w:r>
      <w:r w:rsidRPr="00E274C2">
        <w:t>ble. Plus de 99% des échanges de données internationaux sont effectués au moyen de câbles de télécommunication sous-marins.</w:t>
      </w:r>
    </w:p>
    <w:p w14:paraId="437F698E" w14:textId="2EE2F857" w:rsidR="009E7CD1" w:rsidRPr="00E274C2" w:rsidRDefault="009E7CD1" w:rsidP="0012338D">
      <w:r w:rsidRPr="00E274C2">
        <w:t>2.2.2</w:t>
      </w:r>
      <w:r w:rsidRPr="00E274C2">
        <w:tab/>
        <w:t>La situation en matière de sécurité a entraîné: la suspension de la pose des tronçons de câble sous-marin prévus, y compris des sections du projet 2Africa; des frappes directes sur une station d</w:t>
      </w:r>
      <w:r w:rsidR="00A27DFB" w:rsidRPr="00E274C2">
        <w:t>'</w:t>
      </w:r>
      <w:r w:rsidRPr="00E274C2">
        <w:t>atterrissement de câbles sous-marins aux Émirats</w:t>
      </w:r>
      <w:r w:rsidR="008824C1" w:rsidRPr="00E274C2">
        <w:t> </w:t>
      </w:r>
      <w:r w:rsidRPr="00E274C2">
        <w:t>arabes unis le 31 mars et le 6 avril 2026; le report des investissements dans de nouvelles stations d</w:t>
      </w:r>
      <w:r w:rsidR="00A27DFB" w:rsidRPr="00E274C2">
        <w:t>'</w:t>
      </w:r>
      <w:r w:rsidRPr="00E274C2">
        <w:t>atterrissement de câbles; d</w:t>
      </w:r>
      <w:r w:rsidR="00A27DFB" w:rsidRPr="00E274C2">
        <w:t>'</w:t>
      </w:r>
      <w:r w:rsidRPr="00E274C2">
        <w:t>importantes perturbations de la connectivité maritime dans le détroit d</w:t>
      </w:r>
      <w:r w:rsidR="00A27DFB" w:rsidRPr="00E274C2">
        <w:t>'</w:t>
      </w:r>
      <w:r w:rsidRPr="00E274C2">
        <w:t>Ormuz depuis le 3 mars 2026, avec 17 systèmes de câbles menacés; un avertissement adressé par le Conseil de défense de l'Iran selon lequel une nouvelle escalade pourrait entraîner la pose de mines marines dans tout le Golfe; l'impossibilité pour les navires de réparations des câbles de remplir leur mission; et l</w:t>
      </w:r>
      <w:r w:rsidR="00A27DFB" w:rsidRPr="00E274C2">
        <w:t>'</w:t>
      </w:r>
      <w:r w:rsidRPr="00E274C2">
        <w:t>augmentation des coûts d</w:t>
      </w:r>
      <w:r w:rsidR="00A27DFB" w:rsidRPr="00E274C2">
        <w:t>'</w:t>
      </w:r>
      <w:r w:rsidRPr="00E274C2">
        <w:t>assurance.</w:t>
      </w:r>
    </w:p>
    <w:p w14:paraId="0A0142AF" w14:textId="79D7DBC6" w:rsidR="009E7CD1" w:rsidRPr="00E274C2" w:rsidRDefault="009E7CD1" w:rsidP="0012338D">
      <w:r w:rsidRPr="00E274C2">
        <w:t>2.2.3</w:t>
      </w:r>
      <w:r w:rsidRPr="00E274C2">
        <w:tab/>
        <w:t>Les États membres du GCC et la Jordanie prennent note des travaux de l</w:t>
      </w:r>
      <w:r w:rsidR="00A27DFB" w:rsidRPr="00E274C2">
        <w:t>'</w:t>
      </w:r>
      <w:r w:rsidRPr="00E274C2">
        <w:t>Organe consultatif international UIT/CIPC sur la résilience des câbles sous-marins et du Sommet d</w:t>
      </w:r>
      <w:r w:rsidR="00A27DFB" w:rsidRPr="00E274C2">
        <w:t>'</w:t>
      </w:r>
      <w:r w:rsidRPr="00E274C2">
        <w:t>Abuja de 2025. Les attaques délibérées et les menaces visant l</w:t>
      </w:r>
      <w:r w:rsidR="00A27DFB" w:rsidRPr="00E274C2">
        <w:t>'</w:t>
      </w:r>
      <w:r w:rsidRPr="00E274C2">
        <w:t>infrastructure des câbles sous-marins remettent directement en cause les objectifs de l</w:t>
      </w:r>
      <w:r w:rsidR="00A27DFB" w:rsidRPr="00E274C2">
        <w:t>'</w:t>
      </w:r>
      <w:r w:rsidRPr="00E274C2">
        <w:t>Organe consultatif.</w:t>
      </w:r>
    </w:p>
    <w:p w14:paraId="6D67DBBC" w14:textId="77777777" w:rsidR="009E7CD1" w:rsidRPr="00E274C2" w:rsidRDefault="009E7CD1" w:rsidP="0012338D">
      <w:pPr>
        <w:pStyle w:val="Heading2"/>
      </w:pPr>
      <w:r w:rsidRPr="00E274C2">
        <w:t>2.3</w:t>
      </w:r>
      <w:r w:rsidRPr="00E274C2">
        <w:tab/>
        <w:t>Cyberopérations coordonnées</w:t>
      </w:r>
    </w:p>
    <w:p w14:paraId="4465A2EC" w14:textId="7C66B204" w:rsidR="009E7CD1" w:rsidRPr="00E274C2" w:rsidRDefault="009E7CD1" w:rsidP="0012338D">
      <w:r w:rsidRPr="00E274C2">
        <w:t>2.3.1</w:t>
      </w:r>
      <w:r w:rsidRPr="00E274C2">
        <w:tab/>
        <w:t>Parallèlement aux attaques cinétique, des groupes bénéficiant d</w:t>
      </w:r>
      <w:r w:rsidR="00A27DFB" w:rsidRPr="00E274C2">
        <w:t>'</w:t>
      </w:r>
      <w:r w:rsidRPr="00E274C2">
        <w:t>un appui étatique et des groupes militants de pirates informatiques (hacktivistes) alliés à l</w:t>
      </w:r>
      <w:r w:rsidR="00A27DFB" w:rsidRPr="00E274C2">
        <w:t>'</w:t>
      </w:r>
      <w:r w:rsidRPr="00E274C2">
        <w:t>Iran ont mené des campagnes coordonnées de cyberattaques contre l</w:t>
      </w:r>
      <w:r w:rsidR="00A27DFB" w:rsidRPr="00E274C2">
        <w:t>'</w:t>
      </w:r>
      <w:r w:rsidRPr="00E274C2">
        <w:t>infrastructure TIC et les infrastructures essentielles de Bahreïn, du Koweït, des Émirats arabes unis et de la Jordanie. Les évaluations des renseignements sur les menaces faites par Mandiant (Google Cloud) et Microsoft Threat Intelligence confirment que ces opérations ciblent massivement les fournisseurs de télécommunication, les infrastructures d'informatique en nuage et les portails gouvernementaux de la région avec pour objectif de perturber les communications et les services numériques.</w:t>
      </w:r>
    </w:p>
    <w:p w14:paraId="0A2819AB" w14:textId="71779855" w:rsidR="009E7CD1" w:rsidRPr="00E274C2" w:rsidRDefault="009E7CD1" w:rsidP="0012338D">
      <w:r w:rsidRPr="00E274C2">
        <w:t>2.3.2</w:t>
      </w:r>
      <w:r w:rsidR="00217D44" w:rsidRPr="00E274C2">
        <w:tab/>
      </w:r>
      <w:r w:rsidRPr="00E274C2">
        <w:t>Les agences de collecte de renseignements, y compris à travers l</w:t>
      </w:r>
      <w:r w:rsidR="00A27DFB" w:rsidRPr="00E274C2">
        <w:t>'</w:t>
      </w:r>
      <w:r w:rsidRPr="00E274C2">
        <w:t>évaluation des cybermenaces de 2026 effectuée par SOCRadar et l</w:t>
      </w:r>
      <w:r w:rsidR="00A27DFB" w:rsidRPr="00E274C2">
        <w:t>'</w:t>
      </w:r>
      <w:r w:rsidRPr="00E274C2">
        <w:t>analyse réalisée par Kennedys Law, indiquent, preuve</w:t>
      </w:r>
      <w:r w:rsidR="00E274C2" w:rsidRPr="00E274C2">
        <w:t>s</w:t>
      </w:r>
      <w:r w:rsidRPr="00E274C2">
        <w:t xml:space="preserve"> à l'appui, une mobilisation sans précédent des "cyberproxies". Plus</w:t>
      </w:r>
      <w:r w:rsidR="008824C1" w:rsidRPr="00E274C2">
        <w:t> </w:t>
      </w:r>
      <w:r w:rsidRPr="00E274C2">
        <w:t>de</w:t>
      </w:r>
      <w:r w:rsidR="00904E54" w:rsidRPr="00E274C2">
        <w:t> </w:t>
      </w:r>
      <w:r w:rsidRPr="00E274C2">
        <w:t>60</w:t>
      </w:r>
      <w:r w:rsidR="00E274C2" w:rsidRPr="00E274C2">
        <w:t> </w:t>
      </w:r>
      <w:r w:rsidRPr="00E274C2">
        <w:t>groupes de menaces actifs sont actuellement suivis dans le cadre du conflit, dont au moins 53 sont ouvertement pro-iraniens (par exemple, les groupes Handala, 313</w:t>
      </w:r>
      <w:r w:rsidR="008824C1" w:rsidRPr="00E274C2">
        <w:t> </w:t>
      </w:r>
      <w:r w:rsidRPr="00E274C2">
        <w:t>Team et Keymous Plus). Ces groupes ont lancé de vastes campagnes d'attaques par déni de service distribué (DDoS), provoqué des fuites de données et lancé des attaques destructrices contre des secteurs à haut risque, notamment les systèmes gouvernementaux, des plates-formes bancaires, des installations logistiques aéroportuaires et le commerce électronique à Bahreïn, au Koweït, aux Émirats</w:t>
      </w:r>
      <w:r w:rsidR="008824C1" w:rsidRPr="00E274C2">
        <w:t> </w:t>
      </w:r>
      <w:r w:rsidRPr="00E274C2">
        <w:t>arabes unis et en Jordanie.</w:t>
      </w:r>
    </w:p>
    <w:p w14:paraId="3F6D781B" w14:textId="4C20D255" w:rsidR="009E7CD1" w:rsidRPr="00E274C2" w:rsidRDefault="009E7CD1" w:rsidP="0012338D">
      <w:r w:rsidRPr="00E274C2">
        <w:t>2.3.3</w:t>
      </w:r>
      <w:r w:rsidR="00904E54" w:rsidRPr="00E274C2">
        <w:tab/>
      </w:r>
      <w:r w:rsidRPr="00E274C2">
        <w:t>Alors que les hacktivistes s'occupent de provoquer des perturbations visibles, les acteurs appuyés par l</w:t>
      </w:r>
      <w:r w:rsidR="00A27DFB" w:rsidRPr="00E274C2">
        <w:t>'</w:t>
      </w:r>
      <w:r w:rsidRPr="00E274C2">
        <w:t>État iranien et liés au Corps des gardiens de la révolution islamique (CGRI) et au Ministère du renseignement de la République islamique d'Iran mènent des opérations sophistiquées d</w:t>
      </w:r>
      <w:r w:rsidR="00A27DFB" w:rsidRPr="00E274C2">
        <w:t>'</w:t>
      </w:r>
      <w:r w:rsidRPr="00E274C2">
        <w:t xml:space="preserve">espionnage et d'infiltration de réseau à long terme. Des rapports produits par Trellix et Mandiant détaillent comment des groupes comme APT42 </w:t>
      </w:r>
      <w:r w:rsidRPr="00E274C2">
        <w:lastRenderedPageBreak/>
        <w:t>(Charming</w:t>
      </w:r>
      <w:r w:rsidR="00A64C9D">
        <w:t> </w:t>
      </w:r>
      <w:r w:rsidRPr="00E274C2">
        <w:t>Kitten) se sont tournés vers des techniques sophistiquées d</w:t>
      </w:r>
      <w:r w:rsidR="00A27DFB" w:rsidRPr="00E274C2">
        <w:t>'</w:t>
      </w:r>
      <w:r w:rsidRPr="00E274C2">
        <w:t>ingénierie sociale et la collecte d</w:t>
      </w:r>
      <w:r w:rsidR="00A27DFB" w:rsidRPr="00E274C2">
        <w:t>'</w:t>
      </w:r>
      <w:r w:rsidRPr="00E274C2">
        <w:t>informations d</w:t>
      </w:r>
      <w:r w:rsidR="00A27DFB" w:rsidRPr="00E274C2">
        <w:t>'</w:t>
      </w:r>
      <w:r w:rsidRPr="00E274C2">
        <w:t>identification pour compromettre les environnements d'informatique en nuage d</w:t>
      </w:r>
      <w:r w:rsidR="00A27DFB" w:rsidRPr="00E274C2">
        <w:t>'</w:t>
      </w:r>
      <w:r w:rsidRPr="00E274C2">
        <w:t xml:space="preserve">entreprises et les cadres de télécommunications. Parallèlement, les </w:t>
      </w:r>
      <w:r w:rsidR="00904E54" w:rsidRPr="00E274C2">
        <w:t>G</w:t>
      </w:r>
      <w:r w:rsidRPr="00E274C2">
        <w:t>roupes APT34 (OilRig) et APT39 agissent selon leurs méthodes habituelles et infiltrent activement les fournisseurs de télécommunication et les fournisseurs de services Internet de Bahreïn, du</w:t>
      </w:r>
      <w:r w:rsidR="00904E54" w:rsidRPr="00E274C2">
        <w:t> </w:t>
      </w:r>
      <w:r w:rsidRPr="00E274C2">
        <w:t>Koweït, des Émirats arabes unis et de la Jordanie pour permettre une surveillance généralisée, suivre les activités de contre-espionnage et compromettre les chaînes d</w:t>
      </w:r>
      <w:r w:rsidR="00A27DFB" w:rsidRPr="00E274C2">
        <w:t>'</w:t>
      </w:r>
      <w:r w:rsidRPr="00E274C2">
        <w:t>approvisionnement.</w:t>
      </w:r>
    </w:p>
    <w:p w14:paraId="65A58C7B" w14:textId="192FC10C" w:rsidR="009E7CD1" w:rsidRPr="00E274C2" w:rsidRDefault="009E7CD1" w:rsidP="0012338D">
      <w:pPr>
        <w:pStyle w:val="Heading1"/>
      </w:pPr>
      <w:r w:rsidRPr="00E274C2">
        <w:t>3</w:t>
      </w:r>
      <w:r w:rsidRPr="00E274C2">
        <w:tab/>
        <w:t>Propositions</w:t>
      </w:r>
    </w:p>
    <w:p w14:paraId="1B0B415F" w14:textId="62B57DEB" w:rsidR="009E7CD1" w:rsidRPr="00E274C2" w:rsidRDefault="009E7CD1" w:rsidP="0012338D">
      <w:r w:rsidRPr="00E274C2">
        <w:t>3.1</w:t>
      </w:r>
      <w:r w:rsidRPr="00E274C2">
        <w:tab/>
        <w:t>Les États membres du GCC et la Jordanie proposent que le Conseil appuie l'adoption de l'avant-projet de Résolution du Conseil relative aux dommages subis par l</w:t>
      </w:r>
      <w:r w:rsidR="00A27DFB" w:rsidRPr="00E274C2">
        <w:t>'</w:t>
      </w:r>
      <w:r w:rsidRPr="00E274C2">
        <w:t>infrastructure des télécommunications/TIC civile à Bahreïn, au Koweït, aux Émirats arabes unis et en Jordanie et à leurs incidences sur la connectivité régionale et mondiale.</w:t>
      </w:r>
    </w:p>
    <w:p w14:paraId="19D7A890" w14:textId="5581EF27" w:rsidR="009E7CD1" w:rsidRPr="00E274C2" w:rsidRDefault="009E7CD1" w:rsidP="0012338D">
      <w:pPr>
        <w:pStyle w:val="Heading1"/>
        <w:rPr>
          <w:rFonts w:asciiTheme="minorHAnsi" w:hAnsiTheme="minorHAnsi" w:cstheme="minorHAnsi"/>
        </w:rPr>
      </w:pPr>
      <w:r w:rsidRPr="00E274C2">
        <w:t>4</w:t>
      </w:r>
      <w:r w:rsidRPr="00E274C2">
        <w:tab/>
        <w:t>Contexte: transformation numérique à Bahreïn, au Koweït, aux</w:t>
      </w:r>
      <w:r w:rsidR="004E2F86">
        <w:t> </w:t>
      </w:r>
      <w:r w:rsidRPr="00E274C2">
        <w:t>Émirats</w:t>
      </w:r>
      <w:r w:rsidR="004E2F86">
        <w:t> </w:t>
      </w:r>
      <w:r w:rsidRPr="00E274C2">
        <w:t>arabes unis et en Jordanie, et participation de l</w:t>
      </w:r>
      <w:r w:rsidR="00A27DFB" w:rsidRPr="00E274C2">
        <w:t>'</w:t>
      </w:r>
      <w:r w:rsidRPr="00E274C2">
        <w:t>UIT</w:t>
      </w:r>
    </w:p>
    <w:p w14:paraId="016A67FF" w14:textId="196E7CD8" w:rsidR="009E7CD1" w:rsidRPr="00E274C2" w:rsidRDefault="009E7CD1" w:rsidP="0012338D">
      <w:r w:rsidRPr="00E274C2">
        <w:t>4.1</w:t>
      </w:r>
      <w:r w:rsidRPr="00E274C2">
        <w:tab/>
        <w:t>Bahreïn, le Koweït, les Émirats arabes unis et la Jordanie, figurent collectivement parmi les pays les plus avancés de la région sur le plan numérique. Les grands programmes nationaux, notamment la Stratégie en matière d</w:t>
      </w:r>
      <w:r w:rsidR="00A27DFB" w:rsidRPr="00E274C2">
        <w:t>'</w:t>
      </w:r>
      <w:r w:rsidRPr="00E274C2">
        <w:t>IA à l'horizon 2031 des Émirats</w:t>
      </w:r>
      <w:r w:rsidR="002D6CF0" w:rsidRPr="00E274C2">
        <w:t> </w:t>
      </w:r>
      <w:r w:rsidRPr="00E274C2">
        <w:t>arabes unis, la Politique de Bahreïn visant à privilégier l</w:t>
      </w:r>
      <w:r w:rsidR="00A27DFB" w:rsidRPr="00E274C2">
        <w:t>'</w:t>
      </w:r>
      <w:r w:rsidRPr="00E274C2">
        <w:t>informatique en nuage et le plan "New</w:t>
      </w:r>
      <w:r w:rsidR="004E2F86">
        <w:t> </w:t>
      </w:r>
      <w:r w:rsidRPr="00E274C2">
        <w:t>Kuwait</w:t>
      </w:r>
      <w:r w:rsidR="004E2F86">
        <w:t> </w:t>
      </w:r>
      <w:r w:rsidRPr="00E274C2">
        <w:t>2035" du Koweït, représentent des investissements considérables dans l</w:t>
      </w:r>
      <w:r w:rsidR="00A27DFB" w:rsidRPr="00E274C2">
        <w:t>'</w:t>
      </w:r>
      <w:r w:rsidRPr="00E274C2">
        <w:t>infrastructure et la transformation numériques.</w:t>
      </w:r>
    </w:p>
    <w:p w14:paraId="6A244048" w14:textId="1E81717F" w:rsidR="009E7CD1" w:rsidRPr="00E274C2" w:rsidRDefault="009E7CD1" w:rsidP="0012338D">
      <w:r w:rsidRPr="00E274C2">
        <w:t>4.2</w:t>
      </w:r>
      <w:r w:rsidRPr="00E274C2">
        <w:tab/>
        <w:t>Ces programmes présentent un intérêt direct pour les travaux des trois Secteurs de l'UIT. Les attaques visant l</w:t>
      </w:r>
      <w:r w:rsidR="00A27DFB" w:rsidRPr="00E274C2">
        <w:t>'</w:t>
      </w:r>
      <w:r w:rsidRPr="00E274C2">
        <w:t>infrastructure TIC compromettent la capacité de Bahreïn, du Koweït, des Émirats arabes unis et de la Jordanie d'atteindre ces objectifs et de contribuer au Programme Connect 2030.</w:t>
      </w:r>
    </w:p>
    <w:p w14:paraId="0BC2EF2A" w14:textId="2117E372" w:rsidR="009E7CD1" w:rsidRPr="00E274C2" w:rsidRDefault="009E7CD1" w:rsidP="0012338D">
      <w:pPr>
        <w:pStyle w:val="Heading1"/>
        <w:rPr>
          <w:rFonts w:asciiTheme="minorHAnsi" w:hAnsiTheme="minorHAnsi" w:cstheme="minorHAnsi"/>
        </w:rPr>
      </w:pPr>
      <w:r w:rsidRPr="00E274C2">
        <w:t>5</w:t>
      </w:r>
      <w:r w:rsidRPr="00E274C2">
        <w:tab/>
        <w:t>Conclusion</w:t>
      </w:r>
    </w:p>
    <w:p w14:paraId="505DD781" w14:textId="38EB55BD" w:rsidR="009E7CD1" w:rsidRPr="00E274C2" w:rsidRDefault="009E7CD1" w:rsidP="0012338D">
      <w:r w:rsidRPr="00E274C2">
        <w:t>5.1</w:t>
      </w:r>
      <w:r w:rsidRPr="00E274C2">
        <w:tab/>
        <w:t>Les États Membres du GCC et la Jordanie soumettent la présente contribution pour exprimer leur préoccupation collective face au ciblage sans précédent de l</w:t>
      </w:r>
      <w:r w:rsidR="00A27DFB" w:rsidRPr="00E274C2">
        <w:t>'</w:t>
      </w:r>
      <w:r w:rsidRPr="00E274C2">
        <w:t>infrastructure TIC civile de Bahreïn, du Koweït, des Émirats arabes unis et de la Jordanie, par l</w:t>
      </w:r>
      <w:r w:rsidR="00A27DFB" w:rsidRPr="00E274C2">
        <w:t>'</w:t>
      </w:r>
      <w:r w:rsidRPr="00E274C2">
        <w:t>Iran.</w:t>
      </w:r>
    </w:p>
    <w:p w14:paraId="3892CAC4" w14:textId="08C944E6" w:rsidR="009E7CD1" w:rsidRPr="00E274C2" w:rsidRDefault="009E7CD1" w:rsidP="0012338D">
      <w:r w:rsidRPr="00E274C2">
        <w:t>5.2</w:t>
      </w:r>
      <w:r w:rsidRPr="00E274C2">
        <w:tab/>
        <w:t>Les États Membres du GCC et la Jordanie soulignent que la protection de l</w:t>
      </w:r>
      <w:r w:rsidR="00A27DFB" w:rsidRPr="00E274C2">
        <w:t>'</w:t>
      </w:r>
      <w:r w:rsidRPr="00E274C2">
        <w:t>infrastructure TIC civile est d</w:t>
      </w:r>
      <w:r w:rsidR="00A27DFB" w:rsidRPr="00E274C2">
        <w:t>'</w:t>
      </w:r>
      <w:r w:rsidRPr="00E274C2">
        <w:t>une importance fondamentale pour tous les États Membres, et non pas une question bilatérale, et pour le mandat de l</w:t>
      </w:r>
      <w:r w:rsidR="00A27DFB" w:rsidRPr="00E274C2">
        <w:t>'</w:t>
      </w:r>
      <w:r w:rsidRPr="00E274C2">
        <w:t>Union. Les États Membres du GCC et la Jordanie sont prêts à échanger avec tous les membres du Conseil et le Secrétariat sur les questions soulevées dans le présent document.</w:t>
      </w:r>
    </w:p>
    <w:p w14:paraId="3E9AC86E" w14:textId="2AFC2FC3" w:rsidR="006A11AE" w:rsidRPr="00E274C2" w:rsidRDefault="00B40F47" w:rsidP="00EA1B9B">
      <w:pPr>
        <w:spacing w:before="1080"/>
      </w:pPr>
      <w:r w:rsidRPr="00E274C2">
        <w:rPr>
          <w:i/>
          <w:iCs/>
        </w:rPr>
        <w:t>Annexe</w:t>
      </w:r>
      <w:r w:rsidRPr="00E274C2">
        <w:t xml:space="preserve">: </w:t>
      </w:r>
      <w:r w:rsidRPr="00E274C2">
        <w:rPr>
          <w:b/>
          <w:bCs/>
        </w:rPr>
        <w:t>1</w:t>
      </w:r>
    </w:p>
    <w:p w14:paraId="3515BE15" w14:textId="77777777" w:rsidR="00B40F47" w:rsidRPr="00E274C2" w:rsidRDefault="00B40F47" w:rsidP="00904E54">
      <w:pPr>
        <w:pStyle w:val="Reasons"/>
        <w:spacing w:before="480"/>
        <w:sectPr w:rsidR="00B40F47" w:rsidRPr="00E274C2" w:rsidSect="00D72F49">
          <w:headerReference w:type="even" r:id="rId12"/>
          <w:footerReference w:type="even" r:id="rId13"/>
          <w:footerReference w:type="default" r:id="rId14"/>
          <w:headerReference w:type="first" r:id="rId15"/>
          <w:footerReference w:type="first" r:id="rId16"/>
          <w:pgSz w:w="11907" w:h="16840" w:code="9"/>
          <w:pgMar w:top="1418" w:right="1418" w:bottom="1418" w:left="1418" w:header="720" w:footer="720" w:gutter="0"/>
          <w:paperSrc w:first="286" w:other="286"/>
          <w:cols w:space="720"/>
          <w:titlePg/>
        </w:sectPr>
      </w:pPr>
    </w:p>
    <w:p w14:paraId="5B289AE7" w14:textId="3AC74FD9" w:rsidR="00B40F47" w:rsidRPr="00E274C2" w:rsidRDefault="00B40F47" w:rsidP="00904E54">
      <w:pPr>
        <w:pStyle w:val="AnnexNo"/>
        <w:spacing w:before="0"/>
      </w:pPr>
      <w:r w:rsidRPr="00E274C2">
        <w:lastRenderedPageBreak/>
        <w:t>Annexe 1</w:t>
      </w:r>
    </w:p>
    <w:p w14:paraId="0B4F0F80" w14:textId="731268E7" w:rsidR="009E7CD1" w:rsidRPr="00E274C2" w:rsidRDefault="009E7CD1" w:rsidP="0012338D">
      <w:pPr>
        <w:pStyle w:val="ResNo"/>
      </w:pPr>
      <w:r w:rsidRPr="00E274C2">
        <w:t>PROJET DE NOUVELLE RÉSOLUTION […]</w:t>
      </w:r>
    </w:p>
    <w:p w14:paraId="3FCB772B" w14:textId="61C1F906" w:rsidR="00B40F47" w:rsidRPr="00E274C2" w:rsidRDefault="009E7CD1" w:rsidP="00904E54">
      <w:pPr>
        <w:pStyle w:val="Restitle"/>
      </w:pPr>
      <w:r w:rsidRPr="00E274C2">
        <w:t>Dommages subis par l</w:t>
      </w:r>
      <w:r w:rsidR="00A27DFB" w:rsidRPr="00E274C2">
        <w:t>'</w:t>
      </w:r>
      <w:r w:rsidRPr="00E274C2">
        <w:t xml:space="preserve">infrastructure des télécommunications/des </w:t>
      </w:r>
      <w:r w:rsidR="00904E54" w:rsidRPr="00E274C2">
        <w:t>t</w:t>
      </w:r>
      <w:r w:rsidRPr="00E274C2">
        <w:t>echnologies de l</w:t>
      </w:r>
      <w:r w:rsidR="00A27DFB" w:rsidRPr="00E274C2">
        <w:t>'</w:t>
      </w:r>
      <w:r w:rsidRPr="00E274C2">
        <w:t>information et des communications civile</w:t>
      </w:r>
      <w:r w:rsidR="004E2F86">
        <w:t xml:space="preserve"> </w:t>
      </w:r>
      <w:r w:rsidRPr="00E274C2">
        <w:t>à</w:t>
      </w:r>
      <w:r w:rsidR="00904E54" w:rsidRPr="00E274C2">
        <w:t xml:space="preserve"> </w:t>
      </w:r>
      <w:r w:rsidRPr="00E274C2">
        <w:t xml:space="preserve">Bahreïn, </w:t>
      </w:r>
      <w:r w:rsidR="004E2F86">
        <w:br/>
      </w:r>
      <w:r w:rsidRPr="00E274C2">
        <w:t>au Koweït, aux Émirats arabes unis</w:t>
      </w:r>
      <w:r w:rsidR="004E2F86">
        <w:t xml:space="preserve"> </w:t>
      </w:r>
      <w:r w:rsidRPr="00E274C2">
        <w:t xml:space="preserve">et en Jordanie et incidences </w:t>
      </w:r>
      <w:r w:rsidR="004E2F86">
        <w:br/>
      </w:r>
      <w:r w:rsidRPr="00E274C2">
        <w:t>sur la connectivité</w:t>
      </w:r>
      <w:r w:rsidR="004E2F86">
        <w:t xml:space="preserve"> </w:t>
      </w:r>
      <w:r w:rsidRPr="00E274C2">
        <w:t>régionale et mondiale</w:t>
      </w:r>
    </w:p>
    <w:p w14:paraId="04B82C63" w14:textId="77777777" w:rsidR="009E7CD1" w:rsidRPr="00E274C2" w:rsidRDefault="009E7CD1" w:rsidP="009E7CD1">
      <w:pPr>
        <w:pStyle w:val="Normalaftertitle"/>
      </w:pPr>
      <w:r w:rsidRPr="00E274C2">
        <w:t>Le Conseil de l'UIT,</w:t>
      </w:r>
    </w:p>
    <w:p w14:paraId="288B8AFD" w14:textId="77777777" w:rsidR="009E7CD1" w:rsidRPr="00E274C2" w:rsidRDefault="009E7CD1" w:rsidP="0012338D">
      <w:pPr>
        <w:pStyle w:val="Call"/>
      </w:pPr>
      <w:r w:rsidRPr="00E274C2">
        <w:t>rappelant</w:t>
      </w:r>
    </w:p>
    <w:p w14:paraId="0C5FC828" w14:textId="77777777" w:rsidR="009E7CD1" w:rsidRPr="00E274C2" w:rsidRDefault="009E7CD1" w:rsidP="0012338D">
      <w:r w:rsidRPr="00E274C2">
        <w:rPr>
          <w:i/>
          <w:iCs/>
        </w:rPr>
        <w:t>a)</w:t>
      </w:r>
      <w:r w:rsidRPr="00E274C2">
        <w:tab/>
        <w:t>les nobles principes, objet et objectifs énoncés dans la Charte des Nations Unies et dans la Déclaration universelle des droits de l'homme, ainsi que dans la Déclaration de principes adoptée par le Sommet mondial sur la société de l'information;</w:t>
      </w:r>
    </w:p>
    <w:p w14:paraId="5D594DCF" w14:textId="2D8EEAF4" w:rsidR="009E7CD1" w:rsidRPr="00E274C2" w:rsidRDefault="009C1E7B" w:rsidP="0012338D">
      <w:r>
        <w:rPr>
          <w:i/>
          <w:iCs/>
        </w:rPr>
        <w:t>b</w:t>
      </w:r>
      <w:r w:rsidR="009E7CD1" w:rsidRPr="00E274C2">
        <w:rPr>
          <w:i/>
          <w:iCs/>
        </w:rPr>
        <w:t>)</w:t>
      </w:r>
      <w:r w:rsidR="009E7CD1" w:rsidRPr="00E274C2">
        <w:tab/>
        <w:t>l'objet de l'Union, énoncé dans l'article 1 de la Constitution de l'UIT;</w:t>
      </w:r>
    </w:p>
    <w:p w14:paraId="460AF842" w14:textId="5ED8668F" w:rsidR="009E7CD1" w:rsidRPr="00E274C2" w:rsidRDefault="009C1E7B" w:rsidP="0012338D">
      <w:r>
        <w:rPr>
          <w:i/>
          <w:iCs/>
        </w:rPr>
        <w:t>c</w:t>
      </w:r>
      <w:r w:rsidR="009E7CD1" w:rsidRPr="00E274C2">
        <w:rPr>
          <w:i/>
          <w:iCs/>
        </w:rPr>
        <w:t>)</w:t>
      </w:r>
      <w:r w:rsidR="009E7CD1" w:rsidRPr="00E274C2">
        <w:tab/>
        <w:t>les principes énoncés dans les articles 38 (numéro 186) et 45 (numéro 197) de la Constitution de l</w:t>
      </w:r>
      <w:r w:rsidR="00A27DFB" w:rsidRPr="00E274C2">
        <w:t>'</w:t>
      </w:r>
      <w:r w:rsidR="009E7CD1" w:rsidRPr="00E274C2">
        <w:t>UIT,</w:t>
      </w:r>
    </w:p>
    <w:p w14:paraId="2DE2D1B2" w14:textId="77777777" w:rsidR="009E7CD1" w:rsidRPr="00E274C2" w:rsidRDefault="009E7CD1" w:rsidP="0012338D">
      <w:pPr>
        <w:pStyle w:val="Call"/>
      </w:pPr>
      <w:r w:rsidRPr="00E274C2">
        <w:t>rappelant en outre</w:t>
      </w:r>
    </w:p>
    <w:p w14:paraId="71936BB5" w14:textId="0E642E33" w:rsidR="009E7CD1" w:rsidRPr="00E274C2" w:rsidRDefault="009E7CD1" w:rsidP="0012338D">
      <w:r w:rsidRPr="00E274C2">
        <w:rPr>
          <w:i/>
          <w:iCs/>
        </w:rPr>
        <w:t>a)</w:t>
      </w:r>
      <w:r w:rsidRPr="00E274C2">
        <w:tab/>
        <w:t>la Résolution 2817 (2026) du Conseil de sécurité de l</w:t>
      </w:r>
      <w:r w:rsidR="00A27DFB" w:rsidRPr="00E274C2">
        <w:t>'</w:t>
      </w:r>
      <w:r w:rsidRPr="00E274C2">
        <w:t>Organisation des Nations</w:t>
      </w:r>
      <w:r w:rsidR="008824C1" w:rsidRPr="00E274C2">
        <w:t> </w:t>
      </w:r>
      <w:r w:rsidRPr="00E274C2">
        <w:t>Unies, en date du 11 mars 2026, aux termes de laquelle celui-ci condamne avec la plus grande fermeté les attaques inacceptables perpétrées par l</w:t>
      </w:r>
      <w:r w:rsidR="00A27DFB" w:rsidRPr="00E274C2">
        <w:t>'</w:t>
      </w:r>
      <w:r w:rsidRPr="00E274C2">
        <w:t>Iran contre les territoires de l</w:t>
      </w:r>
      <w:r w:rsidR="00A27DFB" w:rsidRPr="00E274C2">
        <w:t>'</w:t>
      </w:r>
      <w:r w:rsidRPr="00E274C2">
        <w:t>Arabie</w:t>
      </w:r>
      <w:r w:rsidR="002D6CF0" w:rsidRPr="00E274C2">
        <w:t> </w:t>
      </w:r>
      <w:r w:rsidRPr="00E274C2">
        <w:t>saoudite, de Bahreïn, des Émirats arabes unis, de la Jordanie, du Koweït, d</w:t>
      </w:r>
      <w:r w:rsidR="00A27DFB" w:rsidRPr="00E274C2">
        <w:t>'</w:t>
      </w:r>
      <w:r w:rsidRPr="00E274C2">
        <w:t>Oman et du Qatar, condamne également le fait que des zones d</w:t>
      </w:r>
      <w:r w:rsidR="00A27DFB" w:rsidRPr="00E274C2">
        <w:t>'</w:t>
      </w:r>
      <w:r w:rsidRPr="00E274C2">
        <w:t>habitation et des biens de caractère civil aient été pris pour cible et que les attaques aient fait des victimes parmi la population civile et causé des dommages à des bâtiments civils, et condamne également toute action ou menace de l</w:t>
      </w:r>
      <w:r w:rsidR="00A27DFB" w:rsidRPr="00E274C2">
        <w:t>'</w:t>
      </w:r>
      <w:r w:rsidRPr="00E274C2">
        <w:t>Iran visant à fermer, à entraver ou perturber la navigation internationale dans le détroit d</w:t>
      </w:r>
      <w:r w:rsidR="00A27DFB" w:rsidRPr="00E274C2">
        <w:t>'</w:t>
      </w:r>
      <w:r w:rsidRPr="00E274C2">
        <w:t>Ormuz;</w:t>
      </w:r>
    </w:p>
    <w:p w14:paraId="448475AE" w14:textId="594ED098" w:rsidR="009E7CD1" w:rsidRPr="00E274C2" w:rsidRDefault="009C1E7B" w:rsidP="0012338D">
      <w:r>
        <w:rPr>
          <w:i/>
          <w:iCs/>
        </w:rPr>
        <w:t>b</w:t>
      </w:r>
      <w:r w:rsidR="009E7CD1" w:rsidRPr="00E274C2">
        <w:rPr>
          <w:i/>
          <w:iCs/>
        </w:rPr>
        <w:t>)</w:t>
      </w:r>
      <w:r w:rsidR="009E7CD1" w:rsidRPr="00E274C2">
        <w:tab/>
        <w:t>la Résolution 34 de la Conférence mondiale de développement des télécommunications de 2025 (CMDT-25) sur le rôle des télécommunications et des technologies de l'information et de la communication (TIC) dans la préparation en prévision des catastrophes, l'alerte avancée, l'atténuation des effets des catastrophes, les interventions et les opérations de secours;</w:t>
      </w:r>
    </w:p>
    <w:p w14:paraId="28A36FC6" w14:textId="4A0E422B" w:rsidR="009E7CD1" w:rsidRPr="00E274C2" w:rsidRDefault="009C1E7B" w:rsidP="0012338D">
      <w:r>
        <w:rPr>
          <w:i/>
          <w:iCs/>
        </w:rPr>
        <w:t>c</w:t>
      </w:r>
      <w:r w:rsidR="009E7CD1" w:rsidRPr="00E274C2">
        <w:rPr>
          <w:i/>
          <w:iCs/>
        </w:rPr>
        <w:t>)</w:t>
      </w:r>
      <w:r w:rsidR="009E7CD1" w:rsidRPr="00E274C2">
        <w:tab/>
        <w:t>la Résolution 130 (Rév. Bucarest, 2022) de la Conférence de plénipotentiaires sur le renforcement du rôle de l'UIT dans l'instauration de la confiance et de la sécurité dans l'utilisation des TIC;</w:t>
      </w:r>
    </w:p>
    <w:p w14:paraId="2103D76C" w14:textId="3631C86E" w:rsidR="009E7CD1" w:rsidRPr="00E274C2" w:rsidRDefault="003C65BE" w:rsidP="0012338D">
      <w:r>
        <w:rPr>
          <w:i/>
          <w:iCs/>
        </w:rPr>
        <w:t>d</w:t>
      </w:r>
      <w:r w:rsidR="009E7CD1" w:rsidRPr="00E274C2">
        <w:rPr>
          <w:i/>
          <w:iCs/>
        </w:rPr>
        <w:t>)</w:t>
      </w:r>
      <w:r w:rsidR="009E7CD1" w:rsidRPr="00E274C2">
        <w:tab/>
        <w:t>la Résolution 136 (Rév. Bucarest, 2022) de la Conférence de plénipotentiaires relative à l'utilisation des télécommunications/TIC pour l'aide humanitaire</w:t>
      </w:r>
      <w:r>
        <w:t>,</w:t>
      </w:r>
    </w:p>
    <w:p w14:paraId="6BEABE84" w14:textId="77777777" w:rsidR="009E7CD1" w:rsidRPr="00E274C2" w:rsidRDefault="009E7CD1" w:rsidP="0012338D">
      <w:pPr>
        <w:pStyle w:val="Call"/>
      </w:pPr>
      <w:r w:rsidRPr="00E274C2">
        <w:lastRenderedPageBreak/>
        <w:t>réaffirmant</w:t>
      </w:r>
    </w:p>
    <w:p w14:paraId="279BBBCD" w14:textId="1542CB25" w:rsidR="009E7CD1" w:rsidRPr="00E274C2" w:rsidRDefault="009E7CD1" w:rsidP="009E7CD1">
      <w:r w:rsidRPr="00E274C2">
        <w:rPr>
          <w:i/>
          <w:iCs/>
        </w:rPr>
        <w:t>a)</w:t>
      </w:r>
      <w:r w:rsidRPr="00E274C2">
        <w:tab/>
        <w:t xml:space="preserve">la souveraineté, l'indépendance, l'unité et l'intégrité territoriale de Bahreïn, du Koweït, des Émirats arabes unis et de la Jordanie à l'intérieur de leurs frontières internationalement reconnues </w:t>
      </w:r>
      <w:r w:rsidR="003C65BE">
        <w:t xml:space="preserve">et de </w:t>
      </w:r>
      <w:r w:rsidRPr="00E274C2">
        <w:t>leurs eaux territoriales;</w:t>
      </w:r>
    </w:p>
    <w:p w14:paraId="1C80660A" w14:textId="3E77FC92" w:rsidR="009E7CD1" w:rsidRPr="00E274C2" w:rsidRDefault="009E7CD1" w:rsidP="0012338D">
      <w:r w:rsidRPr="00E274C2">
        <w:rPr>
          <w:i/>
          <w:iCs/>
        </w:rPr>
        <w:t>b)</w:t>
      </w:r>
      <w:r w:rsidRPr="00E274C2">
        <w:tab/>
        <w:t>l</w:t>
      </w:r>
      <w:r w:rsidR="00A27DFB" w:rsidRPr="00E274C2">
        <w:t>'</w:t>
      </w:r>
      <w:r w:rsidRPr="00E274C2">
        <w:t>importance croissante des télécommunications pour la sauvegarde de la paix et le développement économique et social de tous les États, comme indiqué dans le Préambule de la Constitution de l</w:t>
      </w:r>
      <w:r w:rsidR="00A27DFB" w:rsidRPr="00E274C2">
        <w:t>'</w:t>
      </w:r>
      <w:r w:rsidRPr="00E274C2">
        <w:t>UIT,</w:t>
      </w:r>
    </w:p>
    <w:p w14:paraId="04D75AD0" w14:textId="77777777" w:rsidR="009E7CD1" w:rsidRPr="00E274C2" w:rsidRDefault="009E7CD1" w:rsidP="0012338D">
      <w:pPr>
        <w:pStyle w:val="Call"/>
      </w:pPr>
      <w:r w:rsidRPr="00E274C2">
        <w:t>considérant</w:t>
      </w:r>
    </w:p>
    <w:p w14:paraId="6E24385A" w14:textId="704CC215" w:rsidR="009E7CD1" w:rsidRPr="00E274C2" w:rsidRDefault="009E7CD1" w:rsidP="0012338D">
      <w:r w:rsidRPr="00E274C2">
        <w:t>que l</w:t>
      </w:r>
      <w:r w:rsidR="00A27DFB" w:rsidRPr="00E274C2">
        <w:t>'</w:t>
      </w:r>
      <w:r w:rsidRPr="00E274C2">
        <w:t xml:space="preserve">infrastructure </w:t>
      </w:r>
      <w:r w:rsidR="003C65BE">
        <w:t>de télécommunication/</w:t>
      </w:r>
      <w:r w:rsidRPr="00E274C2">
        <w:t>TIC civile</w:t>
      </w:r>
      <w:r w:rsidR="003C65BE" w:rsidRPr="00E274C2" w:rsidDel="003C65BE">
        <w:t xml:space="preserve"> </w:t>
      </w:r>
      <w:r w:rsidRPr="00E274C2">
        <w:t xml:space="preserve"> est essentielle à la fourniture de services de télécommunication et au développement social et économique de tous les pays</w:t>
      </w:r>
      <w:r w:rsidR="003C65BE">
        <w:t>,</w:t>
      </w:r>
    </w:p>
    <w:p w14:paraId="7E92D6B1" w14:textId="14BBA8B0" w:rsidR="009E7CD1" w:rsidRPr="00E274C2" w:rsidRDefault="009E7CD1" w:rsidP="0012338D">
      <w:pPr>
        <w:pStyle w:val="Call"/>
      </w:pPr>
      <w:r w:rsidRPr="00E274C2">
        <w:t>rappelant</w:t>
      </w:r>
      <w:r w:rsidRPr="00E274C2">
        <w:rPr>
          <w:iCs/>
        </w:rPr>
        <w:t xml:space="preserve"> l'engagement de l'UIT</w:t>
      </w:r>
    </w:p>
    <w:p w14:paraId="62434A32" w14:textId="77777777" w:rsidR="009E7CD1" w:rsidRPr="00E274C2" w:rsidRDefault="009E7CD1" w:rsidP="0012338D">
      <w:r w:rsidRPr="00E274C2">
        <w:t>en vue de "provoquer l'adoption de mesures permettant d'assurer la sécurité de la vie humaine par la coopération des services de télécommunication",</w:t>
      </w:r>
    </w:p>
    <w:p w14:paraId="4A8250C8" w14:textId="77777777" w:rsidR="009E7CD1" w:rsidRPr="00E274C2" w:rsidRDefault="009E7CD1" w:rsidP="0012338D">
      <w:pPr>
        <w:pStyle w:val="Call"/>
      </w:pPr>
      <w:r w:rsidRPr="00E274C2">
        <w:t>condamnant</w:t>
      </w:r>
    </w:p>
    <w:p w14:paraId="0461E2B9" w14:textId="094B773B" w:rsidR="009E7CD1" w:rsidRPr="00E274C2" w:rsidRDefault="009E7CD1" w:rsidP="0012338D">
      <w:r w:rsidRPr="00E274C2">
        <w:t>le fait que l</w:t>
      </w:r>
      <w:r w:rsidR="00A27DFB" w:rsidRPr="00E274C2">
        <w:t>'</w:t>
      </w:r>
      <w:r w:rsidRPr="00E274C2">
        <w:t>Iran prenne pour cible de manière illégale et généralisée des biens de caractère civil, y compris les services de télécommunication</w:t>
      </w:r>
      <w:r w:rsidR="003C65BE">
        <w:t xml:space="preserve"> et les câbles sous-marins</w:t>
      </w:r>
      <w:r w:rsidRPr="00E274C2">
        <w:t>, à Bahreïn, au Koweït, aux Émirats arabes unis et en Jordanie, et menace de cibler d</w:t>
      </w:r>
      <w:r w:rsidR="00A27DFB" w:rsidRPr="00E274C2">
        <w:t>'</w:t>
      </w:r>
      <w:r w:rsidRPr="00E274C2">
        <w:t>autres infrastructures de télécommunication</w:t>
      </w:r>
      <w:r w:rsidR="000E017A">
        <w:t xml:space="preserve"> civiles</w:t>
      </w:r>
      <w:r w:rsidRPr="00E274C2">
        <w:t>, ce qui est incompatible avec la Constitution et de la Convention de l</w:t>
      </w:r>
      <w:r w:rsidR="00A27DFB" w:rsidRPr="00E274C2">
        <w:t>'</w:t>
      </w:r>
      <w:r w:rsidRPr="00E274C2">
        <w:t>UIT</w:t>
      </w:r>
      <w:r w:rsidR="003C65BE">
        <w:t>,</w:t>
      </w:r>
    </w:p>
    <w:p w14:paraId="4D7B6343" w14:textId="77777777" w:rsidR="009E7CD1" w:rsidRPr="00E274C2" w:rsidRDefault="009E7CD1" w:rsidP="0012338D">
      <w:pPr>
        <w:pStyle w:val="Call"/>
      </w:pPr>
      <w:r w:rsidRPr="00E274C2">
        <w:rPr>
          <w:iCs/>
        </w:rPr>
        <w:t xml:space="preserve">décide de </w:t>
      </w:r>
      <w:r w:rsidRPr="00E274C2">
        <w:t>charger</w:t>
      </w:r>
      <w:r w:rsidRPr="00E274C2">
        <w:rPr>
          <w:iCs/>
        </w:rPr>
        <w:t xml:space="preserve"> les Directeurs des trois Bureaux</w:t>
      </w:r>
    </w:p>
    <w:p w14:paraId="119BD0B1" w14:textId="49DDB965" w:rsidR="009E7CD1" w:rsidRPr="00E274C2" w:rsidRDefault="009E7CD1" w:rsidP="0012338D">
      <w:r w:rsidRPr="00E274C2">
        <w:t>1</w:t>
      </w:r>
      <w:r w:rsidRPr="00E274C2">
        <w:tab/>
        <w:t>de suivre la situation concernant les attaques iraniennes contre les services et infrastructures de télécommunication de Bahreïn, au Koweït, des Émirats</w:t>
      </w:r>
      <w:r w:rsidR="008824C1" w:rsidRPr="00E274C2">
        <w:t> </w:t>
      </w:r>
      <w:r w:rsidRPr="00E274C2">
        <w:t>arabes</w:t>
      </w:r>
      <w:r w:rsidR="00904E54" w:rsidRPr="00E274C2">
        <w:t> </w:t>
      </w:r>
      <w:r w:rsidRPr="00E274C2">
        <w:t>unis et de la Jordanie et de présenter des rapports réguliers à ce sujet, y</w:t>
      </w:r>
      <w:r w:rsidR="008824C1" w:rsidRPr="00E274C2">
        <w:t> </w:t>
      </w:r>
      <w:r w:rsidRPr="00E274C2">
        <w:t>compris sur leurs incidences à l</w:t>
      </w:r>
      <w:r w:rsidR="00A27DFB" w:rsidRPr="00E274C2">
        <w:t>'</w:t>
      </w:r>
      <w:r w:rsidRPr="00E274C2">
        <w:t>échelle mondiale;</w:t>
      </w:r>
    </w:p>
    <w:p w14:paraId="2ED5614C" w14:textId="2B7886F2" w:rsidR="000E017A" w:rsidRDefault="009E7CD1" w:rsidP="0012338D">
      <w:r w:rsidRPr="00E274C2">
        <w:t>2</w:t>
      </w:r>
      <w:r w:rsidRPr="00E274C2">
        <w:tab/>
        <w:t>de procéder à une évaluation des incidences des attaques menées par l'Iran sur les services et l</w:t>
      </w:r>
      <w:r w:rsidR="00A27DFB" w:rsidRPr="00E274C2">
        <w:t>'</w:t>
      </w:r>
      <w:r w:rsidRPr="00E274C2">
        <w:t>infrastructure de télécommunication, y compris sur les programmes et activités de l</w:t>
      </w:r>
      <w:r w:rsidR="00A27DFB" w:rsidRPr="00E274C2">
        <w:t>'</w:t>
      </w:r>
      <w:r w:rsidRPr="00E274C2">
        <w:t>UIT, à Bahreïn, au Koweït, aux Émirats arabes unis et en Jordanie, et d</w:t>
      </w:r>
      <w:r w:rsidR="00A27DFB" w:rsidRPr="00E274C2">
        <w:t>'</w:t>
      </w:r>
      <w:r w:rsidRPr="00E274C2">
        <w:t>élaborer un rapport à ce sujet</w:t>
      </w:r>
      <w:r w:rsidR="000E017A">
        <w:t>;</w:t>
      </w:r>
    </w:p>
    <w:p w14:paraId="21A1D77E" w14:textId="03E1E710" w:rsidR="009E7CD1" w:rsidRPr="00E274C2" w:rsidRDefault="000E017A" w:rsidP="0012338D">
      <w:r>
        <w:t>3</w:t>
      </w:r>
      <w:r>
        <w:tab/>
      </w:r>
      <w:r w:rsidRPr="004E2F86">
        <w:t>de faire en sorte que des ressources financières et des ressources humaines suffisantes soient mobilisées, notamment au titre du budget interne et du Fonds pour le développement des technologies de l'information et de la communication, en vue de la mise en œuvre des actions proposées</w:t>
      </w:r>
      <w:r w:rsidR="009E7CD1" w:rsidRPr="00E274C2">
        <w:t>,</w:t>
      </w:r>
    </w:p>
    <w:p w14:paraId="58D4B14C" w14:textId="77777777" w:rsidR="009E7CD1" w:rsidRPr="00E274C2" w:rsidRDefault="009E7CD1" w:rsidP="0012338D">
      <w:pPr>
        <w:pStyle w:val="Call"/>
      </w:pPr>
      <w:r w:rsidRPr="00E274C2">
        <w:t>charge</w:t>
      </w:r>
      <w:r w:rsidRPr="00E274C2">
        <w:rPr>
          <w:iCs/>
        </w:rPr>
        <w:t xml:space="preserve"> la Secrétaire générale</w:t>
      </w:r>
    </w:p>
    <w:p w14:paraId="72A2971C" w14:textId="77777777" w:rsidR="009E7CD1" w:rsidRPr="00E274C2" w:rsidRDefault="009E7CD1" w:rsidP="0012338D">
      <w:r w:rsidRPr="00E274C2">
        <w:t>1</w:t>
      </w:r>
      <w:r w:rsidRPr="00E274C2">
        <w:tab/>
        <w:t xml:space="preserve">de coordonner les activités menées par les trois Secteurs de l'Union, conformément au </w:t>
      </w:r>
      <w:r w:rsidRPr="00E274C2">
        <w:rPr>
          <w:i/>
          <w:iCs/>
        </w:rPr>
        <w:t>décide</w:t>
      </w:r>
      <w:r w:rsidRPr="00E274C2">
        <w:t xml:space="preserve"> ci-dessus, afin de faire en sorte que l'action engagée par l'UIT en faveur des pays concernés soit la plus efficace possible;</w:t>
      </w:r>
    </w:p>
    <w:p w14:paraId="4ABD655B" w14:textId="1E96275B" w:rsidR="009E7CD1" w:rsidRPr="00E274C2" w:rsidRDefault="009E7CD1" w:rsidP="004E2F86">
      <w:pPr>
        <w:keepNext/>
        <w:keepLines/>
      </w:pPr>
      <w:r w:rsidRPr="00E274C2">
        <w:lastRenderedPageBreak/>
        <w:t>2</w:t>
      </w:r>
      <w:r w:rsidRPr="00E274C2">
        <w:tab/>
        <w:t>de présenter un rapport sur les incidences de ces attaques sur l</w:t>
      </w:r>
      <w:r w:rsidR="00A27DFB" w:rsidRPr="00E274C2">
        <w:t>'</w:t>
      </w:r>
      <w:r w:rsidRPr="00E274C2">
        <w:t xml:space="preserve">infrastructure </w:t>
      </w:r>
      <w:r w:rsidR="000E017A">
        <w:t>de télécommunication/</w:t>
      </w:r>
      <w:r w:rsidRPr="00E274C2">
        <w:t>TIC de Bahreïn, du Koweït, des Émirats arabes unis et de la Jordanie, comprenant une évaluation des dommages, à la Conférence de plénipotentiaires de 2027 et la séance finale du Conseil qui se tiendra le 7 novembre 2026, ainsi qu'aux réunions et conférences futures, selon qu</w:t>
      </w:r>
      <w:r w:rsidR="00A27DFB" w:rsidRPr="00E274C2">
        <w:t>'</w:t>
      </w:r>
      <w:r w:rsidRPr="00E274C2">
        <w:t>il conviendra.</w:t>
      </w:r>
    </w:p>
    <w:p w14:paraId="5307F28F" w14:textId="77777777" w:rsidR="00897553" w:rsidRPr="00E274C2" w:rsidRDefault="006A11AE" w:rsidP="002D2336">
      <w:pPr>
        <w:jc w:val="center"/>
      </w:pPr>
      <w:r w:rsidRPr="00E274C2">
        <w:t>______________</w:t>
      </w:r>
    </w:p>
    <w:sectPr w:rsidR="00897553" w:rsidRPr="00E274C2" w:rsidSect="009E7CD1">
      <w:footerReference w:type="default" r:id="rId17"/>
      <w:headerReference w:type="first" r:id="rId18"/>
      <w:footerReference w:type="first" r:id="rId19"/>
      <w:pgSz w:w="11907" w:h="16840" w:code="9"/>
      <w:pgMar w:top="1418" w:right="1418" w:bottom="1418" w:left="1418" w:header="720" w:footer="720"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BC720" w14:textId="77777777" w:rsidR="00B40F47" w:rsidRDefault="00B40F47">
      <w:r>
        <w:separator/>
      </w:r>
    </w:p>
  </w:endnote>
  <w:endnote w:type="continuationSeparator" w:id="0">
    <w:p w14:paraId="5690EA9E" w14:textId="77777777" w:rsidR="00B40F47" w:rsidRDefault="00B4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BE7D" w14:textId="3FE4F623" w:rsidR="00732045" w:rsidRDefault="00B40F47">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5035A4">
      <w:t>28.04.26</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7585C178" w14:textId="77777777" w:rsidTr="00E31DCE">
      <w:trPr>
        <w:jc w:val="center"/>
      </w:trPr>
      <w:tc>
        <w:tcPr>
          <w:tcW w:w="1803" w:type="dxa"/>
          <w:vAlign w:val="center"/>
        </w:tcPr>
        <w:p w14:paraId="55C87AD3" w14:textId="4462502A" w:rsidR="00A51849" w:rsidRDefault="00B40F47" w:rsidP="00A51849">
          <w:pPr>
            <w:pStyle w:val="Header"/>
            <w:jc w:val="left"/>
            <w:rPr>
              <w:noProof/>
            </w:rPr>
          </w:pPr>
          <w:r>
            <w:rPr>
              <w:noProof/>
            </w:rPr>
            <w:t>260</w:t>
          </w:r>
          <w:r w:rsidR="004E2F86">
            <w:rPr>
              <w:noProof/>
            </w:rPr>
            <w:t>1108</w:t>
          </w:r>
        </w:p>
      </w:tc>
      <w:tc>
        <w:tcPr>
          <w:tcW w:w="8261" w:type="dxa"/>
        </w:tcPr>
        <w:p w14:paraId="071CC387" w14:textId="0ED8BDD0"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9E7CD1">
            <w:rPr>
              <w:bCs/>
            </w:rPr>
            <w:t>95</w:t>
          </w:r>
          <w:r w:rsidR="004E2F86">
            <w:rPr>
              <w:bCs/>
            </w:rPr>
            <w:t>(Rév.1)</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275C17F9"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E555C5B" w14:textId="77777777" w:rsidTr="00E31DCE">
      <w:trPr>
        <w:jc w:val="center"/>
      </w:trPr>
      <w:tc>
        <w:tcPr>
          <w:tcW w:w="1803" w:type="dxa"/>
          <w:vAlign w:val="center"/>
        </w:tcPr>
        <w:p w14:paraId="27156043" w14:textId="77777777" w:rsidR="00A51849" w:rsidRPr="00FC6D7D" w:rsidRDefault="00E4448E" w:rsidP="00A51849">
          <w:pPr>
            <w:pStyle w:val="Header"/>
            <w:jc w:val="left"/>
            <w:rPr>
              <w:noProof/>
              <w:color w:val="0563C1"/>
            </w:rPr>
          </w:pPr>
          <w:hyperlink r:id="rId1" w:anchor="/fr" w:history="1">
            <w:r>
              <w:rPr>
                <w:rStyle w:val="Hyperlink"/>
              </w:rPr>
              <w:t>council.itu.int/2026</w:t>
            </w:r>
          </w:hyperlink>
        </w:p>
      </w:tc>
      <w:tc>
        <w:tcPr>
          <w:tcW w:w="8261" w:type="dxa"/>
        </w:tcPr>
        <w:p w14:paraId="7A1AB9C3" w14:textId="1BC4B905"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E4448E">
            <w:rPr>
              <w:bCs/>
            </w:rPr>
            <w:t>6</w:t>
          </w:r>
          <w:r w:rsidRPr="00623AE3">
            <w:rPr>
              <w:bCs/>
            </w:rPr>
            <w:t>/</w:t>
          </w:r>
          <w:r w:rsidR="002D6CF0">
            <w:rPr>
              <w:bCs/>
            </w:rPr>
            <w:t>95</w:t>
          </w:r>
          <w:r w:rsidR="004E2F86">
            <w:rPr>
              <w:bCs/>
            </w:rPr>
            <w:t>(Rév.1)</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5BC50C43" w14:textId="77777777" w:rsidR="00732045" w:rsidRPr="00A51849" w:rsidRDefault="00732045" w:rsidP="00FC6D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6"/>
      <w:gridCol w:w="8261"/>
    </w:tblGrid>
    <w:tr w:rsidR="008F6AD7" w:rsidRPr="00784011" w14:paraId="057F2780" w14:textId="77777777" w:rsidTr="007967D5">
      <w:trPr>
        <w:jc w:val="center"/>
      </w:trPr>
      <w:tc>
        <w:tcPr>
          <w:tcW w:w="1646" w:type="dxa"/>
          <w:vAlign w:val="center"/>
        </w:tcPr>
        <w:p w14:paraId="470C2794" w14:textId="1CF33264" w:rsidR="008F6AD7" w:rsidRDefault="008F6AD7" w:rsidP="00A51849">
          <w:pPr>
            <w:pStyle w:val="Header"/>
            <w:jc w:val="left"/>
            <w:rPr>
              <w:noProof/>
            </w:rPr>
          </w:pPr>
          <w:r>
            <w:rPr>
              <w:noProof/>
            </w:rPr>
            <w:t>260</w:t>
          </w:r>
          <w:r w:rsidR="004E2F86">
            <w:rPr>
              <w:noProof/>
            </w:rPr>
            <w:t>1108</w:t>
          </w:r>
        </w:p>
      </w:tc>
      <w:tc>
        <w:tcPr>
          <w:tcW w:w="8261" w:type="dxa"/>
        </w:tcPr>
        <w:p w14:paraId="38573AFF" w14:textId="7AEFEC8D" w:rsidR="008F6AD7" w:rsidRPr="00E06FD5" w:rsidRDefault="008F6AD7" w:rsidP="007967D5">
          <w:pPr>
            <w:pStyle w:val="Header"/>
            <w:tabs>
              <w:tab w:val="left" w:pos="7034"/>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E274C2">
            <w:rPr>
              <w:bCs/>
            </w:rPr>
            <w:t>95</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7A1B0B53" w14:textId="77777777" w:rsidR="008F6AD7" w:rsidRPr="00A51849" w:rsidRDefault="008F6AD7" w:rsidP="00FC6D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
      <w:gridCol w:w="8784"/>
    </w:tblGrid>
    <w:tr w:rsidR="00B40F47" w:rsidRPr="00784011" w14:paraId="08FE20A9" w14:textId="77777777" w:rsidTr="002D6CF0">
      <w:trPr>
        <w:jc w:val="center"/>
      </w:trPr>
      <w:tc>
        <w:tcPr>
          <w:tcW w:w="855" w:type="dxa"/>
          <w:vAlign w:val="center"/>
        </w:tcPr>
        <w:p w14:paraId="7CDE0421" w14:textId="688DD8DA" w:rsidR="00B40F47" w:rsidRPr="00FC6D7D" w:rsidRDefault="00B40F47" w:rsidP="00A51849">
          <w:pPr>
            <w:pStyle w:val="Header"/>
            <w:jc w:val="left"/>
            <w:rPr>
              <w:noProof/>
              <w:color w:val="0563C1"/>
            </w:rPr>
          </w:pPr>
          <w:r>
            <w:t>260</w:t>
          </w:r>
          <w:r w:rsidR="004E2F86">
            <w:t>1108</w:t>
          </w:r>
        </w:p>
      </w:tc>
      <w:tc>
        <w:tcPr>
          <w:tcW w:w="8784" w:type="dxa"/>
        </w:tcPr>
        <w:p w14:paraId="6C5160DE" w14:textId="5FA674A0" w:rsidR="00B40F47" w:rsidRPr="00E06FD5" w:rsidRDefault="00B40F47" w:rsidP="002D6CF0">
          <w:pPr>
            <w:pStyle w:val="Header"/>
            <w:tabs>
              <w:tab w:val="left" w:pos="7262"/>
              <w:tab w:val="right" w:pos="8505"/>
              <w:tab w:val="right" w:pos="9639"/>
            </w:tabs>
            <w:jc w:val="left"/>
            <w:rPr>
              <w:rFonts w:ascii="Arial" w:hAnsi="Arial" w:cs="Arial"/>
              <w:b/>
              <w:bCs/>
              <w:szCs w:val="18"/>
            </w:rPr>
          </w:pPr>
          <w:r>
            <w:rPr>
              <w:bCs/>
            </w:rPr>
            <w:tab/>
          </w:r>
          <w:r w:rsidRPr="00623AE3">
            <w:rPr>
              <w:bCs/>
            </w:rPr>
            <w:t>C</w:t>
          </w:r>
          <w:r>
            <w:rPr>
              <w:bCs/>
            </w:rPr>
            <w:t>26</w:t>
          </w:r>
          <w:r w:rsidRPr="00623AE3">
            <w:rPr>
              <w:bCs/>
            </w:rPr>
            <w:t>/</w:t>
          </w:r>
          <w:r w:rsidR="00E274C2">
            <w:rPr>
              <w:bCs/>
            </w:rPr>
            <w:t>95</w:t>
          </w:r>
          <w:r w:rsidRPr="00623AE3">
            <w:rPr>
              <w:bCs/>
            </w:rPr>
            <w:t>-</w:t>
          </w:r>
          <w:r>
            <w:rPr>
              <w:bCs/>
            </w:rPr>
            <w:t>F</w:t>
          </w:r>
          <w:r>
            <w:rPr>
              <w:bCs/>
            </w:rPr>
            <w:tab/>
          </w:r>
          <w:r>
            <w:fldChar w:fldCharType="begin"/>
          </w:r>
          <w:r>
            <w:instrText>PAGE</w:instrText>
          </w:r>
          <w:r>
            <w:fldChar w:fldCharType="separate"/>
          </w:r>
          <w:r>
            <w:t>1</w:t>
          </w:r>
          <w:r>
            <w:rPr>
              <w:noProof/>
            </w:rPr>
            <w:fldChar w:fldCharType="end"/>
          </w:r>
        </w:p>
      </w:tc>
    </w:tr>
  </w:tbl>
  <w:p w14:paraId="18379830" w14:textId="77777777" w:rsidR="00B40F47" w:rsidRPr="00A51849" w:rsidRDefault="00B40F47"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D5A44" w14:textId="77777777" w:rsidR="00B40F47" w:rsidRDefault="00B40F47">
      <w:r>
        <w:t>____________________</w:t>
      </w:r>
    </w:p>
  </w:footnote>
  <w:footnote w:type="continuationSeparator" w:id="0">
    <w:p w14:paraId="2AD5ADB7" w14:textId="77777777" w:rsidR="00B40F47" w:rsidRDefault="00B40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890E"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1840D6CC"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143F" w14:textId="77777777" w:rsidR="00A51849" w:rsidRPr="001342E0" w:rsidRDefault="001342E0" w:rsidP="001342E0">
    <w:pPr>
      <w:pStyle w:val="Header"/>
    </w:pPr>
    <w:r>
      <w:rPr>
        <w:noProof/>
      </w:rPr>
      <w:drawing>
        <wp:inline distT="0" distB="0" distL="0" distR="0" wp14:anchorId="5ED8E9FD" wp14:editId="1D4E8F16">
          <wp:extent cx="5760085"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89409" name="Picture 322889409"/>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ECC4" w14:textId="6CF31BF0" w:rsidR="00B40F47" w:rsidRPr="00EA1B9B" w:rsidRDefault="00B40F47" w:rsidP="00EA1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83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FC17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52E2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324F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EA3A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050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D0D2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22DA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4A9B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22DCA6"/>
    <w:lvl w:ilvl="0">
      <w:start w:val="1"/>
      <w:numFmt w:val="bullet"/>
      <w:lvlText w:val=""/>
      <w:lvlJc w:val="left"/>
      <w:pPr>
        <w:tabs>
          <w:tab w:val="num" w:pos="360"/>
        </w:tabs>
        <w:ind w:left="360" w:hanging="360"/>
      </w:pPr>
      <w:rPr>
        <w:rFonts w:ascii="Symbol" w:hAnsi="Symbol" w:hint="default"/>
      </w:rPr>
    </w:lvl>
  </w:abstractNum>
  <w:num w:numId="1" w16cid:durableId="1925335949">
    <w:abstractNumId w:val="9"/>
  </w:num>
  <w:num w:numId="2" w16cid:durableId="214005531">
    <w:abstractNumId w:val="7"/>
  </w:num>
  <w:num w:numId="3" w16cid:durableId="1945922870">
    <w:abstractNumId w:val="6"/>
  </w:num>
  <w:num w:numId="4" w16cid:durableId="245460669">
    <w:abstractNumId w:val="5"/>
  </w:num>
  <w:num w:numId="5" w16cid:durableId="1664776188">
    <w:abstractNumId w:val="4"/>
  </w:num>
  <w:num w:numId="6" w16cid:durableId="90202694">
    <w:abstractNumId w:val="8"/>
  </w:num>
  <w:num w:numId="7" w16cid:durableId="1017806200">
    <w:abstractNumId w:val="3"/>
  </w:num>
  <w:num w:numId="8" w16cid:durableId="1350523900">
    <w:abstractNumId w:val="2"/>
  </w:num>
  <w:num w:numId="9" w16cid:durableId="75446653">
    <w:abstractNumId w:val="1"/>
  </w:num>
  <w:num w:numId="10" w16cid:durableId="2036536724">
    <w:abstractNumId w:val="0"/>
  </w:num>
  <w:num w:numId="11" w16cid:durableId="325865168">
    <w:abstractNumId w:val="8"/>
  </w:num>
  <w:num w:numId="12" w16cid:durableId="757215886">
    <w:abstractNumId w:val="3"/>
  </w:num>
  <w:num w:numId="13" w16cid:durableId="1956905801">
    <w:abstractNumId w:val="2"/>
  </w:num>
  <w:num w:numId="14" w16cid:durableId="864488644">
    <w:abstractNumId w:val="1"/>
  </w:num>
  <w:num w:numId="15" w16cid:durableId="139932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F47"/>
    <w:rsid w:val="00025B8D"/>
    <w:rsid w:val="00076A2C"/>
    <w:rsid w:val="0008592F"/>
    <w:rsid w:val="000D0D0A"/>
    <w:rsid w:val="000E017A"/>
    <w:rsid w:val="000E6647"/>
    <w:rsid w:val="00103163"/>
    <w:rsid w:val="00106B19"/>
    <w:rsid w:val="001133EF"/>
    <w:rsid w:val="00115D93"/>
    <w:rsid w:val="0012338D"/>
    <w:rsid w:val="001247A8"/>
    <w:rsid w:val="001342E0"/>
    <w:rsid w:val="001370B2"/>
    <w:rsid w:val="001378C0"/>
    <w:rsid w:val="001658F9"/>
    <w:rsid w:val="00183438"/>
    <w:rsid w:val="0018694A"/>
    <w:rsid w:val="0019129B"/>
    <w:rsid w:val="001A0C5B"/>
    <w:rsid w:val="001A3287"/>
    <w:rsid w:val="001A6508"/>
    <w:rsid w:val="001D4C31"/>
    <w:rsid w:val="001E2D5A"/>
    <w:rsid w:val="001E4D21"/>
    <w:rsid w:val="00207CD1"/>
    <w:rsid w:val="00217D44"/>
    <w:rsid w:val="002258DB"/>
    <w:rsid w:val="00226657"/>
    <w:rsid w:val="002477A2"/>
    <w:rsid w:val="00263A51"/>
    <w:rsid w:val="00267E02"/>
    <w:rsid w:val="00271321"/>
    <w:rsid w:val="00277DEA"/>
    <w:rsid w:val="002A5D44"/>
    <w:rsid w:val="002C3F32"/>
    <w:rsid w:val="002C4E3D"/>
    <w:rsid w:val="002D2336"/>
    <w:rsid w:val="002D6CF0"/>
    <w:rsid w:val="002E0BC4"/>
    <w:rsid w:val="002F1B76"/>
    <w:rsid w:val="0033568E"/>
    <w:rsid w:val="00355FF5"/>
    <w:rsid w:val="00361350"/>
    <w:rsid w:val="003C3FAE"/>
    <w:rsid w:val="003C65BE"/>
    <w:rsid w:val="004038CB"/>
    <w:rsid w:val="0040546F"/>
    <w:rsid w:val="004177BD"/>
    <w:rsid w:val="00423563"/>
    <w:rsid w:val="0042404A"/>
    <w:rsid w:val="00445B53"/>
    <w:rsid w:val="0044618F"/>
    <w:rsid w:val="00465C35"/>
    <w:rsid w:val="0046769A"/>
    <w:rsid w:val="00475FB3"/>
    <w:rsid w:val="00493B7E"/>
    <w:rsid w:val="004C37A9"/>
    <w:rsid w:val="004D1D50"/>
    <w:rsid w:val="004E2F86"/>
    <w:rsid w:val="004F259E"/>
    <w:rsid w:val="004F633A"/>
    <w:rsid w:val="005035A4"/>
    <w:rsid w:val="00504C7F"/>
    <w:rsid w:val="00506749"/>
    <w:rsid w:val="00511F1D"/>
    <w:rsid w:val="00520F36"/>
    <w:rsid w:val="00524E8D"/>
    <w:rsid w:val="00534E13"/>
    <w:rsid w:val="00535D22"/>
    <w:rsid w:val="00540615"/>
    <w:rsid w:val="00540A6D"/>
    <w:rsid w:val="00553536"/>
    <w:rsid w:val="00566679"/>
    <w:rsid w:val="00571EEA"/>
    <w:rsid w:val="00575417"/>
    <w:rsid w:val="005768E1"/>
    <w:rsid w:val="005B1938"/>
    <w:rsid w:val="005C3890"/>
    <w:rsid w:val="005F7BFE"/>
    <w:rsid w:val="00600017"/>
    <w:rsid w:val="00602682"/>
    <w:rsid w:val="006235CA"/>
    <w:rsid w:val="0062366E"/>
    <w:rsid w:val="0065509F"/>
    <w:rsid w:val="006643AB"/>
    <w:rsid w:val="006A11AE"/>
    <w:rsid w:val="006B224B"/>
    <w:rsid w:val="006F0A53"/>
    <w:rsid w:val="0071402E"/>
    <w:rsid w:val="00714616"/>
    <w:rsid w:val="007210CD"/>
    <w:rsid w:val="00732045"/>
    <w:rsid w:val="0073275D"/>
    <w:rsid w:val="007369DB"/>
    <w:rsid w:val="0077110E"/>
    <w:rsid w:val="007843C9"/>
    <w:rsid w:val="007956C2"/>
    <w:rsid w:val="007967D5"/>
    <w:rsid w:val="00796BDB"/>
    <w:rsid w:val="007A187E"/>
    <w:rsid w:val="007B4517"/>
    <w:rsid w:val="007C72C2"/>
    <w:rsid w:val="007D4436"/>
    <w:rsid w:val="007F257A"/>
    <w:rsid w:val="007F3665"/>
    <w:rsid w:val="00800037"/>
    <w:rsid w:val="0082299A"/>
    <w:rsid w:val="0083391C"/>
    <w:rsid w:val="0084546D"/>
    <w:rsid w:val="00861D73"/>
    <w:rsid w:val="008824C1"/>
    <w:rsid w:val="00882919"/>
    <w:rsid w:val="008959F5"/>
    <w:rsid w:val="00897553"/>
    <w:rsid w:val="008A4E87"/>
    <w:rsid w:val="008B3842"/>
    <w:rsid w:val="008D76E6"/>
    <w:rsid w:val="008F6AD7"/>
    <w:rsid w:val="00904E54"/>
    <w:rsid w:val="0092392D"/>
    <w:rsid w:val="0093234A"/>
    <w:rsid w:val="00932991"/>
    <w:rsid w:val="00956A78"/>
    <w:rsid w:val="0097363B"/>
    <w:rsid w:val="00973F53"/>
    <w:rsid w:val="00981AB3"/>
    <w:rsid w:val="0098348E"/>
    <w:rsid w:val="00984D32"/>
    <w:rsid w:val="009A6BAA"/>
    <w:rsid w:val="009A76A8"/>
    <w:rsid w:val="009C1E7B"/>
    <w:rsid w:val="009C307F"/>
    <w:rsid w:val="009C353C"/>
    <w:rsid w:val="009D5955"/>
    <w:rsid w:val="009D5FAF"/>
    <w:rsid w:val="009E7CD1"/>
    <w:rsid w:val="009F0FB8"/>
    <w:rsid w:val="00A01F4F"/>
    <w:rsid w:val="00A109AF"/>
    <w:rsid w:val="00A125FB"/>
    <w:rsid w:val="00A2113E"/>
    <w:rsid w:val="00A23A51"/>
    <w:rsid w:val="00A24607"/>
    <w:rsid w:val="00A25CD3"/>
    <w:rsid w:val="00A27DFB"/>
    <w:rsid w:val="00A51849"/>
    <w:rsid w:val="00A64C9D"/>
    <w:rsid w:val="00A709FE"/>
    <w:rsid w:val="00A73C60"/>
    <w:rsid w:val="00A74D29"/>
    <w:rsid w:val="00A82767"/>
    <w:rsid w:val="00AA332F"/>
    <w:rsid w:val="00AA4105"/>
    <w:rsid w:val="00AA7BBB"/>
    <w:rsid w:val="00AB64A8"/>
    <w:rsid w:val="00AC0266"/>
    <w:rsid w:val="00AC0F1D"/>
    <w:rsid w:val="00AD24EC"/>
    <w:rsid w:val="00AD36EB"/>
    <w:rsid w:val="00B27B00"/>
    <w:rsid w:val="00B309F9"/>
    <w:rsid w:val="00B32B60"/>
    <w:rsid w:val="00B40F47"/>
    <w:rsid w:val="00B51005"/>
    <w:rsid w:val="00B61619"/>
    <w:rsid w:val="00BB38C1"/>
    <w:rsid w:val="00BB4545"/>
    <w:rsid w:val="00BB75C5"/>
    <w:rsid w:val="00BD5873"/>
    <w:rsid w:val="00BF4B60"/>
    <w:rsid w:val="00C049D7"/>
    <w:rsid w:val="00C04BE3"/>
    <w:rsid w:val="00C25D29"/>
    <w:rsid w:val="00C2625E"/>
    <w:rsid w:val="00C27A7C"/>
    <w:rsid w:val="00C41AF4"/>
    <w:rsid w:val="00C42437"/>
    <w:rsid w:val="00C67ADD"/>
    <w:rsid w:val="00C87096"/>
    <w:rsid w:val="00CA08ED"/>
    <w:rsid w:val="00CC6EAA"/>
    <w:rsid w:val="00CE5172"/>
    <w:rsid w:val="00CF0534"/>
    <w:rsid w:val="00CF183B"/>
    <w:rsid w:val="00D375CD"/>
    <w:rsid w:val="00D37B53"/>
    <w:rsid w:val="00D54F36"/>
    <w:rsid w:val="00D553A2"/>
    <w:rsid w:val="00D5721B"/>
    <w:rsid w:val="00D72F49"/>
    <w:rsid w:val="00D774D3"/>
    <w:rsid w:val="00D8598B"/>
    <w:rsid w:val="00D85C33"/>
    <w:rsid w:val="00D904E8"/>
    <w:rsid w:val="00D96E9C"/>
    <w:rsid w:val="00DA08C3"/>
    <w:rsid w:val="00DB5A3E"/>
    <w:rsid w:val="00DC22AA"/>
    <w:rsid w:val="00DD1A99"/>
    <w:rsid w:val="00DE62C6"/>
    <w:rsid w:val="00DF74DD"/>
    <w:rsid w:val="00E0342F"/>
    <w:rsid w:val="00E25AD0"/>
    <w:rsid w:val="00E274C2"/>
    <w:rsid w:val="00E4428F"/>
    <w:rsid w:val="00E4448E"/>
    <w:rsid w:val="00E47427"/>
    <w:rsid w:val="00E611F2"/>
    <w:rsid w:val="00E61300"/>
    <w:rsid w:val="00E723BB"/>
    <w:rsid w:val="00E730C6"/>
    <w:rsid w:val="00E806A2"/>
    <w:rsid w:val="00E93668"/>
    <w:rsid w:val="00E95647"/>
    <w:rsid w:val="00EA1B9B"/>
    <w:rsid w:val="00EB6350"/>
    <w:rsid w:val="00ED68BC"/>
    <w:rsid w:val="00ED799B"/>
    <w:rsid w:val="00F15B57"/>
    <w:rsid w:val="00F35EF4"/>
    <w:rsid w:val="00F37FE5"/>
    <w:rsid w:val="00F427DB"/>
    <w:rsid w:val="00FA5EB1"/>
    <w:rsid w:val="00FA7439"/>
    <w:rsid w:val="00FA77A9"/>
    <w:rsid w:val="00FC4EC0"/>
    <w:rsid w:val="00FC6D7D"/>
    <w:rsid w:val="00FC71E8"/>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F3285"/>
  <w15:docId w15:val="{79E02641-4D33-4113-83E0-545B8D059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ED799B"/>
    <w:pPr>
      <w:keepNext/>
      <w:keepLines/>
      <w:spacing w:before="360"/>
      <w:ind w:left="567" w:hanging="567"/>
      <w:outlineLvl w:val="0"/>
    </w:pPr>
    <w:rPr>
      <w:b/>
      <w:sz w:val="28"/>
    </w:rPr>
  </w:style>
  <w:style w:type="paragraph" w:styleId="Heading2">
    <w:name w:val="heading 2"/>
    <w:basedOn w:val="Heading1"/>
    <w:next w:val="Normal"/>
    <w:qFormat/>
    <w:rsid w:val="00ED799B"/>
    <w:pPr>
      <w:spacing w:before="200"/>
      <w:outlineLvl w:val="1"/>
    </w:pPr>
    <w:rPr>
      <w:sz w:val="24"/>
    </w:rPr>
  </w:style>
  <w:style w:type="paragraph" w:styleId="Heading3">
    <w:name w:val="heading 3"/>
    <w:basedOn w:val="Heading1"/>
    <w:next w:val="Normal"/>
    <w:qFormat/>
    <w:rsid w:val="00ED799B"/>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19129B"/>
  </w:style>
  <w:style w:type="paragraph" w:styleId="TOC3">
    <w:name w:val="toc 3"/>
    <w:basedOn w:val="TOC1"/>
    <w:next w:val="Normal"/>
    <w:rsid w:val="001658F9"/>
  </w:style>
  <w:style w:type="paragraph" w:styleId="TOC2">
    <w:name w:val="toc 2"/>
    <w:basedOn w:val="TOC1"/>
    <w:next w:val="Normal"/>
    <w:rsid w:val="001658F9"/>
    <w:pPr>
      <w:spacing w:before="160"/>
    </w:pPr>
  </w:style>
  <w:style w:type="paragraph" w:styleId="TOC1">
    <w:name w:val="toc 1"/>
    <w:basedOn w:val="Normal"/>
    <w:rsid w:val="001658F9"/>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19129B"/>
  </w:style>
  <w:style w:type="paragraph" w:styleId="TOC6">
    <w:name w:val="toc 6"/>
    <w:basedOn w:val="TOC5"/>
    <w:next w:val="Normal"/>
    <w:rsid w:val="0019129B"/>
  </w:style>
  <w:style w:type="paragraph" w:styleId="TOC5">
    <w:name w:val="toc 5"/>
    <w:basedOn w:val="TOC4"/>
    <w:next w:val="Normal"/>
    <w:rsid w:val="0019129B"/>
    <w:rPr>
      <w:lang w:val="fr-CH"/>
    </w:rPr>
  </w:style>
  <w:style w:type="paragraph" w:styleId="TOC4">
    <w:name w:val="toc 4"/>
    <w:basedOn w:val="TOC1"/>
    <w:next w:val="Normal"/>
    <w:rsid w:val="0019129B"/>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ED799B"/>
    <w:pPr>
      <w:keepLines/>
      <w:tabs>
        <w:tab w:val="left" w:pos="256"/>
      </w:tabs>
      <w:ind w:left="256" w:hanging="256"/>
    </w:pPr>
    <w:rPr>
      <w:sz w:val="22"/>
    </w:rPr>
  </w:style>
  <w:style w:type="paragraph" w:styleId="NormalIndent">
    <w:name w:val="Normal Indent"/>
    <w:basedOn w:val="Normal"/>
    <w:rsid w:val="00732045"/>
    <w:pPr>
      <w:ind w:left="567"/>
    </w:pPr>
  </w:style>
  <w:style w:type="paragraph" w:customStyle="1" w:styleId="enumlev1">
    <w:name w:val="enumlev1"/>
    <w:basedOn w:val="Normal"/>
    <w:qFormat/>
    <w:rsid w:val="009D5955"/>
    <w:pPr>
      <w:spacing w:before="80"/>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9D595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qFormat/>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ED799B"/>
    <w:pPr>
      <w:spacing w:before="160"/>
      <w:ind w:left="0" w:firstLine="0"/>
      <w:outlineLvl w:val="0"/>
    </w:pPr>
  </w:style>
  <w:style w:type="paragraph" w:customStyle="1" w:styleId="Title1">
    <w:name w:val="Title 1"/>
    <w:basedOn w:val="Normal"/>
    <w:next w:val="Normalaftertitle"/>
    <w:rsid w:val="0071402E"/>
    <w:pPr>
      <w:spacing w:before="360"/>
      <w:jc w:val="center"/>
    </w:pPr>
    <w:rPr>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71402E"/>
    <w:pPr>
      <w:spacing w:before="80"/>
    </w:pPr>
    <w:rPr>
      <w:sz w:val="22"/>
    </w:r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qFormat/>
    <w:rsid w:val="00BB38C1"/>
    <w:pPr>
      <w:keepNext/>
      <w:keepLines/>
      <w:spacing w:before="720"/>
      <w:jc w:val="center"/>
    </w:pPr>
    <w:rPr>
      <w:caps/>
      <w:sz w:val="28"/>
    </w:rPr>
  </w:style>
  <w:style w:type="paragraph" w:customStyle="1" w:styleId="Annexref">
    <w:name w:val="Annex_ref"/>
    <w:basedOn w:val="Normal"/>
    <w:next w:val="Annextitle"/>
    <w:rsid w:val="00BB38C1"/>
    <w:pPr>
      <w:keepNext/>
      <w:keepLines/>
      <w:jc w:val="center"/>
    </w:pPr>
    <w:rPr>
      <w:sz w:val="28"/>
    </w:rPr>
  </w:style>
  <w:style w:type="paragraph" w:customStyle="1" w:styleId="Annextitle">
    <w:name w:val="Annex_title"/>
    <w:basedOn w:val="Normal"/>
    <w:next w:val="Normalaftertitle"/>
    <w:qFormat/>
    <w:rsid w:val="00BB38C1"/>
    <w:pPr>
      <w:keepNext/>
      <w:keepLines/>
      <w:spacing w:before="240" w:after="240"/>
      <w:jc w:val="center"/>
    </w:pPr>
    <w:rPr>
      <w:b/>
      <w:sz w:val="28"/>
    </w:rPr>
  </w:style>
  <w:style w:type="paragraph" w:customStyle="1" w:styleId="AppendixNo">
    <w:name w:val="Appendix_No"/>
    <w:basedOn w:val="AnnexNo"/>
    <w:next w:val="Appendixref"/>
    <w:rsid w:val="00BB38C1"/>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aftertitle"/>
    <w:rsid w:val="00BB38C1"/>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BB38C1"/>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BB38C1"/>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aftertitle"/>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Normal"/>
    <w:rsid w:val="009D5955"/>
    <w:pPr>
      <w:spacing w:after="240"/>
      <w:jc w:val="center"/>
    </w:pPr>
  </w:style>
  <w:style w:type="paragraph" w:customStyle="1" w:styleId="Figurelegend">
    <w:name w:val="Figure_legend"/>
    <w:basedOn w:val="Normal"/>
    <w:next w:val="Normal"/>
    <w:rsid w:val="009D5955"/>
    <w:pPr>
      <w:spacing w:before="20" w:after="240"/>
    </w:pPr>
    <w:rPr>
      <w:sz w:val="18"/>
    </w:rPr>
  </w:style>
  <w:style w:type="paragraph" w:customStyle="1" w:styleId="TableNo">
    <w:name w:val="Table_No"/>
    <w:basedOn w:val="Normal"/>
    <w:next w:val="Tabletitle"/>
    <w:rsid w:val="0071402E"/>
    <w:pPr>
      <w:keepNext/>
      <w:keepLines/>
      <w:spacing w:before="480" w:after="120"/>
      <w:jc w:val="center"/>
    </w:pPr>
    <w:rPr>
      <w:caps/>
    </w:rPr>
  </w:style>
  <w:style w:type="paragraph" w:customStyle="1" w:styleId="Tabletitle">
    <w:name w:val="Table_title"/>
    <w:basedOn w:val="TableNo"/>
    <w:next w:val="Tabletext"/>
    <w:rsid w:val="0071402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9D5955"/>
    <w:pPr>
      <w:spacing w:before="120" w:after="0"/>
    </w:pPr>
  </w:style>
  <w:style w:type="paragraph" w:customStyle="1" w:styleId="Figurewithouttitle">
    <w:name w:val="Figure_without_title"/>
    <w:basedOn w:val="Figure"/>
    <w:next w:val="Normal"/>
    <w:rsid w:val="00ED799B"/>
  </w:style>
  <w:style w:type="paragraph" w:customStyle="1" w:styleId="Headingi">
    <w:name w:val="Heading_i"/>
    <w:basedOn w:val="Heading3"/>
    <w:next w:val="Normal"/>
    <w:rsid w:val="00ED799B"/>
    <w:pPr>
      <w:spacing w:before="160"/>
      <w:ind w:left="0" w:firstLine="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1402E"/>
    <w:pPr>
      <w:keepNext/>
      <w:keepLines/>
      <w:spacing w:before="720"/>
      <w:jc w:val="center"/>
    </w:pPr>
    <w:rPr>
      <w:caps/>
      <w:sz w:val="28"/>
    </w:rPr>
  </w:style>
  <w:style w:type="paragraph" w:customStyle="1" w:styleId="Rectitle">
    <w:name w:val="Rec_title"/>
    <w:basedOn w:val="Normal"/>
    <w:next w:val="Heading1"/>
    <w:rsid w:val="0071402E"/>
    <w:pPr>
      <w:keepNext/>
      <w:keepLines/>
      <w:jc w:val="center"/>
    </w:pPr>
    <w:rPr>
      <w:b/>
      <w:sz w:val="28"/>
    </w:rPr>
  </w:style>
  <w:style w:type="paragraph" w:customStyle="1" w:styleId="Recref">
    <w:name w:val="Rec_ref"/>
    <w:basedOn w:val="Rectitle"/>
    <w:next w:val="Recdate"/>
    <w:rsid w:val="005C3890"/>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71402E"/>
  </w:style>
  <w:style w:type="paragraph" w:customStyle="1" w:styleId="QuestionNo">
    <w:name w:val="Question_No"/>
    <w:basedOn w:val="RecNo"/>
    <w:next w:val="Questiontitle"/>
    <w:rsid w:val="0071402E"/>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71402E"/>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1402E"/>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71402E"/>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1402E"/>
    <w:pPr>
      <w:tabs>
        <w:tab w:val="clear" w:pos="1134"/>
        <w:tab w:val="clear" w:pos="1701"/>
        <w:tab w:val="clear" w:pos="2268"/>
        <w:tab w:val="clear" w:pos="2835"/>
        <w:tab w:val="left" w:pos="284"/>
        <w:tab w:val="left" w:pos="851"/>
      </w:tabs>
      <w:spacing w:before="40" w:after="40"/>
    </w:pPr>
    <w:rPr>
      <w:sz w:val="22"/>
    </w:rPr>
  </w:style>
  <w:style w:type="paragraph" w:customStyle="1" w:styleId="Tablehead">
    <w:name w:val="Table_head"/>
    <w:basedOn w:val="Tabletext"/>
    <w:rsid w:val="0071402E"/>
    <w:pPr>
      <w:keepNext/>
      <w:keepLines/>
      <w:spacing w:before="80" w:after="80"/>
      <w:jc w:val="center"/>
    </w:pPr>
    <w:rPr>
      <w:b/>
    </w:rPr>
  </w:style>
  <w:style w:type="paragraph" w:customStyle="1" w:styleId="Tablelegend">
    <w:name w:val="Table_legend"/>
    <w:basedOn w:val="Tabletext"/>
    <w:rsid w:val="0071402E"/>
    <w:pPr>
      <w:ind w:left="284" w:hanging="284"/>
    </w:pPr>
    <w:rPr>
      <w:sz w:val="20"/>
    </w:rPr>
  </w:style>
  <w:style w:type="paragraph" w:customStyle="1" w:styleId="Tableref">
    <w:name w:val="Table_ref"/>
    <w:basedOn w:val="Normal"/>
    <w:next w:val="Tabletitle"/>
    <w:rsid w:val="0071402E"/>
    <w:pPr>
      <w:keepNext/>
      <w:keepLines/>
      <w:jc w:val="center"/>
    </w:pPr>
    <w:rPr>
      <w:sz w:val="20"/>
    </w:rPr>
  </w:style>
  <w:style w:type="paragraph" w:customStyle="1" w:styleId="Title2">
    <w:name w:val="Title 2"/>
    <w:basedOn w:val="Title1"/>
    <w:next w:val="Normalaftertitle"/>
    <w:rsid w:val="006B224B"/>
    <w:pPr>
      <w:keepNext/>
      <w:keepLines/>
      <w:spacing w:before="240"/>
    </w:pPr>
    <w:rPr>
      <w:b/>
      <w:caps w:val="0"/>
    </w:rPr>
  </w:style>
  <w:style w:type="paragraph" w:customStyle="1" w:styleId="Title3">
    <w:name w:val="Title 3"/>
    <w:basedOn w:val="Title2"/>
    <w:next w:val="Normalaftertitle"/>
    <w:rsid w:val="006B224B"/>
    <w:rPr>
      <w:b w:val="0"/>
      <w:caps/>
    </w:rPr>
  </w:style>
  <w:style w:type="paragraph" w:customStyle="1" w:styleId="Title4">
    <w:name w:val="Title 4"/>
    <w:basedOn w:val="Annextitle"/>
    <w:next w:val="Normal"/>
    <w:rsid w:val="00CE5172"/>
    <w:pPr>
      <w:spacing w:after="120"/>
    </w:pPr>
    <w:rPr>
      <w:b w:val="0"/>
    </w:rPr>
  </w:style>
  <w:style w:type="paragraph" w:customStyle="1" w:styleId="FigureNo">
    <w:name w:val="Figure_No"/>
    <w:basedOn w:val="Normal"/>
    <w:next w:val="Figuretitle"/>
    <w:rsid w:val="009D5955"/>
    <w:pPr>
      <w:keepNext/>
      <w:keepLines/>
      <w:spacing w:before="48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Referencetext">
    <w:name w:val="Reference_text"/>
    <w:basedOn w:val="Normal"/>
    <w:rsid w:val="00CE5172"/>
    <w:pPr>
      <w:framePr w:hSpace="181" w:wrap="around" w:vAnchor="page" w:hAnchor="page" w:x="1589" w:y="2314"/>
      <w:spacing w:after="160"/>
    </w:pPr>
    <w:rPr>
      <w:i/>
      <w:iCs/>
      <w:sz w:val="22"/>
      <w:szCs w:val="22"/>
    </w:rPr>
  </w:style>
  <w:style w:type="paragraph" w:styleId="CommentText">
    <w:name w:val="annotation text"/>
    <w:basedOn w:val="Normal"/>
    <w:link w:val="CommentTextChar"/>
    <w:unhideWhenUsed/>
    <w:rsid w:val="009E7CD1"/>
    <w:rPr>
      <w:sz w:val="20"/>
      <w:lang w:val="en-GB"/>
    </w:rPr>
  </w:style>
  <w:style w:type="character" w:customStyle="1" w:styleId="CommentTextChar">
    <w:name w:val="Comment Text Char"/>
    <w:basedOn w:val="DefaultParagraphFont"/>
    <w:link w:val="CommentText"/>
    <w:rsid w:val="009E7CD1"/>
    <w:rPr>
      <w:rFonts w:ascii="Calibri" w:hAnsi="Calibri"/>
      <w:lang w:val="en-GB" w:eastAsia="en-US"/>
    </w:rPr>
  </w:style>
  <w:style w:type="character" w:styleId="CommentReference">
    <w:name w:val="annotation reference"/>
    <w:basedOn w:val="DefaultParagraphFont"/>
    <w:semiHidden/>
    <w:unhideWhenUsed/>
    <w:rsid w:val="009E7CD1"/>
    <w:rPr>
      <w:sz w:val="16"/>
      <w:szCs w:val="16"/>
    </w:rPr>
  </w:style>
  <w:style w:type="paragraph" w:styleId="CommentSubject">
    <w:name w:val="annotation subject"/>
    <w:basedOn w:val="CommentText"/>
    <w:next w:val="CommentText"/>
    <w:link w:val="CommentSubjectChar"/>
    <w:semiHidden/>
    <w:unhideWhenUsed/>
    <w:rsid w:val="00C67ADD"/>
    <w:rPr>
      <w:b/>
      <w:bCs/>
      <w:lang w:val="fr-FR"/>
    </w:rPr>
  </w:style>
  <w:style w:type="character" w:customStyle="1" w:styleId="CommentSubjectChar">
    <w:name w:val="Comment Subject Char"/>
    <w:basedOn w:val="CommentTextChar"/>
    <w:link w:val="CommentSubject"/>
    <w:semiHidden/>
    <w:rsid w:val="00C67ADD"/>
    <w:rPr>
      <w:rFonts w:ascii="Calibri" w:hAnsi="Calibri"/>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F.pdf"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81/f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u.int/en/council/Documents/basic-texts-2023/RES-136-F.pdf"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itu.int/en/council/Documents/basic-texts-2023/RES-130-F.pdf"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E556-1EEF-4D28-AB14-FF5409C12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PF_Council26</Template>
  <TotalTime>0</TotalTime>
  <Pages>8</Pages>
  <Words>2507</Words>
  <Characters>14116</Characters>
  <Application>Microsoft Office Word</Application>
  <DocSecurity>0</DocSecurity>
  <Lines>243</Lines>
  <Paragraphs>82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16541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multipays - Dommages subis par l'infrastructure civile des télécommunications/TIC à Bahreïn, au Koweït, aux Émirats arabes unis et en Jordanie, et incidences sur la connectivité régionale et mondiale</dc:title>
  <dc:subject>Conseil 2026 de l'UIT</dc:subject>
  <dc:creator>GBS</dc:creator>
  <cp:keywords>C26; C2026; Council 2026; PP26</cp:keywords>
  <dc:description/>
  <cp:lastModifiedBy>GBS</cp:lastModifiedBy>
  <cp:revision>2</cp:revision>
  <cp:lastPrinted>2000-07-18T08:55:00Z</cp:lastPrinted>
  <dcterms:created xsi:type="dcterms:W3CDTF">2026-04-28T14:40:00Z</dcterms:created>
  <dcterms:modified xsi:type="dcterms:W3CDTF">2026-04-28T14:40:00Z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