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E729A9" w14:paraId="0E0AEEFD" w14:textId="77777777" w:rsidTr="00C4421B">
        <w:trPr>
          <w:cantSplit/>
          <w:trHeight w:val="23"/>
        </w:trPr>
        <w:tc>
          <w:tcPr>
            <w:tcW w:w="3969" w:type="dxa"/>
            <w:vMerge w:val="restart"/>
            <w:tcMar>
              <w:left w:w="0" w:type="dxa"/>
            </w:tcMar>
          </w:tcPr>
          <w:p w14:paraId="69C4F809" w14:textId="0E5636C9" w:rsidR="00FE57F6" w:rsidRPr="00E729A9" w:rsidRDefault="00CC1FAF" w:rsidP="00C4421B">
            <w:pPr>
              <w:tabs>
                <w:tab w:val="left" w:pos="851"/>
              </w:tabs>
              <w:spacing w:before="0" w:line="240" w:lineRule="atLeast"/>
              <w:rPr>
                <w:b/>
                <w:lang w:val="es-ES"/>
              </w:rPr>
            </w:pPr>
            <w:bookmarkStart w:id="0" w:name="_Hlk133421839"/>
            <w:r w:rsidRPr="00E729A9">
              <w:rPr>
                <w:b/>
                <w:lang w:val="es-ES"/>
              </w:rPr>
              <w:t>Punto del o</w:t>
            </w:r>
            <w:r w:rsidR="00BB6FD8" w:rsidRPr="00E729A9">
              <w:rPr>
                <w:b/>
                <w:lang w:val="es-ES"/>
              </w:rPr>
              <w:t>rden del día</w:t>
            </w:r>
            <w:r w:rsidR="00FE57F6" w:rsidRPr="00E729A9">
              <w:rPr>
                <w:b/>
                <w:lang w:val="es-ES"/>
              </w:rPr>
              <w:t xml:space="preserve">: </w:t>
            </w:r>
            <w:r w:rsidR="00915795">
              <w:rPr>
                <w:b/>
                <w:lang w:val="es-ES"/>
              </w:rPr>
              <w:t>PL 1</w:t>
            </w:r>
          </w:p>
        </w:tc>
        <w:tc>
          <w:tcPr>
            <w:tcW w:w="5245" w:type="dxa"/>
          </w:tcPr>
          <w:p w14:paraId="446C6928" w14:textId="506499BC" w:rsidR="00FE57F6" w:rsidRPr="00E729A9" w:rsidRDefault="00FE57F6" w:rsidP="00C4421B">
            <w:pPr>
              <w:tabs>
                <w:tab w:val="left" w:pos="851"/>
              </w:tabs>
              <w:spacing w:before="0" w:line="240" w:lineRule="atLeast"/>
              <w:jc w:val="right"/>
              <w:rPr>
                <w:b/>
                <w:lang w:val="es-ES"/>
              </w:rPr>
            </w:pPr>
            <w:r w:rsidRPr="00E729A9">
              <w:rPr>
                <w:b/>
                <w:lang w:val="es-ES"/>
              </w:rPr>
              <w:t>Document</w:t>
            </w:r>
            <w:r w:rsidR="00F24B71" w:rsidRPr="00E729A9">
              <w:rPr>
                <w:b/>
                <w:lang w:val="es-ES"/>
              </w:rPr>
              <w:t>o</w:t>
            </w:r>
            <w:r w:rsidRPr="00E729A9">
              <w:rPr>
                <w:b/>
                <w:lang w:val="es-ES"/>
              </w:rPr>
              <w:t xml:space="preserve"> C2</w:t>
            </w:r>
            <w:r w:rsidR="00F85E5C" w:rsidRPr="00E729A9">
              <w:rPr>
                <w:b/>
                <w:lang w:val="es-ES"/>
              </w:rPr>
              <w:t>6</w:t>
            </w:r>
            <w:r w:rsidRPr="00E729A9">
              <w:rPr>
                <w:b/>
                <w:lang w:val="es-ES"/>
              </w:rPr>
              <w:t>/</w:t>
            </w:r>
            <w:r w:rsidR="00401CE0" w:rsidRPr="00E729A9">
              <w:rPr>
                <w:b/>
                <w:lang w:val="es-ES"/>
              </w:rPr>
              <w:t>95</w:t>
            </w:r>
            <w:r w:rsidRPr="00E729A9">
              <w:rPr>
                <w:b/>
                <w:lang w:val="es-ES"/>
              </w:rPr>
              <w:t>-</w:t>
            </w:r>
            <w:r w:rsidR="00F24B71" w:rsidRPr="00E729A9">
              <w:rPr>
                <w:b/>
                <w:lang w:val="es-ES"/>
              </w:rPr>
              <w:t>S</w:t>
            </w:r>
          </w:p>
        </w:tc>
      </w:tr>
      <w:tr w:rsidR="00FE57F6" w:rsidRPr="00E729A9" w14:paraId="02673F87" w14:textId="77777777" w:rsidTr="00C4421B">
        <w:trPr>
          <w:cantSplit/>
        </w:trPr>
        <w:tc>
          <w:tcPr>
            <w:tcW w:w="3969" w:type="dxa"/>
            <w:vMerge/>
          </w:tcPr>
          <w:p w14:paraId="547F1003" w14:textId="77777777" w:rsidR="00FE57F6" w:rsidRPr="00E729A9" w:rsidRDefault="00FE57F6" w:rsidP="00C4421B">
            <w:pPr>
              <w:tabs>
                <w:tab w:val="left" w:pos="851"/>
              </w:tabs>
              <w:spacing w:line="240" w:lineRule="atLeast"/>
              <w:rPr>
                <w:b/>
                <w:lang w:val="es-ES"/>
              </w:rPr>
            </w:pPr>
          </w:p>
        </w:tc>
        <w:tc>
          <w:tcPr>
            <w:tcW w:w="5245" w:type="dxa"/>
          </w:tcPr>
          <w:p w14:paraId="29963475" w14:textId="71B8ACE5" w:rsidR="00FE57F6" w:rsidRPr="00E729A9" w:rsidRDefault="00401CE0" w:rsidP="00C4421B">
            <w:pPr>
              <w:tabs>
                <w:tab w:val="left" w:pos="851"/>
              </w:tabs>
              <w:spacing w:before="0"/>
              <w:jc w:val="right"/>
              <w:rPr>
                <w:b/>
                <w:lang w:val="es-ES"/>
              </w:rPr>
            </w:pPr>
            <w:r w:rsidRPr="00E729A9">
              <w:rPr>
                <w:b/>
                <w:lang w:val="es-ES"/>
              </w:rPr>
              <w:t>14 de abril de 2026</w:t>
            </w:r>
          </w:p>
        </w:tc>
      </w:tr>
      <w:tr w:rsidR="00FE57F6" w:rsidRPr="00E729A9" w14:paraId="7F8DEFDE" w14:textId="77777777" w:rsidTr="00C4421B">
        <w:trPr>
          <w:cantSplit/>
          <w:trHeight w:val="23"/>
        </w:trPr>
        <w:tc>
          <w:tcPr>
            <w:tcW w:w="3969" w:type="dxa"/>
            <w:vMerge/>
          </w:tcPr>
          <w:p w14:paraId="4DFCDB69" w14:textId="77777777" w:rsidR="00FE57F6" w:rsidRPr="00E729A9" w:rsidRDefault="00FE57F6" w:rsidP="00C4421B">
            <w:pPr>
              <w:tabs>
                <w:tab w:val="left" w:pos="851"/>
              </w:tabs>
              <w:spacing w:line="240" w:lineRule="atLeast"/>
              <w:rPr>
                <w:b/>
                <w:lang w:val="es-ES"/>
              </w:rPr>
            </w:pPr>
          </w:p>
        </w:tc>
        <w:tc>
          <w:tcPr>
            <w:tcW w:w="5245" w:type="dxa"/>
          </w:tcPr>
          <w:p w14:paraId="787A1BEB" w14:textId="77777777" w:rsidR="00FE57F6" w:rsidRPr="00E729A9" w:rsidRDefault="00F24B71" w:rsidP="00C4421B">
            <w:pPr>
              <w:tabs>
                <w:tab w:val="left" w:pos="851"/>
              </w:tabs>
              <w:spacing w:before="0" w:line="240" w:lineRule="atLeast"/>
              <w:jc w:val="right"/>
              <w:rPr>
                <w:b/>
                <w:bCs/>
                <w:lang w:val="es-ES"/>
              </w:rPr>
            </w:pPr>
            <w:r w:rsidRPr="00E729A9">
              <w:rPr>
                <w:rFonts w:cstheme="minorHAnsi"/>
                <w:b/>
                <w:bCs/>
                <w:lang w:val="es-ES"/>
              </w:rPr>
              <w:t>Original: inglés</w:t>
            </w:r>
          </w:p>
        </w:tc>
      </w:tr>
      <w:tr w:rsidR="00FE57F6" w:rsidRPr="00E729A9" w14:paraId="30EF26E8" w14:textId="77777777" w:rsidTr="00C4421B">
        <w:trPr>
          <w:cantSplit/>
          <w:trHeight w:val="23"/>
        </w:trPr>
        <w:tc>
          <w:tcPr>
            <w:tcW w:w="3969" w:type="dxa"/>
          </w:tcPr>
          <w:p w14:paraId="03380E44" w14:textId="77777777" w:rsidR="00FE57F6" w:rsidRPr="00E729A9" w:rsidRDefault="00FE57F6" w:rsidP="00C4421B">
            <w:pPr>
              <w:tabs>
                <w:tab w:val="left" w:pos="851"/>
              </w:tabs>
              <w:spacing w:line="240" w:lineRule="atLeast"/>
              <w:rPr>
                <w:b/>
                <w:lang w:val="es-ES"/>
              </w:rPr>
            </w:pPr>
          </w:p>
        </w:tc>
        <w:tc>
          <w:tcPr>
            <w:tcW w:w="5245" w:type="dxa"/>
          </w:tcPr>
          <w:p w14:paraId="1887E880" w14:textId="77777777" w:rsidR="00FE57F6" w:rsidRPr="00E729A9" w:rsidRDefault="00FE57F6" w:rsidP="00C4421B">
            <w:pPr>
              <w:tabs>
                <w:tab w:val="left" w:pos="851"/>
              </w:tabs>
              <w:spacing w:before="0" w:line="240" w:lineRule="atLeast"/>
              <w:jc w:val="right"/>
              <w:rPr>
                <w:b/>
                <w:lang w:val="es-ES"/>
              </w:rPr>
            </w:pPr>
          </w:p>
        </w:tc>
      </w:tr>
      <w:tr w:rsidR="00FE57F6" w:rsidRPr="00E729A9" w14:paraId="614B96F1" w14:textId="77777777" w:rsidTr="00C4421B">
        <w:trPr>
          <w:cantSplit/>
        </w:trPr>
        <w:tc>
          <w:tcPr>
            <w:tcW w:w="9214" w:type="dxa"/>
            <w:gridSpan w:val="2"/>
            <w:tcMar>
              <w:left w:w="0" w:type="dxa"/>
            </w:tcMar>
          </w:tcPr>
          <w:p w14:paraId="61B469CC" w14:textId="7B7D189A" w:rsidR="00FE57F6" w:rsidRPr="00E729A9" w:rsidRDefault="00401CE0" w:rsidP="00915795">
            <w:pPr>
              <w:pStyle w:val="Source"/>
              <w:jc w:val="both"/>
              <w:rPr>
                <w:sz w:val="34"/>
                <w:szCs w:val="34"/>
                <w:lang w:val="es-ES"/>
              </w:rPr>
            </w:pPr>
            <w:r w:rsidRPr="00E729A9">
              <w:rPr>
                <w:rFonts w:cstheme="minorHAnsi"/>
                <w:bCs/>
                <w:sz w:val="34"/>
                <w:szCs w:val="34"/>
                <w:lang w:val="es-ES"/>
              </w:rPr>
              <w:t>Contribución de los Emiratos Árabes Unidos, Arabia Saudita (Reino de), Bahrein (Reino de), Jordania (Reino Hachemita de), Kuwait (Estado de), Omán (Sultanía de) y Qatar (Estado de)</w:t>
            </w:r>
          </w:p>
        </w:tc>
      </w:tr>
      <w:tr w:rsidR="00FE57F6" w:rsidRPr="00E729A9" w14:paraId="5E7AD9EB" w14:textId="77777777" w:rsidTr="00C4421B">
        <w:trPr>
          <w:cantSplit/>
        </w:trPr>
        <w:tc>
          <w:tcPr>
            <w:tcW w:w="9214" w:type="dxa"/>
            <w:gridSpan w:val="2"/>
            <w:tcMar>
              <w:left w:w="0" w:type="dxa"/>
            </w:tcMar>
          </w:tcPr>
          <w:p w14:paraId="2BEA819B" w14:textId="07AC52B8" w:rsidR="00FE57F6" w:rsidRPr="00E729A9" w:rsidRDefault="00401CE0" w:rsidP="00915795">
            <w:pPr>
              <w:pStyle w:val="Subtitle"/>
              <w:framePr w:hSpace="0" w:wrap="auto" w:hAnchor="text" w:xAlign="left" w:yAlign="inline"/>
              <w:jc w:val="both"/>
              <w:rPr>
                <w:lang w:val="es-ES"/>
              </w:rPr>
            </w:pPr>
            <w:r w:rsidRPr="00E729A9">
              <w:rPr>
                <w:lang w:val="es-ES"/>
              </w:rPr>
              <w:t>REPERCUSIONES SOBRE LA INFRAESTRUCTURA CIVIL DE TELECOMUNICACIONES/TIC DE BAHREIN, KUWAIT, QATAR, EMIRATOS ÁRABES UNIDOS Y JORDANIA, Y SUS REPERCUSIONES SOBRE LA CONECTIVIDAD REGIONAL Y MUNDIAL</w:t>
            </w:r>
          </w:p>
        </w:tc>
      </w:tr>
      <w:tr w:rsidR="00FE57F6" w:rsidRPr="00E729A9" w14:paraId="156654BC" w14:textId="77777777" w:rsidTr="00C4421B">
        <w:trPr>
          <w:cantSplit/>
        </w:trPr>
        <w:tc>
          <w:tcPr>
            <w:tcW w:w="9214" w:type="dxa"/>
            <w:gridSpan w:val="2"/>
            <w:tcBorders>
              <w:top w:val="single" w:sz="4" w:space="0" w:color="auto"/>
              <w:bottom w:val="single" w:sz="4" w:space="0" w:color="auto"/>
            </w:tcBorders>
            <w:tcMar>
              <w:left w:w="0" w:type="dxa"/>
            </w:tcMar>
          </w:tcPr>
          <w:p w14:paraId="2A06F892" w14:textId="77777777" w:rsidR="00FE57F6" w:rsidRPr="00E729A9" w:rsidRDefault="00F24B71" w:rsidP="00C4421B">
            <w:pPr>
              <w:spacing w:before="160"/>
              <w:rPr>
                <w:b/>
                <w:bCs/>
                <w:sz w:val="26"/>
                <w:szCs w:val="26"/>
                <w:lang w:val="es-ES"/>
              </w:rPr>
            </w:pPr>
            <w:r w:rsidRPr="00E729A9">
              <w:rPr>
                <w:b/>
                <w:bCs/>
                <w:sz w:val="26"/>
                <w:szCs w:val="26"/>
                <w:lang w:val="es-ES"/>
              </w:rPr>
              <w:t>Finalidad</w:t>
            </w:r>
          </w:p>
          <w:p w14:paraId="687AB79A" w14:textId="24ABB428" w:rsidR="00FE57F6" w:rsidRPr="00E729A9" w:rsidRDefault="00401CE0" w:rsidP="00915795">
            <w:pPr>
              <w:jc w:val="both"/>
              <w:rPr>
                <w:lang w:val="es-ES"/>
              </w:rPr>
            </w:pPr>
            <w:r w:rsidRPr="00E729A9">
              <w:rPr>
                <w:color w:val="000000"/>
                <w:lang w:val="es-ES"/>
              </w:rPr>
              <w:t>La presente contribución, presentada en nombre de los seis Estados Miembros del Consejo de Cooperación para los Estados Árabes del Golfo (CCG) (Bahrein, Kuwait, Omán, Qatar, Arabia Saudita, Emiratos Árabes Unidos) y Jordania, llama la atención del Consejo sobre los ataques ilícitos y deliberados contra la infraestructura civil de TIC en Bahrein, Kuwait, Qatar, Emiratos Árabes Unidos y Jordania desde febrero de 2026 por parte de Irán. Los Estados Miembros del CCG y Jordania respaldan colectivamente las propuestas de los Emiratos Árabes Unidos, incluido el proyecto de Resolución del Consejo sobre las repercusiones en la infraestructura civil de telecomunicaciones/TIC de Bahrein, Kuwait, Qatar, Emiratos Árabes Unidos y Jordania, y sus consecuencias para la conectividad regional y mundial.</w:t>
            </w:r>
          </w:p>
          <w:p w14:paraId="46E2827C" w14:textId="77777777" w:rsidR="00FE57F6" w:rsidRPr="00E729A9" w:rsidRDefault="00F24B71" w:rsidP="00915795">
            <w:pPr>
              <w:spacing w:before="160"/>
              <w:jc w:val="both"/>
              <w:rPr>
                <w:b/>
                <w:bCs/>
                <w:sz w:val="26"/>
                <w:szCs w:val="26"/>
                <w:lang w:val="es-ES"/>
              </w:rPr>
            </w:pPr>
            <w:r w:rsidRPr="00E729A9">
              <w:rPr>
                <w:b/>
                <w:bCs/>
                <w:sz w:val="26"/>
                <w:szCs w:val="26"/>
                <w:lang w:val="es-ES"/>
              </w:rPr>
              <w:t xml:space="preserve">Acción solicitada </w:t>
            </w:r>
            <w:r w:rsidR="00677A97" w:rsidRPr="00E729A9">
              <w:rPr>
                <w:b/>
                <w:bCs/>
                <w:sz w:val="26"/>
                <w:szCs w:val="26"/>
                <w:lang w:val="es-ES"/>
              </w:rPr>
              <w:t>al</w:t>
            </w:r>
            <w:r w:rsidRPr="00E729A9">
              <w:rPr>
                <w:b/>
                <w:bCs/>
                <w:sz w:val="26"/>
                <w:szCs w:val="26"/>
                <w:lang w:val="es-ES"/>
              </w:rPr>
              <w:t xml:space="preserve"> Consejo</w:t>
            </w:r>
          </w:p>
          <w:p w14:paraId="7AB4AC54" w14:textId="2CF1C1E0" w:rsidR="00F92BED" w:rsidRPr="00E729A9" w:rsidRDefault="00401CE0" w:rsidP="00915795">
            <w:pPr>
              <w:spacing w:before="160"/>
              <w:jc w:val="both"/>
              <w:rPr>
                <w:szCs w:val="24"/>
                <w:lang w:val="es-ES"/>
              </w:rPr>
            </w:pPr>
            <w:r w:rsidRPr="00E729A9">
              <w:rPr>
                <w:color w:val="000000"/>
                <w:lang w:val="es-ES"/>
              </w:rPr>
              <w:t xml:space="preserve">Se invita al Consejo a </w:t>
            </w:r>
            <w:r w:rsidRPr="00E729A9">
              <w:rPr>
                <w:b/>
                <w:bCs/>
                <w:color w:val="000000"/>
                <w:lang w:val="es-ES"/>
              </w:rPr>
              <w:t>examinar</w:t>
            </w:r>
            <w:r w:rsidRPr="00E729A9">
              <w:rPr>
                <w:color w:val="000000"/>
                <w:lang w:val="es-ES"/>
              </w:rPr>
              <w:t xml:space="preserve"> la presente contribución y a </w:t>
            </w:r>
            <w:r w:rsidRPr="00E729A9">
              <w:rPr>
                <w:b/>
                <w:bCs/>
                <w:color w:val="000000"/>
                <w:lang w:val="es-ES"/>
              </w:rPr>
              <w:t>apoyar</w:t>
            </w:r>
            <w:r w:rsidRPr="00E729A9">
              <w:rPr>
                <w:color w:val="000000"/>
                <w:lang w:val="es-ES"/>
              </w:rPr>
              <w:t xml:space="preserve"> la adopción del proyecto de Resolución del Consejo propuesto por Emiratos Árabes Unidos en nombre de los Estados Miembros del CCG y Jordania.</w:t>
            </w:r>
          </w:p>
          <w:p w14:paraId="1474F007" w14:textId="77777777" w:rsidR="00FE57F6" w:rsidRPr="00E729A9" w:rsidRDefault="00FE57F6" w:rsidP="00C4421B">
            <w:pPr>
              <w:spacing w:before="160"/>
              <w:rPr>
                <w:caps/>
                <w:sz w:val="22"/>
                <w:lang w:val="es-ES"/>
              </w:rPr>
            </w:pPr>
            <w:r w:rsidRPr="00E729A9">
              <w:rPr>
                <w:sz w:val="22"/>
                <w:lang w:val="es-ES"/>
              </w:rPr>
              <w:t>__________________</w:t>
            </w:r>
          </w:p>
          <w:p w14:paraId="6528E886" w14:textId="231FD3AF" w:rsidR="00FE57F6" w:rsidRPr="00E729A9" w:rsidRDefault="00F24B71" w:rsidP="00C4421B">
            <w:pPr>
              <w:spacing w:before="160"/>
              <w:rPr>
                <w:b/>
                <w:bCs/>
                <w:sz w:val="26"/>
                <w:szCs w:val="26"/>
                <w:lang w:val="es-ES"/>
              </w:rPr>
            </w:pPr>
            <w:r w:rsidRPr="00E729A9">
              <w:rPr>
                <w:b/>
                <w:bCs/>
                <w:sz w:val="26"/>
                <w:szCs w:val="26"/>
                <w:lang w:val="es-ES"/>
              </w:rPr>
              <w:t>Referencia</w:t>
            </w:r>
            <w:r w:rsidR="00F92BED" w:rsidRPr="00E729A9">
              <w:rPr>
                <w:b/>
                <w:bCs/>
                <w:sz w:val="26"/>
                <w:szCs w:val="26"/>
                <w:lang w:val="es-ES"/>
              </w:rPr>
              <w:t>s</w:t>
            </w:r>
          </w:p>
          <w:p w14:paraId="6D6D4E6B" w14:textId="04794DE0" w:rsidR="00FE57F6" w:rsidRPr="00E729A9" w:rsidRDefault="00401CE0" w:rsidP="00915795">
            <w:pPr>
              <w:spacing w:after="160"/>
              <w:jc w:val="both"/>
              <w:rPr>
                <w:i/>
                <w:iCs/>
                <w:sz w:val="22"/>
                <w:szCs w:val="22"/>
                <w:lang w:val="es-ES"/>
              </w:rPr>
            </w:pPr>
            <w:hyperlink r:id="rId6" w:history="1">
              <w:r w:rsidRPr="00E729A9">
                <w:rPr>
                  <w:rStyle w:val="Hyperlink"/>
                  <w:rFonts w:eastAsia="Times New Roman" w:cs="Times New Roman"/>
                  <w:i/>
                  <w:iCs/>
                  <w:sz w:val="22"/>
                  <w:lang w:val="es-ES"/>
                </w:rPr>
                <w:t>Preámbulo, Artículos 1, 38 y 45 de la Constitución de la UIT</w:t>
              </w:r>
            </w:hyperlink>
            <w:r w:rsidRPr="00E729A9">
              <w:rPr>
                <w:i/>
                <w:iCs/>
                <w:sz w:val="22"/>
                <w:szCs w:val="22"/>
                <w:lang w:val="es-ES"/>
              </w:rPr>
              <w:t xml:space="preserve">; Resoluciones </w:t>
            </w:r>
            <w:hyperlink r:id="rId7" w:history="1">
              <w:r w:rsidRPr="00E729A9">
                <w:rPr>
                  <w:rStyle w:val="Hyperlink"/>
                  <w:rFonts w:eastAsia="Times New Roman" w:cs="Times New Roman"/>
                  <w:i/>
                  <w:iCs/>
                  <w:sz w:val="22"/>
                  <w:lang w:val="es-ES"/>
                </w:rPr>
                <w:t>130 (Rev. Bucarest, 2022)</w:t>
              </w:r>
            </w:hyperlink>
            <w:r w:rsidRPr="00E729A9">
              <w:rPr>
                <w:i/>
                <w:iCs/>
                <w:sz w:val="22"/>
                <w:szCs w:val="22"/>
                <w:lang w:val="es-ES"/>
              </w:rPr>
              <w:t xml:space="preserve"> y </w:t>
            </w:r>
            <w:hyperlink r:id="rId8" w:history="1">
              <w:r w:rsidRPr="00E729A9">
                <w:rPr>
                  <w:rStyle w:val="Hyperlink"/>
                  <w:rFonts w:eastAsia="Times New Roman" w:cs="Times New Roman"/>
                  <w:i/>
                  <w:iCs/>
                  <w:sz w:val="22"/>
                  <w:lang w:val="es-ES"/>
                </w:rPr>
                <w:t>136 (Rev. Bucarest, 2022)</w:t>
              </w:r>
            </w:hyperlink>
            <w:r w:rsidRPr="00E729A9">
              <w:rPr>
                <w:i/>
                <w:iCs/>
                <w:sz w:val="22"/>
                <w:szCs w:val="22"/>
                <w:lang w:val="es-ES"/>
              </w:rPr>
              <w:t xml:space="preserve"> de la Conferencia de Plenipotenciarios; Declaración de la CMDT-25 sobre la protección de las redes y servicios públicos de telecomunicaciones durante los conflictos armados y las catástrofes; Órgano Consultivo Internacional UIT/CIPC sobre resiliencia de los cables submarinos (Documento </w:t>
            </w:r>
            <w:hyperlink r:id="rId9" w:history="1">
              <w:r w:rsidRPr="00E729A9">
                <w:rPr>
                  <w:rStyle w:val="Hyperlink"/>
                  <w:rFonts w:eastAsia="Times New Roman" w:cs="Times New Roman"/>
                  <w:i/>
                  <w:iCs/>
                  <w:sz w:val="22"/>
                  <w:lang w:val="es-ES"/>
                </w:rPr>
                <w:t>C25/81</w:t>
              </w:r>
            </w:hyperlink>
            <w:r w:rsidRPr="00E729A9">
              <w:rPr>
                <w:i/>
                <w:iCs/>
                <w:sz w:val="22"/>
                <w:szCs w:val="22"/>
                <w:lang w:val="es-ES"/>
              </w:rPr>
              <w:t xml:space="preserve"> del Consejo); Resolución 2817 (2026) del Consejo de Seguridad de las Naciones Unidas; Resolución 60/9 del Consejo de Derechos Humanos.</w:t>
            </w:r>
          </w:p>
        </w:tc>
      </w:tr>
    </w:tbl>
    <w:bookmarkEnd w:id="0"/>
    <w:p w14:paraId="1787F638" w14:textId="44E98504" w:rsidR="00401CE0" w:rsidRPr="00E729A9" w:rsidRDefault="00401CE0" w:rsidP="00915795">
      <w:pPr>
        <w:pStyle w:val="Heading1"/>
        <w:jc w:val="both"/>
        <w:rPr>
          <w:rFonts w:asciiTheme="minorHAnsi" w:hAnsiTheme="minorHAnsi" w:cstheme="minorHAnsi"/>
          <w:lang w:val="es-ES"/>
        </w:rPr>
      </w:pPr>
      <w:r w:rsidRPr="00E729A9">
        <w:rPr>
          <w:lang w:val="es-ES"/>
        </w:rPr>
        <w:lastRenderedPageBreak/>
        <w:t>1</w:t>
      </w:r>
      <w:r w:rsidRPr="00E729A9">
        <w:rPr>
          <w:lang w:val="es-ES"/>
        </w:rPr>
        <w:tab/>
        <w:t>Introducción</w:t>
      </w:r>
    </w:p>
    <w:p w14:paraId="55FD81A8" w14:textId="77777777" w:rsidR="00401CE0" w:rsidRPr="00E729A9" w:rsidRDefault="00401CE0" w:rsidP="00915795">
      <w:pPr>
        <w:jc w:val="both"/>
        <w:rPr>
          <w:rFonts w:asciiTheme="minorHAnsi" w:hAnsiTheme="minorHAnsi" w:cstheme="minorHAnsi"/>
          <w:lang w:val="es-ES"/>
        </w:rPr>
      </w:pPr>
      <w:r w:rsidRPr="00E729A9">
        <w:rPr>
          <w:lang w:val="es-ES"/>
        </w:rPr>
        <w:t>1.1</w:t>
      </w:r>
      <w:r w:rsidRPr="00E729A9">
        <w:rPr>
          <w:lang w:val="es-ES"/>
        </w:rPr>
        <w:tab/>
        <w:t>El Consejo de Cooperación para los Estados Árabes del Golfo (CCG), que comprende Bahrein, Kuwait, Omán, Qatar, Arabia Saudita y los Emiratos Árabes Unidos, y Jordania, representa una región de importancia fundamental para las telecomunicaciones mundiales. Además, la región del Golfo alberga importantes puntos de aterraje de cables submarinos, agrupaciones de centros de datos y estaciones en tierra de satélites, y actúa como corredor de tránsito para el tráfico internacional de datos que enlaza Europa, África y Asia.</w:t>
      </w:r>
    </w:p>
    <w:p w14:paraId="7963F686" w14:textId="1868B26E" w:rsidR="00401CE0" w:rsidRPr="00E729A9" w:rsidRDefault="00401CE0" w:rsidP="00915795">
      <w:pPr>
        <w:jc w:val="both"/>
        <w:rPr>
          <w:rFonts w:asciiTheme="minorHAnsi" w:hAnsiTheme="minorHAnsi" w:cstheme="minorHAnsi"/>
          <w:lang w:val="es-ES"/>
        </w:rPr>
      </w:pPr>
      <w:r w:rsidRPr="00E729A9">
        <w:rPr>
          <w:lang w:val="es-ES"/>
        </w:rPr>
        <w:t>1.2</w:t>
      </w:r>
      <w:r w:rsidRPr="00E729A9">
        <w:rPr>
          <w:lang w:val="es-ES"/>
        </w:rPr>
        <w:tab/>
        <w:t>Los Estados Miembros del CCG y Jordania observan que el Consejo de Seguridad de las Naciones Unidas, en su Resolución 2817 (2026), adoptada el 11 de marzo de 2026, ha condenado en los términos más enérgicos los atroces ataques perpetrado</w:t>
      </w:r>
      <w:r w:rsidR="00CD10D8" w:rsidRPr="00E729A9">
        <w:rPr>
          <w:lang w:val="es-ES"/>
        </w:rPr>
        <w:t>s</w:t>
      </w:r>
      <w:r w:rsidRPr="00E729A9">
        <w:rPr>
          <w:lang w:val="es-ES"/>
        </w:rPr>
        <w:t xml:space="preserve"> por Irán contra los territorios de los Estados Miembros del CCG y Jordania, ha deplorado deliberadamente la infraestructura civil crítica, ha exigido el cese inmediato de todos los ataques y amenazas y ha condenado toda acción o amenaza de Irán destinada a cerrar, obstaculizar o interferir de cualquier otra manera con la navegación internacional por el Estrecho de Ormuz.</w:t>
      </w:r>
    </w:p>
    <w:p w14:paraId="0AF5737C" w14:textId="77777777" w:rsidR="00401CE0" w:rsidRPr="00E729A9" w:rsidRDefault="00401CE0" w:rsidP="00915795">
      <w:pPr>
        <w:jc w:val="both"/>
        <w:rPr>
          <w:rFonts w:asciiTheme="minorHAnsi" w:hAnsiTheme="minorHAnsi" w:cstheme="minorHAnsi"/>
          <w:lang w:val="es-ES"/>
        </w:rPr>
      </w:pPr>
      <w:r w:rsidRPr="00E729A9">
        <w:rPr>
          <w:lang w:val="es-ES"/>
        </w:rPr>
        <w:t>1.3</w:t>
      </w:r>
      <w:r w:rsidRPr="00E729A9">
        <w:rPr>
          <w:lang w:val="es-ES"/>
        </w:rPr>
        <w:tab/>
        <w:t>Los Estados Miembros del CCG y Jordania observan además que en la Resolución 61/1 del Consejo de Derechos Humanos, adoptada por consenso el 25 de marzo de 2026, se condenan todas las violaciones del derecho internacional, incluido el derecho internacional humanitario y el derecho internacional de los derechos humanos, resultantes de los ataques de Irán, en particular los dirigidos contra civiles y bienes de carácter civil, al tiempo que se exige a Irán que cumpla plenamente, una reparación efectiva y rápida a todas las víctimas por los daños y perjuicios causados por sus ataques.</w:t>
      </w:r>
    </w:p>
    <w:p w14:paraId="055C18D1" w14:textId="77777777" w:rsidR="00401CE0" w:rsidRPr="00E729A9" w:rsidRDefault="00401CE0" w:rsidP="00915795">
      <w:pPr>
        <w:jc w:val="both"/>
        <w:rPr>
          <w:rFonts w:asciiTheme="minorHAnsi" w:hAnsiTheme="minorHAnsi" w:cstheme="minorHAnsi"/>
          <w:lang w:val="es-ES"/>
        </w:rPr>
      </w:pPr>
      <w:r w:rsidRPr="00E729A9">
        <w:rPr>
          <w:lang w:val="es-ES"/>
        </w:rPr>
        <w:t>1.4</w:t>
      </w:r>
      <w:r w:rsidRPr="00E729A9">
        <w:rPr>
          <w:lang w:val="es-ES"/>
        </w:rPr>
        <w:tab/>
        <w:t>La posición de los Estados Miembros del CCG y Jordania en esta contribución es plenamente coherente con la Resolución 2817 (2026) del Consejo de Seguridad de las Naciones Unidas y con la Resolución 61/1 del Consejo de Derechos Humanos.</w:t>
      </w:r>
    </w:p>
    <w:p w14:paraId="3930C951" w14:textId="2F7551A9" w:rsidR="00401CE0" w:rsidRPr="00E729A9" w:rsidRDefault="00401CE0" w:rsidP="00915795">
      <w:pPr>
        <w:pStyle w:val="Heading1"/>
        <w:jc w:val="both"/>
        <w:rPr>
          <w:lang w:val="es-ES"/>
        </w:rPr>
      </w:pPr>
      <w:r w:rsidRPr="00E729A9">
        <w:rPr>
          <w:lang w:val="es-ES"/>
        </w:rPr>
        <w:t>2</w:t>
      </w:r>
      <w:r w:rsidRPr="00E729A9">
        <w:rPr>
          <w:lang w:val="es-ES"/>
        </w:rPr>
        <w:tab/>
        <w:t>Situación fáctica</w:t>
      </w:r>
    </w:p>
    <w:p w14:paraId="1FA7F587" w14:textId="77777777" w:rsidR="00401CE0" w:rsidRPr="00E729A9" w:rsidRDefault="00401CE0" w:rsidP="00915795">
      <w:pPr>
        <w:pStyle w:val="Heading2"/>
        <w:jc w:val="both"/>
        <w:rPr>
          <w:lang w:val="es-ES"/>
        </w:rPr>
      </w:pPr>
      <w:r w:rsidRPr="00E729A9">
        <w:rPr>
          <w:lang w:val="es-ES"/>
        </w:rPr>
        <w:t>2.1</w:t>
      </w:r>
      <w:r w:rsidRPr="00E729A9">
        <w:rPr>
          <w:lang w:val="es-ES"/>
        </w:rPr>
        <w:tab/>
        <w:t>Ataques contra infraestructuras civiles de las TIC</w:t>
      </w:r>
    </w:p>
    <w:p w14:paraId="0983125D" w14:textId="77777777" w:rsidR="00401CE0" w:rsidRPr="00E729A9" w:rsidRDefault="00401CE0" w:rsidP="00915795">
      <w:pPr>
        <w:jc w:val="both"/>
        <w:rPr>
          <w:rFonts w:asciiTheme="minorHAnsi" w:hAnsiTheme="minorHAnsi" w:cstheme="minorHAnsi"/>
          <w:lang w:val="es-ES"/>
        </w:rPr>
      </w:pPr>
      <w:r w:rsidRPr="00E729A9">
        <w:rPr>
          <w:lang w:val="es-ES"/>
        </w:rPr>
        <w:t>2.1.1</w:t>
      </w:r>
      <w:r w:rsidRPr="00E729A9">
        <w:rPr>
          <w:lang w:val="es-ES"/>
        </w:rPr>
        <w:tab/>
        <w:t>Desde el 28 de febrero de 2026, Irán ha llevado a cabo múltiples ataques contra infraestructuras civiles de TIC, incluidos centros de datos, estaciones de aterraje de cables submarinos, estaciones terrenas de satélites e instalaciones de comunicaciones por satélite en Bahrein, Kuwait, Qatar, Emiratos Árabes Unidos y Jordania. Los Estados Miembros del CCG y Jordania señalan que estos ataques constituyen el primer ataque deliberado conocido contra la infraestructura civil de computación en la nube a nivel mundial.</w:t>
      </w:r>
    </w:p>
    <w:p w14:paraId="046436DB" w14:textId="0391E581" w:rsidR="00401CE0" w:rsidRPr="00E729A9" w:rsidRDefault="00401CE0" w:rsidP="00915795">
      <w:pPr>
        <w:jc w:val="both"/>
        <w:rPr>
          <w:rFonts w:asciiTheme="minorHAnsi" w:hAnsiTheme="minorHAnsi" w:cstheme="minorHAnsi"/>
          <w:lang w:val="es-ES"/>
        </w:rPr>
      </w:pPr>
      <w:r w:rsidRPr="00E729A9">
        <w:rPr>
          <w:lang w:val="es-ES"/>
        </w:rPr>
        <w:t>2.1.2</w:t>
      </w:r>
      <w:r w:rsidRPr="00E729A9">
        <w:rPr>
          <w:lang w:val="es-ES"/>
        </w:rPr>
        <w:tab/>
        <w:t>Además, las autoridades iraníes han amenazado explícitamente a otras infraestructuras civiles de TIC en Bahrein, Kuwait, Qatar, Emiratos Árabes Unidos y Jordania.</w:t>
      </w:r>
    </w:p>
    <w:p w14:paraId="13992476" w14:textId="77777777" w:rsidR="00401CE0" w:rsidRPr="00E729A9" w:rsidRDefault="00401CE0" w:rsidP="00915795">
      <w:pPr>
        <w:pStyle w:val="Heading2"/>
        <w:jc w:val="both"/>
        <w:rPr>
          <w:lang w:val="es-ES"/>
        </w:rPr>
      </w:pPr>
      <w:r w:rsidRPr="00E729A9">
        <w:rPr>
          <w:lang w:val="es-ES"/>
        </w:rPr>
        <w:t>2.2</w:t>
      </w:r>
      <w:r w:rsidRPr="00E729A9">
        <w:rPr>
          <w:lang w:val="es-ES"/>
        </w:rPr>
        <w:tab/>
        <w:t>Repercusiones en la infraestructura de cables submarinos</w:t>
      </w:r>
    </w:p>
    <w:p w14:paraId="75187F7B" w14:textId="77777777" w:rsidR="00401CE0" w:rsidRPr="00E729A9" w:rsidRDefault="00401CE0" w:rsidP="00915795">
      <w:pPr>
        <w:jc w:val="both"/>
        <w:rPr>
          <w:rFonts w:asciiTheme="minorHAnsi" w:hAnsiTheme="minorHAnsi" w:cstheme="minorHAnsi"/>
          <w:lang w:val="es-ES"/>
        </w:rPr>
      </w:pPr>
      <w:r w:rsidRPr="00E729A9">
        <w:rPr>
          <w:lang w:val="es-ES"/>
        </w:rPr>
        <w:t>2.2.1</w:t>
      </w:r>
      <w:r w:rsidRPr="00E729A9">
        <w:rPr>
          <w:lang w:val="es-ES"/>
        </w:rPr>
        <w:tab/>
        <w:t>Bahrein, Kuwait, Qatar y los Emiratos Árabes Unidos reciben servicio de múltiples sistemas de cables submarinos importantes para la conectividad internacional, incluidos FLAG/FALCON, Gulf Bridge International (GBI), 2Africa (Meta), Asia-Africa-Europe 1 (AAE-1) y PEACE Cable. Más del 99 % del intercambio internacional de datos se realiza por cables submarinos de telecomunicaciones.</w:t>
      </w:r>
    </w:p>
    <w:p w14:paraId="47DF8FDD" w14:textId="15B88E36" w:rsidR="00401CE0" w:rsidRPr="00E729A9" w:rsidRDefault="00401CE0" w:rsidP="00915795">
      <w:pPr>
        <w:jc w:val="both"/>
        <w:rPr>
          <w:lang w:val="es-ES"/>
        </w:rPr>
      </w:pPr>
      <w:r w:rsidRPr="00E729A9">
        <w:rPr>
          <w:lang w:val="es-ES"/>
        </w:rPr>
        <w:lastRenderedPageBreak/>
        <w:t>2.2.2</w:t>
      </w:r>
      <w:r w:rsidRPr="00E729A9">
        <w:rPr>
          <w:lang w:val="es-ES"/>
        </w:rPr>
        <w:tab/>
        <w:t>La situación de seguridad ha provocado: la suspensión de los tramos previstos de cables submarinos, incluidas secciones del proyecto 2Africa; ataques directos contra una estación de amarre de cable submarino en los Emiratos Árabes Unidos el 31 de marzo y el 6</w:t>
      </w:r>
      <w:r w:rsidR="00CD10D8" w:rsidRPr="00E729A9">
        <w:rPr>
          <w:lang w:val="es-ES"/>
        </w:rPr>
        <w:t> </w:t>
      </w:r>
      <w:r w:rsidRPr="00E729A9">
        <w:rPr>
          <w:lang w:val="es-ES"/>
        </w:rPr>
        <w:t>de abril de 2026; el aplazamiento de la inversión en nuevas estaciones de amarre de cables submarinos; importantes perturbaciones de la conectividad marítima en el estrecho de Ormuz desde el 3 de marzo de 2026, que ponen en peligro 17 sistemas de cable submarino; la advertencia del Consejo de Defensa de Irán de que una nueva escalada podría dar lugar a la colocación de minas marinas en todo el Golfo; la imposibilidad de que los buques de reparación de cables operen; y el aumento de los costos de los seguros.</w:t>
      </w:r>
    </w:p>
    <w:p w14:paraId="669EE6A0" w14:textId="77777777" w:rsidR="00401CE0" w:rsidRPr="00E729A9" w:rsidRDefault="00401CE0" w:rsidP="00915795">
      <w:pPr>
        <w:jc w:val="both"/>
        <w:rPr>
          <w:rFonts w:asciiTheme="minorHAnsi" w:hAnsiTheme="minorHAnsi" w:cstheme="minorHAnsi"/>
          <w:lang w:val="es-ES"/>
        </w:rPr>
      </w:pPr>
      <w:r w:rsidRPr="00E729A9">
        <w:rPr>
          <w:lang w:val="es-ES"/>
        </w:rPr>
        <w:t>2.2.3</w:t>
      </w:r>
      <w:r w:rsidRPr="00E729A9">
        <w:rPr>
          <w:lang w:val="es-ES"/>
        </w:rPr>
        <w:tab/>
        <w:t>Los Estados Miembros del CCG y Jordania toman nota de la labor del Órgano Consultivo Internacional UIT/CIPC sobre resiliencia de los cables submarinos y de la Cumbre de Abuja de 2025. Los ataques deliberados y las amenazas a la infraestructura de cables submarinos representan un desafío directo a los objetivos del Consejo Asesor.</w:t>
      </w:r>
    </w:p>
    <w:p w14:paraId="7902840E" w14:textId="77777777" w:rsidR="00401CE0" w:rsidRPr="00E729A9" w:rsidRDefault="00401CE0" w:rsidP="00915795">
      <w:pPr>
        <w:pStyle w:val="Heading2"/>
        <w:jc w:val="both"/>
        <w:rPr>
          <w:rFonts w:asciiTheme="minorHAnsi" w:hAnsiTheme="minorHAnsi" w:cstheme="minorHAnsi"/>
          <w:lang w:val="es-ES"/>
        </w:rPr>
      </w:pPr>
      <w:r w:rsidRPr="00E729A9">
        <w:rPr>
          <w:lang w:val="es-ES"/>
        </w:rPr>
        <w:t>2.3</w:t>
      </w:r>
      <w:r w:rsidRPr="00E729A9">
        <w:rPr>
          <w:lang w:val="es-ES"/>
        </w:rPr>
        <w:tab/>
        <w:t>Operaciones cibernéticas coordinadas</w:t>
      </w:r>
    </w:p>
    <w:p w14:paraId="7090F78E" w14:textId="77777777" w:rsidR="00401CE0" w:rsidRPr="00E729A9" w:rsidRDefault="00401CE0" w:rsidP="00915795">
      <w:pPr>
        <w:jc w:val="both"/>
        <w:rPr>
          <w:rFonts w:asciiTheme="minorHAnsi" w:hAnsiTheme="minorHAnsi" w:cstheme="minorHAnsi"/>
          <w:lang w:val="es-ES"/>
        </w:rPr>
      </w:pPr>
      <w:r w:rsidRPr="00E729A9">
        <w:rPr>
          <w:lang w:val="es-ES"/>
        </w:rPr>
        <w:t>2.3.1</w:t>
      </w:r>
      <w:r w:rsidRPr="00E729A9">
        <w:rPr>
          <w:lang w:val="es-ES"/>
        </w:rPr>
        <w:tab/>
        <w:t xml:space="preserve"> Simultáneamente con las operaciones cinéticas, grupos hacktivistas y patrocinados por el Estado alineados con Irán han llevado a cabo campañas cibernéticas coordinadas contra las TIC y las infraestructuras críticas en Bahrein, Kuwait, Qatar, Emiratos Árabes Unidos y Jordania. Las evaluaciones de inteligencia de amenazas de Mandiant (Google Cloud) y Microsoft Threat Intelligence confirman que estas operaciones se dirigen en gran medida a los proveedores regionales de telecomunicaciones, la infraestructura en la nube y los portales gubernamentales para interrumpir las comunicaciones y los servicios digitales.</w:t>
      </w:r>
    </w:p>
    <w:p w14:paraId="04760723" w14:textId="77777777" w:rsidR="00401CE0" w:rsidRPr="00E729A9" w:rsidRDefault="00401CE0" w:rsidP="00915795">
      <w:pPr>
        <w:jc w:val="both"/>
        <w:rPr>
          <w:rFonts w:asciiTheme="minorHAnsi" w:hAnsiTheme="minorHAnsi" w:cstheme="minorHAnsi"/>
          <w:lang w:val="es-ES"/>
        </w:rPr>
      </w:pPr>
      <w:r w:rsidRPr="00E729A9">
        <w:rPr>
          <w:lang w:val="es-ES"/>
        </w:rPr>
        <w:t>2.3.2</w:t>
      </w:r>
      <w:r w:rsidRPr="00E729A9">
        <w:rPr>
          <w:lang w:val="es-ES"/>
        </w:rPr>
        <w:tab/>
        <w:t>Los agregadores de inteligencia, incluida la Evaluación de Amenazas Cibernéticas 2026 de SOCRadar, y el análisis de Kennedys Law, documentan una movilización sin precedentes de proxies cibernéticos. En la actualidad se rastrean más de 60 grupos de amenaza activos en consonancia con el conflicto, de los cuales al menos 53 operan explícitamente bajo banderas proiraníes (por ejemplo, Handala, 313 Team y Keymous Plus). Estos colectivos han lanzado extensas campañas de denegación de servicio distribuidas (DDoS), fugas de datos y ataques destructivos contra sectores de alto riesgo, incluidos el gobierno, las plataformas bancarias, la logística aeroportuaria y el comercio electrónico dentro de Bahrein, Kuwait, Qatar, los Emiratos Árabes Unidos y Jordania.</w:t>
      </w:r>
    </w:p>
    <w:p w14:paraId="3EFC89A1" w14:textId="77777777" w:rsidR="00401CE0" w:rsidRPr="00E729A9" w:rsidRDefault="00401CE0" w:rsidP="00915795">
      <w:pPr>
        <w:jc w:val="both"/>
        <w:rPr>
          <w:rFonts w:asciiTheme="minorHAnsi" w:hAnsiTheme="minorHAnsi" w:cstheme="minorHAnsi"/>
          <w:lang w:val="es-ES"/>
        </w:rPr>
      </w:pPr>
      <w:r w:rsidRPr="00E729A9">
        <w:rPr>
          <w:lang w:val="es-ES"/>
        </w:rPr>
        <w:t>2.3.3</w:t>
      </w:r>
      <w:r w:rsidRPr="00E729A9">
        <w:rPr>
          <w:lang w:val="es-ES"/>
        </w:rPr>
        <w:tab/>
        <w:t xml:space="preserve">Mientras que los hacktivistas impulsan las interrupciones a nivel superficial, los actores patrocinados por el Estado iraní vinculados al IRGC y al MOIS están llevando a cabo sofisticadas operaciones de espionaje y persistencia en la red. Los informes de Trellix y Mandiant detallan cómo grupos como APT42 (Charming Kitten) han girado hacia la ingeniería social avanzada y la recolección de credenciales para comprometer los entornos corporativos en la nube y los marcos de telecomunicaciones. Al mismo tiempo, APT34 (OilRig) y APT39 mantienen su </w:t>
      </w:r>
      <w:r w:rsidRPr="00E729A9">
        <w:rPr>
          <w:i/>
          <w:iCs/>
          <w:lang w:val="es-ES"/>
        </w:rPr>
        <w:t>modus operandi</w:t>
      </w:r>
      <w:r w:rsidRPr="00E729A9">
        <w:rPr>
          <w:lang w:val="es-ES"/>
        </w:rPr>
        <w:t xml:space="preserve"> establecido: penetrar activamente en los proveedores de telecomunicaciones y proveedores de servicios de Internet (ISP) de Bahrein, Kuwait, Qatar, Emiratos Árabes Unidos y Jordania para facilitar la vigilancia generalizada, el seguimiento de contrainteligencia y los compromisos de la cadena de suministro.</w:t>
      </w:r>
    </w:p>
    <w:p w14:paraId="7938BD00" w14:textId="6B46CF1F" w:rsidR="00401CE0" w:rsidRPr="00E729A9" w:rsidRDefault="00401CE0" w:rsidP="00915795">
      <w:pPr>
        <w:pStyle w:val="Heading1"/>
        <w:jc w:val="both"/>
        <w:rPr>
          <w:lang w:val="es-ES"/>
        </w:rPr>
      </w:pPr>
      <w:r w:rsidRPr="00E729A9">
        <w:rPr>
          <w:lang w:val="es-ES"/>
        </w:rPr>
        <w:t>3</w:t>
      </w:r>
      <w:r w:rsidRPr="00E729A9">
        <w:rPr>
          <w:lang w:val="es-ES"/>
        </w:rPr>
        <w:tab/>
        <w:t>Propuestas</w:t>
      </w:r>
    </w:p>
    <w:p w14:paraId="10B7AF33" w14:textId="77777777" w:rsidR="00401CE0" w:rsidRPr="00E729A9" w:rsidRDefault="00401CE0" w:rsidP="00915795">
      <w:pPr>
        <w:jc w:val="both"/>
        <w:rPr>
          <w:rFonts w:asciiTheme="minorHAnsi" w:hAnsiTheme="minorHAnsi" w:cstheme="minorHAnsi"/>
          <w:lang w:val="es-ES"/>
        </w:rPr>
      </w:pPr>
      <w:r w:rsidRPr="00E729A9">
        <w:rPr>
          <w:lang w:val="es-ES"/>
        </w:rPr>
        <w:t>3.1</w:t>
      </w:r>
      <w:r w:rsidRPr="00E729A9">
        <w:rPr>
          <w:lang w:val="es-ES"/>
        </w:rPr>
        <w:tab/>
        <w:t>Los Estados Miembros del CCG y Jordania proponen que el Consejo apoye la adopción del proyecto de Resolución del Consejo que se presenta a continuación sobre las repercusiones sobre la infraestructura civil de telecomunicaciones/TIC en Bahrein, Kuwait, Qatar, Emiratos Árabes Unidos y Jordania, y sus repercusiones sobre la conectividad regional y mundial.</w:t>
      </w:r>
    </w:p>
    <w:p w14:paraId="71C8F74A" w14:textId="0999C5D2" w:rsidR="00401CE0" w:rsidRPr="00E729A9" w:rsidRDefault="00401CE0" w:rsidP="00915795">
      <w:pPr>
        <w:pStyle w:val="Heading1"/>
        <w:jc w:val="both"/>
        <w:rPr>
          <w:lang w:val="es-ES"/>
        </w:rPr>
      </w:pPr>
      <w:r w:rsidRPr="00E729A9">
        <w:rPr>
          <w:lang w:val="es-ES"/>
        </w:rPr>
        <w:t>4</w:t>
      </w:r>
      <w:r w:rsidRPr="00E729A9">
        <w:rPr>
          <w:lang w:val="es-ES"/>
        </w:rPr>
        <w:tab/>
        <w:t>Contexto: Bahrein, Kuwait, Qatar, Emiratos Árabes Unidos y Jordania Transformación digital y compromiso de la UIT</w:t>
      </w:r>
    </w:p>
    <w:p w14:paraId="45C3C1D3" w14:textId="77777777" w:rsidR="00401CE0" w:rsidRPr="00E729A9" w:rsidRDefault="00401CE0" w:rsidP="00915795">
      <w:pPr>
        <w:jc w:val="both"/>
        <w:rPr>
          <w:rFonts w:asciiTheme="minorHAnsi" w:hAnsiTheme="minorHAnsi" w:cstheme="minorHAnsi"/>
          <w:lang w:val="es-ES"/>
        </w:rPr>
      </w:pPr>
      <w:r w:rsidRPr="00E729A9">
        <w:rPr>
          <w:lang w:val="es-ES"/>
        </w:rPr>
        <w:t>4.1</w:t>
      </w:r>
      <w:r w:rsidRPr="00E729A9">
        <w:rPr>
          <w:lang w:val="es-ES"/>
        </w:rPr>
        <w:tab/>
        <w:t>Bahrein, Kuwait, Qatar, los Emiratos Árabes Unidos y Jordania se encuentran colectivamente entre los países digitalmente más avanzados de la región. Los principales programas nacionales, como la Estrategia de IA 2031 de los EAU, la Estrategia Nacional de IA de Qatar, la Política Cloud First de Bahrein y el Nuevo Kuwait 2035 de Kuwait, representan inversiones sustanciales en infraestructura y transformación digital.</w:t>
      </w:r>
    </w:p>
    <w:p w14:paraId="01EFA3E2" w14:textId="77777777" w:rsidR="00401CE0" w:rsidRPr="00E729A9" w:rsidRDefault="00401CE0" w:rsidP="00915795">
      <w:pPr>
        <w:jc w:val="both"/>
        <w:rPr>
          <w:rFonts w:asciiTheme="minorHAnsi" w:hAnsiTheme="minorHAnsi" w:cstheme="minorHAnsi"/>
          <w:lang w:val="es-ES"/>
        </w:rPr>
      </w:pPr>
      <w:r w:rsidRPr="00E729A9">
        <w:rPr>
          <w:lang w:val="es-ES"/>
        </w:rPr>
        <w:t>4.2</w:t>
      </w:r>
      <w:r w:rsidRPr="00E729A9">
        <w:rPr>
          <w:lang w:val="es-ES"/>
        </w:rPr>
        <w:tab/>
        <w:t>Estos programas guardan una relación directa con la labor de la UIT en los tres Sectores. Los ataques contra la infraestructura de TIC socavan la capacidad de Bahrein, Kuwait, Qatar, Emiratos Árabes Unidos y Jordania para perseguir esos objetivos y contribuir a la Agenda Conectar 2030.</w:t>
      </w:r>
    </w:p>
    <w:p w14:paraId="616EBB9D" w14:textId="094DD2B9" w:rsidR="00401CE0" w:rsidRPr="00E729A9" w:rsidRDefault="00401CE0" w:rsidP="00915795">
      <w:pPr>
        <w:pStyle w:val="Heading1"/>
        <w:jc w:val="both"/>
        <w:rPr>
          <w:lang w:val="es-ES"/>
        </w:rPr>
      </w:pPr>
      <w:r w:rsidRPr="00E729A9">
        <w:rPr>
          <w:lang w:val="es-ES"/>
        </w:rPr>
        <w:t>5</w:t>
      </w:r>
      <w:r w:rsidRPr="00E729A9">
        <w:rPr>
          <w:lang w:val="es-ES"/>
        </w:rPr>
        <w:tab/>
        <w:t>Conclusión</w:t>
      </w:r>
    </w:p>
    <w:p w14:paraId="70205DD0" w14:textId="77777777" w:rsidR="00401CE0" w:rsidRPr="00E729A9" w:rsidRDefault="00401CE0" w:rsidP="00915795">
      <w:pPr>
        <w:jc w:val="both"/>
        <w:rPr>
          <w:rFonts w:asciiTheme="minorHAnsi" w:hAnsiTheme="minorHAnsi" w:cstheme="minorHAnsi"/>
          <w:lang w:val="es-ES"/>
        </w:rPr>
      </w:pPr>
      <w:r w:rsidRPr="00E729A9">
        <w:rPr>
          <w:lang w:val="es-ES"/>
        </w:rPr>
        <w:t>5.1</w:t>
      </w:r>
      <w:r w:rsidRPr="00E729A9">
        <w:rPr>
          <w:lang w:val="es-ES"/>
        </w:rPr>
        <w:tab/>
        <w:t>Los Estados Miembros del CCG y Jordania presentan esta contribución como reflejo de su preocupación colectiva por el ataque sin precedentes de Irán contra infraestructuras TIC civiles en Bahrein, Kuwait, Qatar, Emiratos Árabes Unidos y Jordania.</w:t>
      </w:r>
      <w:bookmarkStart w:id="1" w:name="_Hlk227075504"/>
      <w:bookmarkEnd w:id="1"/>
    </w:p>
    <w:p w14:paraId="24BBD4FF" w14:textId="77777777" w:rsidR="00401CE0" w:rsidRPr="00E729A9" w:rsidRDefault="00401CE0" w:rsidP="00915795">
      <w:pPr>
        <w:jc w:val="both"/>
        <w:rPr>
          <w:rFonts w:asciiTheme="minorHAnsi" w:hAnsiTheme="minorHAnsi" w:cstheme="minorHAnsi"/>
          <w:lang w:val="es-ES"/>
        </w:rPr>
      </w:pPr>
      <w:r w:rsidRPr="00E729A9">
        <w:rPr>
          <w:lang w:val="es-ES"/>
        </w:rPr>
        <w:t>5.2</w:t>
      </w:r>
      <w:r w:rsidRPr="00E729A9">
        <w:rPr>
          <w:lang w:val="es-ES"/>
        </w:rPr>
        <w:tab/>
        <w:t>Los Estados Miembros del CCG y Jordania insisten en que la protección de la infraestructura civil de TIC es un asunto de importancia fundamental para todos los Estados Miembros, no una preocupación bilateral, y para el mandato de la Unión. Los Estados Miembros del CCG y Jordania están dispuestos a dialogar con todos los miembros del Consejo y la Secretaría sobre las cuestiones aquí planteadas.</w:t>
      </w:r>
    </w:p>
    <w:p w14:paraId="54E70BC8" w14:textId="77777777" w:rsidR="00401CE0" w:rsidRPr="00E729A9" w:rsidRDefault="00401CE0" w:rsidP="00401CE0">
      <w:pPr>
        <w:tabs>
          <w:tab w:val="clear" w:pos="567"/>
          <w:tab w:val="clear" w:pos="1134"/>
          <w:tab w:val="clear" w:pos="1701"/>
          <w:tab w:val="clear" w:pos="2268"/>
          <w:tab w:val="clear" w:pos="2835"/>
        </w:tabs>
        <w:overflowPunct/>
        <w:autoSpaceDE/>
        <w:autoSpaceDN/>
        <w:adjustRightInd/>
        <w:spacing w:before="2280" w:after="120"/>
        <w:jc w:val="both"/>
        <w:textAlignment w:val="auto"/>
        <w:rPr>
          <w:rFonts w:asciiTheme="minorHAnsi" w:hAnsiTheme="minorHAnsi" w:cstheme="minorHAnsi"/>
          <w:i/>
          <w:iCs/>
          <w:lang w:val="es-ES"/>
        </w:rPr>
      </w:pPr>
      <w:r w:rsidRPr="00E729A9">
        <w:rPr>
          <w:i/>
          <w:iCs/>
          <w:lang w:val="es-ES"/>
        </w:rPr>
        <w:t xml:space="preserve">Anexo: </w:t>
      </w:r>
      <w:r w:rsidRPr="00E729A9">
        <w:rPr>
          <w:b/>
          <w:bCs/>
          <w:i/>
          <w:iCs/>
          <w:lang w:val="es-ES"/>
        </w:rPr>
        <w:t>1</w:t>
      </w:r>
    </w:p>
    <w:p w14:paraId="3EBBECFF" w14:textId="77777777" w:rsidR="00401CE0" w:rsidRPr="00E729A9" w:rsidRDefault="00401CE0" w:rsidP="00401CE0">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lang w:val="es-ES"/>
        </w:rPr>
      </w:pPr>
      <w:r w:rsidRPr="00E729A9">
        <w:rPr>
          <w:rFonts w:asciiTheme="minorHAnsi" w:hAnsiTheme="minorHAnsi" w:cstheme="minorHAnsi"/>
          <w:lang w:val="es-ES"/>
        </w:rPr>
        <w:br w:type="page"/>
      </w:r>
    </w:p>
    <w:p w14:paraId="4A7FB758" w14:textId="77777777" w:rsidR="00401CE0" w:rsidRPr="00E729A9" w:rsidRDefault="00401CE0" w:rsidP="00401CE0">
      <w:pPr>
        <w:pStyle w:val="AnnexNo"/>
        <w:rPr>
          <w:lang w:val="es-ES"/>
        </w:rPr>
      </w:pPr>
      <w:r w:rsidRPr="00E729A9">
        <w:rPr>
          <w:lang w:val="es-ES"/>
        </w:rPr>
        <w:t>ANEXO</w:t>
      </w:r>
    </w:p>
    <w:p w14:paraId="20A99A77" w14:textId="77777777" w:rsidR="00401CE0" w:rsidRPr="00E729A9" w:rsidRDefault="00401CE0" w:rsidP="00401CE0">
      <w:pPr>
        <w:pStyle w:val="ResNo"/>
        <w:rPr>
          <w:lang w:val="es-ES"/>
        </w:rPr>
      </w:pPr>
      <w:r w:rsidRPr="00E729A9">
        <w:rPr>
          <w:lang w:val="es-ES"/>
        </w:rPr>
        <w:t>PROYECTO DE NUEVA RESOLUCIÓN […]</w:t>
      </w:r>
    </w:p>
    <w:p w14:paraId="2597857F" w14:textId="64346B6E" w:rsidR="00401CE0" w:rsidRPr="00E729A9" w:rsidRDefault="00401CE0" w:rsidP="00401CE0">
      <w:pPr>
        <w:pStyle w:val="Restitle"/>
        <w:rPr>
          <w:lang w:val="es-ES"/>
        </w:rPr>
      </w:pPr>
      <w:r w:rsidRPr="00E729A9">
        <w:rPr>
          <w:bCs/>
          <w:lang w:val="es-ES"/>
        </w:rPr>
        <w:t>Repercusiones sobre la infraestructura civil de telecomunicaciones/TIC de Bahrein, Kuwait, Qatar, Emiratos Árabes Unidos y Jordania, y sus consecuencias para la conectividad regional y mundial</w:t>
      </w:r>
    </w:p>
    <w:p w14:paraId="40E930CE" w14:textId="77777777" w:rsidR="00401CE0" w:rsidRPr="00E729A9" w:rsidRDefault="00401CE0" w:rsidP="00401CE0">
      <w:pPr>
        <w:pStyle w:val="Normalaftertitle"/>
        <w:rPr>
          <w:lang w:val="es-ES"/>
        </w:rPr>
      </w:pPr>
      <w:r w:rsidRPr="00E729A9">
        <w:rPr>
          <w:lang w:val="es-ES"/>
        </w:rPr>
        <w:t>El Consejo de la UIT,</w:t>
      </w:r>
    </w:p>
    <w:p w14:paraId="4D02163E" w14:textId="77777777" w:rsidR="00401CE0" w:rsidRPr="00E729A9" w:rsidRDefault="00401CE0" w:rsidP="00401CE0">
      <w:pPr>
        <w:pStyle w:val="Call"/>
        <w:rPr>
          <w:lang w:val="es-ES"/>
        </w:rPr>
      </w:pPr>
      <w:r w:rsidRPr="00E729A9">
        <w:rPr>
          <w:lang w:val="es-ES"/>
        </w:rPr>
        <w:t>recordando</w:t>
      </w:r>
    </w:p>
    <w:p w14:paraId="641C2655" w14:textId="77777777" w:rsidR="00401CE0" w:rsidRPr="00E729A9" w:rsidRDefault="00401CE0" w:rsidP="00401CE0">
      <w:pPr>
        <w:rPr>
          <w:lang w:val="es-ES"/>
        </w:rPr>
      </w:pPr>
      <w:r w:rsidRPr="00E729A9">
        <w:rPr>
          <w:i/>
          <w:iCs/>
          <w:lang w:val="es-ES"/>
        </w:rPr>
        <w:t>a)</w:t>
      </w:r>
      <w:r w:rsidRPr="00E729A9">
        <w:rPr>
          <w:lang w:val="es-ES"/>
        </w:rPr>
        <w:tab/>
        <w:t>los nobles principios, fines y objetivos consignados en la Carta de las Naciones Unidas y en la Declaración Universal de Derechos Humanos, así como en la Declaración de Principios de la Cumbre Mundial sobre la Sociedad de la Información;</w:t>
      </w:r>
    </w:p>
    <w:p w14:paraId="26F7749B" w14:textId="77777777" w:rsidR="00401CE0" w:rsidRPr="00E729A9" w:rsidRDefault="00401CE0" w:rsidP="00401CE0">
      <w:pPr>
        <w:rPr>
          <w:lang w:val="es-ES"/>
        </w:rPr>
      </w:pPr>
      <w:r w:rsidRPr="00E729A9">
        <w:rPr>
          <w:i/>
          <w:iCs/>
          <w:lang w:val="es-ES"/>
        </w:rPr>
        <w:t>b)</w:t>
      </w:r>
      <w:r w:rsidRPr="00E729A9">
        <w:rPr>
          <w:lang w:val="es-ES"/>
        </w:rPr>
        <w:tab/>
        <w:t>los esfuerzos realizados por las Naciones Unidas para promover un desarrollo sostenible;</w:t>
      </w:r>
    </w:p>
    <w:p w14:paraId="7E411D18" w14:textId="77777777" w:rsidR="00401CE0" w:rsidRPr="00E729A9" w:rsidRDefault="00401CE0" w:rsidP="00401CE0">
      <w:pPr>
        <w:rPr>
          <w:lang w:val="es-ES"/>
        </w:rPr>
      </w:pPr>
      <w:r w:rsidRPr="00E729A9">
        <w:rPr>
          <w:i/>
          <w:iCs/>
          <w:lang w:val="es-ES"/>
        </w:rPr>
        <w:t>c)</w:t>
      </w:r>
      <w:r w:rsidRPr="00E729A9">
        <w:rPr>
          <w:lang w:val="es-ES"/>
        </w:rPr>
        <w:tab/>
        <w:t>los propósitos de la Unión enunciados en el Artículo 1 de la Constitución de la UIT;</w:t>
      </w:r>
    </w:p>
    <w:p w14:paraId="23062A2A" w14:textId="77777777" w:rsidR="00401CE0" w:rsidRPr="00E729A9" w:rsidRDefault="00401CE0" w:rsidP="00401CE0">
      <w:pPr>
        <w:rPr>
          <w:lang w:val="es-ES"/>
        </w:rPr>
      </w:pPr>
      <w:r w:rsidRPr="00E729A9">
        <w:rPr>
          <w:i/>
          <w:iCs/>
          <w:lang w:val="es-ES"/>
        </w:rPr>
        <w:t>d)</w:t>
      </w:r>
      <w:r w:rsidRPr="00E729A9">
        <w:rPr>
          <w:lang w:val="es-ES"/>
        </w:rPr>
        <w:tab/>
        <w:t>los principios enunciados en los Artículos 38 (número 186) y 45 (número 197) de la Constitución de la UIT,</w:t>
      </w:r>
    </w:p>
    <w:p w14:paraId="3E8C5E41" w14:textId="77777777" w:rsidR="00401CE0" w:rsidRPr="00E729A9" w:rsidRDefault="00401CE0" w:rsidP="00401CE0">
      <w:pPr>
        <w:pStyle w:val="Call"/>
        <w:rPr>
          <w:lang w:val="es-ES"/>
        </w:rPr>
      </w:pPr>
      <w:r w:rsidRPr="00E729A9">
        <w:rPr>
          <w:lang w:val="es-ES"/>
        </w:rPr>
        <w:t>recordando además</w:t>
      </w:r>
    </w:p>
    <w:p w14:paraId="2A08CB04" w14:textId="77777777" w:rsidR="00401CE0" w:rsidRPr="00E729A9" w:rsidRDefault="00401CE0" w:rsidP="00401CE0">
      <w:pPr>
        <w:rPr>
          <w:lang w:val="es-ES"/>
        </w:rPr>
      </w:pPr>
      <w:r w:rsidRPr="00E729A9">
        <w:rPr>
          <w:i/>
          <w:iCs/>
          <w:lang w:val="es-ES"/>
        </w:rPr>
        <w:t>a)</w:t>
      </w:r>
      <w:r w:rsidRPr="00E729A9">
        <w:rPr>
          <w:lang w:val="es-ES"/>
        </w:rPr>
        <w:tab/>
        <w:t>la Resolución 2817 (2026) del Consejo de Seguridad de las Naciones Unidas, de 11 de marzo de 2026, en la que se condenan categóricamente los atroces ataques perpetrados por Irán contra los territorios de Arabia Saudita, Bahrein, Kuwait, Omán, Qatar, Emiratos Árabes Unidos y Jordania; condenó además que las zonas residenciales y bienes de carácter civil habían sido objeto de ataques y que los ataques causaron víctimas civiles y daños en edificios civiles; y también condenó cualquier acción o amenaza de Irán destinada a cerrar, obstruir o interferir de cualquier otra manera con la navegación internacional a través del Estrecho de Ormuz;</w:t>
      </w:r>
    </w:p>
    <w:p w14:paraId="2E612568" w14:textId="77777777" w:rsidR="00401CE0" w:rsidRPr="00E729A9" w:rsidRDefault="00401CE0" w:rsidP="00401CE0">
      <w:pPr>
        <w:rPr>
          <w:lang w:val="es-ES"/>
        </w:rPr>
      </w:pPr>
      <w:r w:rsidRPr="00E729A9">
        <w:rPr>
          <w:i/>
          <w:iCs/>
          <w:lang w:val="es-ES"/>
        </w:rPr>
        <w:t>b)</w:t>
      </w:r>
      <w:r w:rsidRPr="00E729A9">
        <w:rPr>
          <w:lang w:val="es-ES"/>
        </w:rPr>
        <w:tab/>
        <w:t>los Estados Miembros del CCG y Jordania observan además que en la Resolución 61/1 del Consejo de Derechos Humanos, adoptada por consenso el 25 de marzo de 2026, se condenan todas las violaciones del derecho internacional, incluido el derecho internacional humanitario y el derecho internacional de los derechos humanos, resultantes de los ataques de Irán, en particular los dirigidos contra civiles y bienes de carácter civil, al tiempo que se exige a Irán que cumpla plenamente, una reparación efectiva y rápida a todas las víctimas por los daños y perjuicios causados por sus ataques.</w:t>
      </w:r>
    </w:p>
    <w:p w14:paraId="5FE4CF29" w14:textId="77777777" w:rsidR="00401CE0" w:rsidRPr="00E729A9" w:rsidRDefault="00401CE0" w:rsidP="00401CE0">
      <w:pPr>
        <w:rPr>
          <w:lang w:val="es-ES"/>
        </w:rPr>
      </w:pPr>
      <w:r w:rsidRPr="00E729A9">
        <w:rPr>
          <w:i/>
          <w:iCs/>
          <w:lang w:val="es-ES"/>
        </w:rPr>
        <w:t>c)</w:t>
      </w:r>
      <w:r w:rsidRPr="00E729A9">
        <w:rPr>
          <w:lang w:val="es-ES"/>
        </w:rPr>
        <w:tab/>
        <w:t>la Resolución 34 de la Conferencia Mundial de Desarrollo de las Telecomunicaciones de 2025 (CMDT-25), sobre la función de las telecomunicaciones y las tecnologías de la información y la comunicación en la preparación, alerta temprana, rescate, mitigación, socorro y respuesta en situaciones de catástrofe;</w:t>
      </w:r>
    </w:p>
    <w:p w14:paraId="67EC4390" w14:textId="77777777" w:rsidR="00401CE0" w:rsidRPr="00E729A9" w:rsidRDefault="00401CE0" w:rsidP="00401CE0">
      <w:pPr>
        <w:rPr>
          <w:lang w:val="es-ES"/>
        </w:rPr>
      </w:pPr>
      <w:r w:rsidRPr="00E729A9">
        <w:rPr>
          <w:i/>
          <w:iCs/>
          <w:lang w:val="es-ES"/>
        </w:rPr>
        <w:t>d)</w:t>
      </w:r>
      <w:r w:rsidRPr="00E729A9">
        <w:rPr>
          <w:lang w:val="es-ES"/>
        </w:rPr>
        <w:tab/>
        <w:t>la Resolución 130 (Rev. Bucarest, 2022) de la Conferencia de Plenipotenciarios sobre el fortalecimiento del papel de la UIT en la creación de confianza y seguridad en la utilización de las tecnologías de la información y la comunicación;</w:t>
      </w:r>
    </w:p>
    <w:p w14:paraId="6DE8EC30" w14:textId="023485B9" w:rsidR="00401CE0" w:rsidRPr="00E729A9" w:rsidRDefault="00401CE0" w:rsidP="00401CE0">
      <w:pPr>
        <w:rPr>
          <w:lang w:val="es-ES"/>
        </w:rPr>
      </w:pPr>
      <w:r w:rsidRPr="00E729A9">
        <w:rPr>
          <w:i/>
          <w:iCs/>
          <w:lang w:val="es-ES"/>
        </w:rPr>
        <w:t>e)</w:t>
      </w:r>
      <w:r w:rsidRPr="00E729A9">
        <w:rPr>
          <w:lang w:val="es-ES"/>
        </w:rPr>
        <w:tab/>
      </w:r>
      <w:r w:rsidR="00CE07C0" w:rsidRPr="00E729A9">
        <w:rPr>
          <w:lang w:val="es-ES"/>
        </w:rPr>
        <w:t>la Resolución 136</w:t>
      </w:r>
      <w:r w:rsidR="00EF7D07" w:rsidRPr="00E729A9">
        <w:rPr>
          <w:lang w:val="es-ES"/>
        </w:rPr>
        <w:t xml:space="preserve"> </w:t>
      </w:r>
      <w:r w:rsidR="00CE07C0" w:rsidRPr="00E729A9">
        <w:rPr>
          <w:lang w:val="es-ES"/>
        </w:rPr>
        <w:t>(Rev. Bucarest, 2022) de la Conferencia de Plenipotenciarios sobre la utilización de las telecomunicaciones/tecnologías de la información y la comunicación para la asistencia humanitaria;</w:t>
      </w:r>
    </w:p>
    <w:p w14:paraId="1BB9D777" w14:textId="77777777" w:rsidR="00401CE0" w:rsidRPr="00E729A9" w:rsidRDefault="00401CE0" w:rsidP="00401CE0">
      <w:pPr>
        <w:rPr>
          <w:lang w:val="es-ES"/>
        </w:rPr>
      </w:pPr>
      <w:r w:rsidRPr="00E729A9">
        <w:rPr>
          <w:i/>
          <w:iCs/>
          <w:lang w:val="es-ES"/>
        </w:rPr>
        <w:t>f)</w:t>
      </w:r>
      <w:r w:rsidRPr="00E729A9">
        <w:rPr>
          <w:lang w:val="es-ES"/>
        </w:rPr>
        <w:tab/>
        <w:t>la Declaración adoptada en la CMDT-25 (Bakú, 2025) sobre la protección de las redes y servicios públicos de telecomunicaciones durante los conflictos armados y las catástrofes,</w:t>
      </w:r>
    </w:p>
    <w:p w14:paraId="438BA49B" w14:textId="77777777" w:rsidR="00401CE0" w:rsidRPr="00E729A9" w:rsidRDefault="00401CE0" w:rsidP="00401CE0">
      <w:pPr>
        <w:pStyle w:val="Call"/>
        <w:rPr>
          <w:lang w:val="es-ES"/>
        </w:rPr>
      </w:pPr>
      <w:r w:rsidRPr="00E729A9">
        <w:rPr>
          <w:lang w:val="es-ES"/>
        </w:rPr>
        <w:t>reafirmando</w:t>
      </w:r>
    </w:p>
    <w:p w14:paraId="5F36A6DF" w14:textId="77777777" w:rsidR="00401CE0" w:rsidRPr="00E729A9" w:rsidRDefault="00401CE0" w:rsidP="00401CE0">
      <w:pPr>
        <w:rPr>
          <w:lang w:val="es-ES"/>
        </w:rPr>
      </w:pPr>
      <w:r w:rsidRPr="00E729A9">
        <w:rPr>
          <w:i/>
          <w:iCs/>
          <w:lang w:val="es-ES"/>
        </w:rPr>
        <w:t>a)</w:t>
      </w:r>
      <w:r w:rsidRPr="00E729A9">
        <w:rPr>
          <w:lang w:val="es-ES"/>
        </w:rPr>
        <w:tab/>
        <w:t>la soberanía, independencia, unidad e integridad territorial de Bahrein, Kuwait, Qatar, Emiratos Árabes Unidos y Jordania dentro de sus fronteras internacionalmente reconocidas que se extienden hasta sus aguas territoriales;</w:t>
      </w:r>
    </w:p>
    <w:p w14:paraId="4EACADAD" w14:textId="77777777" w:rsidR="00401CE0" w:rsidRPr="00E729A9" w:rsidRDefault="00401CE0" w:rsidP="00401CE0">
      <w:pPr>
        <w:rPr>
          <w:lang w:val="es-ES"/>
        </w:rPr>
      </w:pPr>
      <w:r w:rsidRPr="00E729A9">
        <w:rPr>
          <w:i/>
          <w:iCs/>
          <w:lang w:val="es-ES"/>
        </w:rPr>
        <w:t>b)</w:t>
      </w:r>
      <w:r w:rsidRPr="00E729A9">
        <w:rPr>
          <w:lang w:val="es-ES"/>
        </w:rPr>
        <w:tab/>
        <w:t>el derecho soberano de cada Estado a reglamentar sus telecomunicaciones y la importancia creciente de las telecomunicaciones para la salvaguardia de la paz y el desarrollo económico y social de todos los Estados, enunciado en el Preámbulo de la Constitución de la UIT,</w:t>
      </w:r>
    </w:p>
    <w:p w14:paraId="518F9891" w14:textId="77777777" w:rsidR="00401CE0" w:rsidRPr="00E729A9" w:rsidRDefault="00401CE0" w:rsidP="00401CE0">
      <w:pPr>
        <w:pStyle w:val="Call"/>
        <w:rPr>
          <w:lang w:val="es-ES"/>
        </w:rPr>
      </w:pPr>
      <w:r w:rsidRPr="00E729A9">
        <w:rPr>
          <w:lang w:val="es-ES"/>
        </w:rPr>
        <w:t>considerando</w:t>
      </w:r>
    </w:p>
    <w:p w14:paraId="0CDCE0E6" w14:textId="77777777" w:rsidR="00401CE0" w:rsidRPr="00E729A9" w:rsidRDefault="00401CE0" w:rsidP="00401CE0">
      <w:pPr>
        <w:rPr>
          <w:lang w:val="es-ES"/>
        </w:rPr>
      </w:pPr>
      <w:r w:rsidRPr="00E729A9">
        <w:rPr>
          <w:i/>
          <w:iCs/>
          <w:lang w:val="es-ES"/>
        </w:rPr>
        <w:t>a)</w:t>
      </w:r>
      <w:r w:rsidRPr="00E729A9">
        <w:rPr>
          <w:lang w:val="es-ES"/>
        </w:rPr>
        <w:tab/>
        <w:t>que la infraestructura civil de TIC, incluidos los centros de datos, las estaciones de aterraje de cables submarinos, los cables submarinos, las redes terrenales y las estaciones de satélite en tierra, son esenciales para la prestación de servicios de telecomunicaciones y para el desarrollo socioeconómico de todas las naciones;</w:t>
      </w:r>
    </w:p>
    <w:p w14:paraId="10AC9274" w14:textId="77777777" w:rsidR="00401CE0" w:rsidRPr="00E729A9" w:rsidRDefault="00401CE0" w:rsidP="00401CE0">
      <w:pPr>
        <w:rPr>
          <w:lang w:val="es-ES"/>
        </w:rPr>
      </w:pPr>
      <w:r w:rsidRPr="00E729A9">
        <w:rPr>
          <w:i/>
          <w:iCs/>
          <w:lang w:val="es-ES"/>
        </w:rPr>
        <w:t>b)</w:t>
      </w:r>
      <w:r w:rsidRPr="00E729A9">
        <w:rPr>
          <w:lang w:val="es-ES"/>
        </w:rPr>
        <w:tab/>
        <w:t>la importancia decisiva de la infraestructura de cables submarinos para la conectividad mundial;</w:t>
      </w:r>
    </w:p>
    <w:p w14:paraId="477B16C6" w14:textId="7B7A9CF3" w:rsidR="00401CE0" w:rsidRPr="00E729A9" w:rsidRDefault="00401CE0" w:rsidP="00401CE0">
      <w:pPr>
        <w:pStyle w:val="Call"/>
        <w:rPr>
          <w:lang w:val="es-ES"/>
        </w:rPr>
      </w:pPr>
      <w:r w:rsidRPr="00E729A9">
        <w:rPr>
          <w:lang w:val="es-ES"/>
        </w:rPr>
        <w:t>reiterando el compromiso de la UIT</w:t>
      </w:r>
    </w:p>
    <w:p w14:paraId="58259154" w14:textId="45BA4800" w:rsidR="00401CE0" w:rsidRPr="00E729A9" w:rsidRDefault="00401CE0" w:rsidP="00401CE0">
      <w:pPr>
        <w:rPr>
          <w:lang w:val="es-ES"/>
        </w:rPr>
      </w:pPr>
      <w:r w:rsidRPr="00E729A9">
        <w:rPr>
          <w:lang w:val="es-ES"/>
        </w:rPr>
        <w:t xml:space="preserve">de </w:t>
      </w:r>
      <w:r w:rsidR="00EF7D07" w:rsidRPr="00E729A9">
        <w:rPr>
          <w:lang w:val="es-ES"/>
        </w:rPr>
        <w:t>"</w:t>
      </w:r>
      <w:r w:rsidRPr="00E729A9">
        <w:rPr>
          <w:lang w:val="es-ES"/>
        </w:rPr>
        <w:t>promover la adopción de medidas destinadas a garantizar la seguridad de la vida humana, mediante la cooperación de los servicios de telecomunicación</w:t>
      </w:r>
      <w:r w:rsidR="00EF7D07" w:rsidRPr="00E729A9">
        <w:rPr>
          <w:lang w:val="es-ES"/>
        </w:rPr>
        <w:t>"</w:t>
      </w:r>
      <w:r w:rsidRPr="00E729A9">
        <w:rPr>
          <w:lang w:val="es-ES"/>
        </w:rPr>
        <w:t>;</w:t>
      </w:r>
    </w:p>
    <w:p w14:paraId="344536D5" w14:textId="77777777" w:rsidR="00401CE0" w:rsidRPr="00E729A9" w:rsidRDefault="00401CE0" w:rsidP="00401CE0">
      <w:pPr>
        <w:pStyle w:val="Call"/>
        <w:rPr>
          <w:lang w:val="es-ES"/>
        </w:rPr>
      </w:pPr>
      <w:r w:rsidRPr="00E729A9">
        <w:rPr>
          <w:lang w:val="es-ES"/>
        </w:rPr>
        <w:t>condenando</w:t>
      </w:r>
    </w:p>
    <w:p w14:paraId="5E5551C2" w14:textId="77777777" w:rsidR="00401CE0" w:rsidRPr="00E729A9" w:rsidRDefault="00401CE0" w:rsidP="00401CE0">
      <w:pPr>
        <w:rPr>
          <w:lang w:val="es-ES"/>
        </w:rPr>
      </w:pPr>
      <w:r w:rsidRPr="00E729A9">
        <w:rPr>
          <w:i/>
          <w:iCs/>
          <w:lang w:val="es-ES"/>
        </w:rPr>
        <w:t>a)</w:t>
      </w:r>
      <w:r w:rsidRPr="00E729A9">
        <w:rPr>
          <w:lang w:val="es-ES"/>
        </w:rPr>
        <w:tab/>
        <w:t>los ataques ilícitos generalizados perpetrados por Irán contra bienes civiles esenciales, incluidos servicios de telecomunicaciones, en Bahrein, Kuwait, Qatar, Emiratos Árabes Unidos y Jordania, y las amenazas contra infraestructuras de telecomunicaciones adicionales, ambas incompatibles con las obligaciones contraídas por los Estados Miembros en virtud de la Constitución y el Convenio de la UIT;</w:t>
      </w:r>
    </w:p>
    <w:p w14:paraId="0A2E6B27" w14:textId="77777777" w:rsidR="00401CE0" w:rsidRPr="00E729A9" w:rsidRDefault="00401CE0" w:rsidP="00401CE0">
      <w:pPr>
        <w:rPr>
          <w:lang w:val="es-ES"/>
        </w:rPr>
      </w:pPr>
      <w:r w:rsidRPr="00E729A9">
        <w:rPr>
          <w:i/>
          <w:iCs/>
          <w:lang w:val="es-ES"/>
        </w:rPr>
        <w:t>b)</w:t>
      </w:r>
      <w:r w:rsidRPr="00E729A9">
        <w:rPr>
          <w:lang w:val="es-ES"/>
        </w:rPr>
        <w:tab/>
        <w:t>los daños directos a la infraestructura de aterraje de cables submarinos y la suspensión de proyectos de cables submarinos como resultado de tales ataques y amenazas,</w:t>
      </w:r>
    </w:p>
    <w:p w14:paraId="31D16B52" w14:textId="77777777" w:rsidR="00401CE0" w:rsidRPr="00E729A9" w:rsidRDefault="00401CE0" w:rsidP="00401CE0">
      <w:pPr>
        <w:pStyle w:val="Call"/>
        <w:rPr>
          <w:lang w:val="es-ES"/>
        </w:rPr>
      </w:pPr>
      <w:r w:rsidRPr="00E729A9">
        <w:rPr>
          <w:lang w:val="es-ES"/>
        </w:rPr>
        <w:t>resuelve encargar a los Directores de las tres Oficinas</w:t>
      </w:r>
    </w:p>
    <w:p w14:paraId="4A0EEC73" w14:textId="29E3FE0E" w:rsidR="00401CE0" w:rsidRPr="00E729A9" w:rsidRDefault="00401CE0" w:rsidP="00401CE0">
      <w:pPr>
        <w:rPr>
          <w:lang w:val="es-ES"/>
        </w:rPr>
      </w:pPr>
      <w:r w:rsidRPr="00E729A9">
        <w:rPr>
          <w:lang w:val="es-ES"/>
        </w:rPr>
        <w:t>1</w:t>
      </w:r>
      <w:r w:rsidRPr="00E729A9">
        <w:rPr>
          <w:lang w:val="es-ES"/>
        </w:rPr>
        <w:tab/>
        <w:t>que supervise e informe periódicamente de los ataques iraníes contra los servicios e infraestructuras de telecomunicaciones en Bahrein, Kuwait, Qatar, Emiratos Árabes Unidos y Jordania, incluidas sus repercusiones mundiales;</w:t>
      </w:r>
    </w:p>
    <w:p w14:paraId="3991D271" w14:textId="2A962898" w:rsidR="00401CE0" w:rsidRPr="00E729A9" w:rsidRDefault="00401CE0" w:rsidP="00401CE0">
      <w:pPr>
        <w:rPr>
          <w:lang w:val="es-ES"/>
        </w:rPr>
      </w:pPr>
      <w:r w:rsidRPr="00E729A9">
        <w:rPr>
          <w:lang w:val="es-ES"/>
        </w:rPr>
        <w:t>2</w:t>
      </w:r>
      <w:r w:rsidRPr="00E729A9">
        <w:rPr>
          <w:lang w:val="es-ES"/>
        </w:rPr>
        <w:tab/>
        <w:t>que evalúe las repercusiones de los ataques iraníes en los servicios e infraestructuras de telecomunicaciones, incluidos los programas y actividades de la UIT, en Bahrein, Kuwait, Qatar, Emiratos Árabes Unidos y Jordania, y presente un informe al respecto,</w:t>
      </w:r>
    </w:p>
    <w:p w14:paraId="2A430AA6" w14:textId="77777777" w:rsidR="00401CE0" w:rsidRPr="00E729A9" w:rsidRDefault="00401CE0" w:rsidP="00401CE0">
      <w:pPr>
        <w:pStyle w:val="Call"/>
        <w:rPr>
          <w:lang w:val="es-ES"/>
        </w:rPr>
      </w:pPr>
      <w:r w:rsidRPr="00E729A9">
        <w:rPr>
          <w:lang w:val="es-ES"/>
        </w:rPr>
        <w:t>encarga a la Secretaria General</w:t>
      </w:r>
    </w:p>
    <w:p w14:paraId="68FC54B9" w14:textId="77777777" w:rsidR="00401CE0" w:rsidRPr="00E729A9" w:rsidRDefault="00401CE0" w:rsidP="00401CE0">
      <w:pPr>
        <w:rPr>
          <w:lang w:val="es-ES"/>
        </w:rPr>
      </w:pPr>
      <w:r w:rsidRPr="00E729A9">
        <w:rPr>
          <w:lang w:val="es-ES"/>
        </w:rPr>
        <w:t>1</w:t>
      </w:r>
      <w:r w:rsidRPr="00E729A9">
        <w:rPr>
          <w:lang w:val="es-ES"/>
        </w:rPr>
        <w:tab/>
        <w:t xml:space="preserve">que coordine las actividades desplegadas por los tres Sectores de la Unión de conformidad con el </w:t>
      </w:r>
      <w:r w:rsidRPr="00E729A9">
        <w:rPr>
          <w:i/>
          <w:iCs/>
          <w:lang w:val="es-ES"/>
        </w:rPr>
        <w:t>resuelve</w:t>
      </w:r>
      <w:r w:rsidRPr="00E729A9">
        <w:rPr>
          <w:lang w:val="es-ES"/>
        </w:rPr>
        <w:t xml:space="preserve"> anterior, a fin de garantizar la mayor eficacia posible a la acción de la Unión en favor de los países afectados;</w:t>
      </w:r>
    </w:p>
    <w:p w14:paraId="334B35EB" w14:textId="77777777" w:rsidR="00401CE0" w:rsidRPr="00E729A9" w:rsidRDefault="00401CE0" w:rsidP="00401CE0">
      <w:pPr>
        <w:rPr>
          <w:lang w:val="es-ES"/>
        </w:rPr>
      </w:pPr>
      <w:r w:rsidRPr="00E729A9">
        <w:rPr>
          <w:lang w:val="es-ES"/>
        </w:rPr>
        <w:t>2</w:t>
      </w:r>
      <w:r w:rsidRPr="00E729A9">
        <w:rPr>
          <w:lang w:val="es-ES"/>
        </w:rPr>
        <w:tab/>
        <w:t>que presente un informe sobre las repercusiones de los ataques a la infraestructura de TIC de Bahrein, Kuwait, Qatar, Emiratos Árabes Unidos y Jordania, incluida una evaluación de los daños para la Conferencia de Plenipotenciarios de 2027 y para la última reunión del Consejo del 7 de noviembre de 2026, y futuras reuniones y conferencias, según proceda;</w:t>
      </w:r>
    </w:p>
    <w:p w14:paraId="676043BF" w14:textId="77777777" w:rsidR="00401CE0" w:rsidRPr="00E729A9" w:rsidRDefault="00401CE0" w:rsidP="00401CE0">
      <w:pPr>
        <w:rPr>
          <w:lang w:val="es-ES"/>
        </w:rPr>
      </w:pPr>
      <w:r w:rsidRPr="00E729A9">
        <w:rPr>
          <w:lang w:val="es-ES"/>
        </w:rPr>
        <w:t>3</w:t>
      </w:r>
      <w:r w:rsidRPr="00E729A9">
        <w:rPr>
          <w:lang w:val="es-ES"/>
        </w:rPr>
        <w:tab/>
        <w:t>que coordine con el Órgano Consultivo Internacional UIT/CIPC sobre resiliencia de cables submarinos las consecuencias para la infraestructura de cables submarinos en el corredor del Golfo.</w:t>
      </w:r>
    </w:p>
    <w:p w14:paraId="77B8C97A" w14:textId="77777777" w:rsidR="00401CE0" w:rsidRPr="00E729A9" w:rsidRDefault="00401CE0" w:rsidP="00411C49">
      <w:pPr>
        <w:pStyle w:val="Reasons"/>
        <w:rPr>
          <w:lang w:val="es-ES"/>
        </w:rPr>
      </w:pPr>
    </w:p>
    <w:p w14:paraId="0716412A" w14:textId="77777777" w:rsidR="00401CE0" w:rsidRPr="00E729A9" w:rsidRDefault="00401CE0">
      <w:pPr>
        <w:jc w:val="center"/>
        <w:rPr>
          <w:lang w:val="es-ES"/>
        </w:rPr>
      </w:pPr>
      <w:r w:rsidRPr="00E729A9">
        <w:rPr>
          <w:lang w:val="es-ES"/>
        </w:rPr>
        <w:t>______________</w:t>
      </w:r>
    </w:p>
    <w:sectPr w:rsidR="00401CE0" w:rsidRPr="00E729A9" w:rsidSect="00C538FC">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103A" w14:textId="77777777" w:rsidR="002671DA" w:rsidRDefault="002671DA">
      <w:r>
        <w:separator/>
      </w:r>
    </w:p>
  </w:endnote>
  <w:endnote w:type="continuationSeparator" w:id="0">
    <w:p w14:paraId="7F1A7274" w14:textId="77777777" w:rsidR="002671DA" w:rsidRDefault="0026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1CD1E801" w14:textId="77777777" w:rsidTr="00E31DCE">
      <w:trPr>
        <w:jc w:val="center"/>
      </w:trPr>
      <w:tc>
        <w:tcPr>
          <w:tcW w:w="1803" w:type="dxa"/>
          <w:vAlign w:val="center"/>
        </w:tcPr>
        <w:p w14:paraId="5455C37A" w14:textId="404EEF76" w:rsidR="003273A4" w:rsidRDefault="00401CE0" w:rsidP="003273A4">
          <w:pPr>
            <w:pStyle w:val="Header"/>
            <w:jc w:val="left"/>
            <w:rPr>
              <w:noProof/>
            </w:rPr>
          </w:pPr>
          <w:r>
            <w:rPr>
              <w:noProof/>
            </w:rPr>
            <w:t>2600936</w:t>
          </w:r>
        </w:p>
      </w:tc>
      <w:tc>
        <w:tcPr>
          <w:tcW w:w="8261" w:type="dxa"/>
        </w:tcPr>
        <w:p w14:paraId="79390DC3" w14:textId="3CD34836"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401CE0">
            <w:rPr>
              <w:bCs/>
            </w:rPr>
            <w:t>95</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BBE3313"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7A3D89A2" w14:textId="77777777" w:rsidTr="00E31DCE">
      <w:trPr>
        <w:jc w:val="center"/>
      </w:trPr>
      <w:tc>
        <w:tcPr>
          <w:tcW w:w="1803" w:type="dxa"/>
          <w:vAlign w:val="center"/>
        </w:tcPr>
        <w:p w14:paraId="290CEF19"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703D499A" w14:textId="47828B69"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401CE0">
            <w:rPr>
              <w:bCs/>
            </w:rPr>
            <w:t>95</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25D61340"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13F9A" w14:textId="77777777" w:rsidR="002671DA" w:rsidRDefault="002671DA">
      <w:r>
        <w:t>____________________</w:t>
      </w:r>
    </w:p>
  </w:footnote>
  <w:footnote w:type="continuationSeparator" w:id="0">
    <w:p w14:paraId="4FCC0559" w14:textId="77777777" w:rsidR="002671DA" w:rsidRDefault="00267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FC89" w14:textId="77777777" w:rsidR="001559F5" w:rsidRPr="00B1560D" w:rsidRDefault="00B1560D" w:rsidP="00B1560D">
    <w:pPr>
      <w:pStyle w:val="Header"/>
    </w:pPr>
    <w:r>
      <w:rPr>
        <w:noProof/>
      </w:rPr>
      <w:drawing>
        <wp:inline distT="0" distB="0" distL="0" distR="0" wp14:anchorId="0F34E53C" wp14:editId="7B4ADBC0">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DA"/>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671DA"/>
    <w:rsid w:val="00277DEA"/>
    <w:rsid w:val="002801AA"/>
    <w:rsid w:val="002946E2"/>
    <w:rsid w:val="002C3F32"/>
    <w:rsid w:val="002C4676"/>
    <w:rsid w:val="002C70B0"/>
    <w:rsid w:val="002F3CC4"/>
    <w:rsid w:val="003032E2"/>
    <w:rsid w:val="0031300A"/>
    <w:rsid w:val="003273A4"/>
    <w:rsid w:val="0034796E"/>
    <w:rsid w:val="00401CE0"/>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13101"/>
    <w:rsid w:val="00726872"/>
    <w:rsid w:val="00760F1C"/>
    <w:rsid w:val="007657F0"/>
    <w:rsid w:val="0077110E"/>
    <w:rsid w:val="0077252D"/>
    <w:rsid w:val="007955DA"/>
    <w:rsid w:val="007E5DD3"/>
    <w:rsid w:val="007F350B"/>
    <w:rsid w:val="00820BE4"/>
    <w:rsid w:val="008451E8"/>
    <w:rsid w:val="0084546D"/>
    <w:rsid w:val="008F6ABC"/>
    <w:rsid w:val="00913B9C"/>
    <w:rsid w:val="00915795"/>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C1FAF"/>
    <w:rsid w:val="00CD10D8"/>
    <w:rsid w:val="00CE07C0"/>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729A9"/>
    <w:rsid w:val="00E8018B"/>
    <w:rsid w:val="00E92DE8"/>
    <w:rsid w:val="00EB1212"/>
    <w:rsid w:val="00ED65AB"/>
    <w:rsid w:val="00EF7D07"/>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F9E76D"/>
  <w15:docId w15:val="{A5786FD3-A35B-4D1A-AD55-C9FFB259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qFormat/>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qFormat/>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36-S.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u.int/en/council/Documents/basic-texts-2023/RES-130-S.pdf"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en/council/Documents/basic-texts/Constitution-S.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tu.int/md/S25-CL-C-0081/e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1</TotalTime>
  <Pages>7</Pages>
  <Words>2573</Words>
  <Characters>14439</Characters>
  <Application>Microsoft Office Word</Application>
  <DocSecurity>0</DocSecurity>
  <Lines>240</Lines>
  <Paragraphs>88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16924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2026 de la UIT</dc:subject>
  <dc:creator>Spanish</dc:creator>
  <cp:keywords>C26; C2026; Council 2026; PP26</cp:keywords>
  <dc:description/>
  <cp:lastModifiedBy>GBS</cp:lastModifiedBy>
  <cp:revision>2</cp:revision>
  <cp:lastPrinted>2006-03-24T09:51:00Z</cp:lastPrinted>
  <dcterms:created xsi:type="dcterms:W3CDTF">2026-04-21T19:02:00Z</dcterms:created>
  <dcterms:modified xsi:type="dcterms:W3CDTF">2026-04-21T19:02:00Z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