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1DE5D3C8" w14:textId="77777777" w:rsidTr="00F363FE">
        <w:tc>
          <w:tcPr>
            <w:tcW w:w="6512" w:type="dxa"/>
          </w:tcPr>
          <w:p w14:paraId="1943D957" w14:textId="63640417"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DC38A0">
              <w:rPr>
                <w:rFonts w:hint="cs"/>
                <w:b/>
                <w:bCs/>
                <w:rtl/>
                <w:lang w:bidi="ar-EG"/>
              </w:rPr>
              <w:t xml:space="preserve"> </w:t>
            </w:r>
            <w:r w:rsidR="005F1E2F">
              <w:rPr>
                <w:b/>
                <w:bCs/>
                <w:lang w:bidi="ar-EG"/>
              </w:rPr>
              <w:t>PL 1</w:t>
            </w:r>
          </w:p>
        </w:tc>
        <w:tc>
          <w:tcPr>
            <w:tcW w:w="3117" w:type="dxa"/>
          </w:tcPr>
          <w:p w14:paraId="5AF5AC74" w14:textId="401E04B3"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DC38A0">
              <w:rPr>
                <w:b/>
                <w:bCs/>
                <w:lang w:bidi="ar-EG"/>
              </w:rPr>
              <w:t>95</w:t>
            </w:r>
            <w:r w:rsidRPr="007B0AA0">
              <w:rPr>
                <w:b/>
                <w:bCs/>
                <w:lang w:bidi="ar-EG"/>
              </w:rPr>
              <w:t>-A</w:t>
            </w:r>
          </w:p>
        </w:tc>
      </w:tr>
      <w:tr w:rsidR="007B0AA0" w14:paraId="12DF26BB" w14:textId="77777777" w:rsidTr="00F363FE">
        <w:tc>
          <w:tcPr>
            <w:tcW w:w="6512" w:type="dxa"/>
          </w:tcPr>
          <w:p w14:paraId="14FA59E1" w14:textId="77777777" w:rsidR="007B0AA0" w:rsidRPr="007B0AA0" w:rsidRDefault="007B0AA0" w:rsidP="00F363FE">
            <w:pPr>
              <w:spacing w:before="60" w:after="60" w:line="260" w:lineRule="exact"/>
              <w:rPr>
                <w:b/>
                <w:bCs/>
                <w:rtl/>
                <w:lang w:bidi="ar-EG"/>
              </w:rPr>
            </w:pPr>
          </w:p>
        </w:tc>
        <w:tc>
          <w:tcPr>
            <w:tcW w:w="3117" w:type="dxa"/>
          </w:tcPr>
          <w:p w14:paraId="6356C562" w14:textId="49EED218" w:rsidR="007B0AA0" w:rsidRPr="007B0AA0" w:rsidRDefault="00DC38A0" w:rsidP="00F363FE">
            <w:pPr>
              <w:spacing w:before="60" w:after="60" w:line="260" w:lineRule="exact"/>
              <w:rPr>
                <w:b/>
                <w:bCs/>
                <w:rtl/>
                <w:lang w:bidi="ar-EG"/>
              </w:rPr>
            </w:pPr>
            <w:r>
              <w:rPr>
                <w:b/>
                <w:bCs/>
                <w:lang w:bidi="ar-EG"/>
              </w:rPr>
              <w:t>14</w:t>
            </w:r>
            <w:r>
              <w:rPr>
                <w:rFonts w:hint="cs"/>
                <w:b/>
                <w:bCs/>
                <w:rtl/>
                <w:lang w:bidi="ar-EG"/>
              </w:rPr>
              <w:t xml:space="preserve"> أبريل </w:t>
            </w:r>
            <w:r>
              <w:rPr>
                <w:b/>
                <w:bCs/>
                <w:lang w:bidi="ar-EG"/>
              </w:rPr>
              <w:t>2026</w:t>
            </w:r>
          </w:p>
        </w:tc>
      </w:tr>
      <w:tr w:rsidR="007B0AA0" w14:paraId="35376910" w14:textId="77777777" w:rsidTr="00F363FE">
        <w:tc>
          <w:tcPr>
            <w:tcW w:w="6512" w:type="dxa"/>
          </w:tcPr>
          <w:p w14:paraId="15DD9D84" w14:textId="77777777" w:rsidR="007B0AA0" w:rsidRPr="007B0AA0" w:rsidRDefault="007B0AA0" w:rsidP="00F363FE">
            <w:pPr>
              <w:spacing w:before="60" w:after="60" w:line="260" w:lineRule="exact"/>
              <w:rPr>
                <w:b/>
                <w:bCs/>
                <w:rtl/>
                <w:lang w:bidi="ar-EG"/>
              </w:rPr>
            </w:pPr>
          </w:p>
        </w:tc>
        <w:tc>
          <w:tcPr>
            <w:tcW w:w="3117" w:type="dxa"/>
          </w:tcPr>
          <w:p w14:paraId="71F092A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6B18869C" w14:textId="77777777" w:rsidTr="00F363FE">
        <w:tc>
          <w:tcPr>
            <w:tcW w:w="6512" w:type="dxa"/>
          </w:tcPr>
          <w:p w14:paraId="29C65478" w14:textId="77777777" w:rsidR="007B0AA0" w:rsidRDefault="007B0AA0" w:rsidP="00F363FE">
            <w:pPr>
              <w:spacing w:before="60" w:after="60" w:line="260" w:lineRule="exact"/>
              <w:rPr>
                <w:lang w:bidi="ar-EG"/>
              </w:rPr>
            </w:pPr>
          </w:p>
        </w:tc>
        <w:tc>
          <w:tcPr>
            <w:tcW w:w="3117" w:type="dxa"/>
          </w:tcPr>
          <w:p w14:paraId="38A34846" w14:textId="77777777" w:rsidR="007B0AA0" w:rsidRDefault="007B0AA0" w:rsidP="00F363FE">
            <w:pPr>
              <w:spacing w:before="60" w:after="60" w:line="260" w:lineRule="exact"/>
              <w:rPr>
                <w:rtl/>
                <w:lang w:bidi="ar-EG"/>
              </w:rPr>
            </w:pPr>
          </w:p>
        </w:tc>
      </w:tr>
      <w:tr w:rsidR="007B0AA0" w14:paraId="0675F457" w14:textId="77777777" w:rsidTr="00EE7446">
        <w:tc>
          <w:tcPr>
            <w:tcW w:w="9629" w:type="dxa"/>
            <w:gridSpan w:val="2"/>
          </w:tcPr>
          <w:p w14:paraId="26F0FF11" w14:textId="28259C59" w:rsidR="007B0AA0" w:rsidRDefault="00DC38A0" w:rsidP="00DC38A0">
            <w:pPr>
              <w:pStyle w:val="Source"/>
              <w:jc w:val="left"/>
              <w:rPr>
                <w:lang w:bidi="ar-EG"/>
              </w:rPr>
            </w:pPr>
            <w:r w:rsidRPr="00DC38A0">
              <w:rPr>
                <w:rtl/>
              </w:rPr>
              <w:t>مساهمة مقدمة من الإمارات العربية المتحدة والمملكة العربية السعودية ومملكة البحرين والمملكة الأردنية الهاشمية ودولة الكويت وسلطنة عمان ودولة قطر</w:t>
            </w:r>
          </w:p>
        </w:tc>
      </w:tr>
      <w:tr w:rsidR="007B0AA0" w14:paraId="773B6B30" w14:textId="77777777" w:rsidTr="007B0AA0">
        <w:tc>
          <w:tcPr>
            <w:tcW w:w="9629" w:type="dxa"/>
            <w:gridSpan w:val="2"/>
            <w:tcBorders>
              <w:bottom w:val="single" w:sz="4" w:space="0" w:color="auto"/>
            </w:tcBorders>
          </w:tcPr>
          <w:p w14:paraId="762B53D1" w14:textId="179A1A6F" w:rsidR="007B0AA0" w:rsidRPr="005546CF" w:rsidRDefault="00DC38A0" w:rsidP="00DC38A0">
            <w:pPr>
              <w:pStyle w:val="Subtitle0"/>
              <w:rPr>
                <w:sz w:val="32"/>
                <w:szCs w:val="32"/>
              </w:rPr>
            </w:pPr>
            <w:r w:rsidRPr="00DC38A0">
              <w:rPr>
                <w:sz w:val="32"/>
                <w:szCs w:val="32"/>
                <w:rtl/>
                <w:lang w:bidi="ar-SA"/>
              </w:rPr>
              <w:t>الأثر على البنية التحتية المدنية للاتصالات/تكنولوجيا المعلومات والاتصالات في البحرين والكويت وقطر والإمارات العربية المتحدة والأردن، وتداعياته على التوصيلية الإقليمية والعالمية</w:t>
            </w:r>
          </w:p>
        </w:tc>
      </w:tr>
      <w:tr w:rsidR="007B0AA0" w14:paraId="53E482A4" w14:textId="77777777" w:rsidTr="007B0AA0">
        <w:tc>
          <w:tcPr>
            <w:tcW w:w="9629" w:type="dxa"/>
            <w:gridSpan w:val="2"/>
            <w:tcBorders>
              <w:top w:val="single" w:sz="4" w:space="0" w:color="auto"/>
              <w:bottom w:val="single" w:sz="4" w:space="0" w:color="auto"/>
            </w:tcBorders>
          </w:tcPr>
          <w:p w14:paraId="3D8C10CA" w14:textId="77777777" w:rsidR="007B0AA0" w:rsidRPr="007B0AA0" w:rsidRDefault="007B0AA0" w:rsidP="007B0AA0">
            <w:pPr>
              <w:rPr>
                <w:b/>
                <w:bCs/>
                <w:rtl/>
              </w:rPr>
            </w:pPr>
            <w:r w:rsidRPr="00494119">
              <w:rPr>
                <w:rFonts w:hint="cs"/>
                <w:b/>
                <w:bCs/>
                <w:rtl/>
              </w:rPr>
              <w:t>الغرض</w:t>
            </w:r>
          </w:p>
          <w:p w14:paraId="7A9A69B8" w14:textId="0F64FD9A" w:rsidR="00DC38A0" w:rsidRPr="00DC38A0" w:rsidRDefault="00DC38A0" w:rsidP="00DC38A0">
            <w:r w:rsidRPr="00DC38A0">
              <w:rPr>
                <w:rtl/>
              </w:rPr>
              <w:t xml:space="preserve">تسترعي هذه المساهمة، المقدمة نيابةً عن الدول الأعضاء الست في مجلس التعاون لدول الخليج العربية </w:t>
            </w:r>
            <w:r w:rsidRPr="00DC38A0">
              <w:t>(GCC)</w:t>
            </w:r>
            <w:r>
              <w:rPr>
                <w:rFonts w:hint="cs"/>
                <w:rtl/>
              </w:rPr>
              <w:t xml:space="preserve"> - </w:t>
            </w:r>
            <w:r w:rsidRPr="00DC38A0">
              <w:rPr>
                <w:rtl/>
              </w:rPr>
              <w:t>البحرين والكويت وعمان وقطر والمملكة العربية السعودية والإمارات العربية المتحدة - وعن الأردن، انتباه المجلس إلى الاستهداف غير القانوني والمتعمد للبنية التحتية المدنية لتكنولوجيا المعلومات والاتصالات في البحرين والكويت وقطر والإمارات العربية المتحدة والأردن من جانب إيران منذ فبراير 2026. وتؤيد الدول الأعضاء في مجلس التعاون لدول الخليج العربية والأردن، مجتمعةً، مقترحات الإمارات العربية المتحدة، بما في ذلك مشروع قرار المجلس بشأن الأثر على البنية التحتية المدنية للاتصالات/تكنولوجيا المعلومات والاتصالات في البحرين والكويت وقطر والإمارات العربية المتحدة والأردن، وتداعياته على التوصيلية الإقليمية والعالمية.</w:t>
            </w:r>
            <w:bookmarkStart w:id="0" w:name="_Hlk227075036"/>
            <w:bookmarkEnd w:id="0"/>
          </w:p>
          <w:p w14:paraId="0C02654C" w14:textId="77777777" w:rsidR="007B0AA0" w:rsidRPr="007B0AA0" w:rsidRDefault="007B0AA0" w:rsidP="007B0AA0">
            <w:pPr>
              <w:rPr>
                <w:b/>
                <w:bCs/>
                <w:rtl/>
              </w:rPr>
            </w:pPr>
            <w:r w:rsidRPr="007B0AA0">
              <w:rPr>
                <w:rFonts w:hint="cs"/>
                <w:b/>
                <w:bCs/>
                <w:rtl/>
              </w:rPr>
              <w:t>الإجراء المطلوب من المجلس</w:t>
            </w:r>
          </w:p>
          <w:p w14:paraId="2D351005" w14:textId="77777777" w:rsidR="00DC38A0" w:rsidRPr="00DC38A0" w:rsidRDefault="00DC38A0" w:rsidP="00DC38A0">
            <w:r w:rsidRPr="00DC38A0">
              <w:rPr>
                <w:rtl/>
              </w:rPr>
              <w:t xml:space="preserve">يُدعى المجلس إلى </w:t>
            </w:r>
            <w:r w:rsidRPr="00DC38A0">
              <w:rPr>
                <w:b/>
                <w:bCs/>
                <w:rtl/>
              </w:rPr>
              <w:t xml:space="preserve">النظر </w:t>
            </w:r>
            <w:r w:rsidRPr="00DC38A0">
              <w:rPr>
                <w:rtl/>
              </w:rPr>
              <w:t>في هذه المساهمة و</w:t>
            </w:r>
            <w:r w:rsidRPr="00DC38A0">
              <w:rPr>
                <w:b/>
                <w:bCs/>
                <w:rtl/>
              </w:rPr>
              <w:t>تأييد </w:t>
            </w:r>
            <w:r w:rsidRPr="00DC38A0">
              <w:rPr>
                <w:rtl/>
              </w:rPr>
              <w:t>اعتماد مشروع قرار المجلس المقترح من الإمارات العربية المتحدة نيابةً عن الدول الأعضاء في مجلس التعاون لدول الخليج العربية والأردن.</w:t>
            </w:r>
          </w:p>
          <w:p w14:paraId="71F91415"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B845380" w14:textId="77777777" w:rsidR="007B0AA0" w:rsidRPr="007B0AA0" w:rsidRDefault="007B0AA0" w:rsidP="007B0AA0">
            <w:pPr>
              <w:rPr>
                <w:b/>
                <w:bCs/>
                <w:rtl/>
              </w:rPr>
            </w:pPr>
            <w:r w:rsidRPr="007B0AA0">
              <w:rPr>
                <w:rFonts w:hint="cs"/>
                <w:b/>
                <w:bCs/>
                <w:rtl/>
              </w:rPr>
              <w:t>المراجع</w:t>
            </w:r>
          </w:p>
          <w:p w14:paraId="1E8448AB" w14:textId="57C8231F" w:rsidR="007B0AA0" w:rsidRPr="005546CF" w:rsidRDefault="00DC38A0" w:rsidP="00DC38A0">
            <w:pPr>
              <w:rPr>
                <w:i/>
                <w:iCs/>
                <w:rtl/>
              </w:rPr>
            </w:pPr>
            <w:hyperlink r:id="rId8" w:history="1">
              <w:r w:rsidRPr="00DC38A0">
                <w:rPr>
                  <w:rStyle w:val="Hyperlink"/>
                  <w:i/>
                  <w:iCs/>
                  <w:noProof w:val="0"/>
                  <w:rtl/>
                  <w:lang w:val="en-US" w:eastAsia="zh-CN"/>
                </w:rPr>
                <w:t>ديباجة دستور الاتحاد الدولي للاتصالات، والمواد</w:t>
              </w:r>
              <w:r w:rsidRPr="00DC38A0">
                <w:rPr>
                  <w:rStyle w:val="Hyperlink"/>
                  <w:i/>
                  <w:iCs/>
                  <w:noProof w:val="0"/>
                  <w:cs/>
                  <w:lang w:val="en-US" w:eastAsia="zh-CN"/>
                </w:rPr>
                <w:t>‎</w:t>
              </w:r>
              <w:r w:rsidRPr="00DC38A0">
                <w:rPr>
                  <w:rStyle w:val="Hyperlink"/>
                  <w:i/>
                  <w:iCs/>
                  <w:noProof w:val="0"/>
                  <w:lang w:val="en-US" w:eastAsia="zh-CN"/>
                </w:rPr>
                <w:t xml:space="preserve"> 1 </w:t>
              </w:r>
              <w:r w:rsidRPr="00DC38A0">
                <w:rPr>
                  <w:rStyle w:val="Hyperlink"/>
                  <w:i/>
                  <w:iCs/>
                  <w:noProof w:val="0"/>
                  <w:rtl/>
                  <w:lang w:val="en-US" w:eastAsia="zh-CN"/>
                </w:rPr>
                <w:t>و38 و45 منه</w:t>
              </w:r>
            </w:hyperlink>
            <w:r w:rsidRPr="00DC38A0">
              <w:rPr>
                <w:i/>
                <w:iCs/>
                <w:rtl/>
              </w:rPr>
              <w:t xml:space="preserve">؛ القرار </w:t>
            </w:r>
            <w:hyperlink r:id="rId9" w:history="1">
              <w:r w:rsidRPr="00DC38A0">
                <w:rPr>
                  <w:rStyle w:val="Hyperlink"/>
                  <w:i/>
                  <w:iCs/>
                  <w:noProof w:val="0"/>
                  <w:rtl/>
                  <w:lang w:val="en-US" w:eastAsia="zh-CN"/>
                </w:rPr>
                <w:t>130 (المراجَع في بوخارست، 2022)</w:t>
              </w:r>
            </w:hyperlink>
            <w:r w:rsidRPr="00DC38A0">
              <w:rPr>
                <w:i/>
                <w:iCs/>
                <w:rtl/>
              </w:rPr>
              <w:t xml:space="preserve"> و</w:t>
            </w:r>
            <w:hyperlink r:id="rId10" w:history="1">
              <w:r w:rsidRPr="00DC38A0">
                <w:rPr>
                  <w:rStyle w:val="Hyperlink"/>
                  <w:i/>
                  <w:iCs/>
                  <w:noProof w:val="0"/>
                  <w:rtl/>
                  <w:lang w:val="en-US" w:eastAsia="zh-CN"/>
                </w:rPr>
                <w:t>القرار</w:t>
              </w:r>
              <w:r w:rsidRPr="00DC38A0">
                <w:rPr>
                  <w:rStyle w:val="Hyperlink"/>
                  <w:rFonts w:hint="cs"/>
                  <w:i/>
                  <w:iCs/>
                  <w:noProof w:val="0"/>
                  <w:rtl/>
                  <w:lang w:val="en-US" w:eastAsia="zh-CN"/>
                </w:rPr>
                <w:t> </w:t>
              </w:r>
              <w:r w:rsidRPr="00DC38A0">
                <w:rPr>
                  <w:rStyle w:val="Hyperlink"/>
                  <w:i/>
                  <w:iCs/>
                  <w:noProof w:val="0"/>
                  <w:cs/>
                  <w:lang w:val="en-US" w:eastAsia="zh-CN"/>
                </w:rPr>
                <w:t>‎‎</w:t>
              </w:r>
              <w:r w:rsidRPr="00DC38A0">
                <w:rPr>
                  <w:rStyle w:val="Hyperlink"/>
                  <w:i/>
                  <w:iCs/>
                  <w:noProof w:val="0"/>
                  <w:lang w:val="en-US" w:eastAsia="zh-CN"/>
                </w:rPr>
                <w:t>136</w:t>
              </w:r>
              <w:r w:rsidRPr="00DC38A0">
                <w:rPr>
                  <w:rStyle w:val="Hyperlink"/>
                  <w:rFonts w:hint="cs"/>
                  <w:i/>
                  <w:iCs/>
                  <w:noProof w:val="0"/>
                  <w:rtl/>
                  <w:lang w:val="en-US" w:eastAsia="zh-CN"/>
                </w:rPr>
                <w:t xml:space="preserve"> </w:t>
              </w:r>
              <w:r w:rsidRPr="00DC38A0">
                <w:rPr>
                  <w:rStyle w:val="Hyperlink"/>
                  <w:i/>
                  <w:iCs/>
                  <w:noProof w:val="0"/>
                  <w:rtl/>
                  <w:lang w:val="en-US" w:eastAsia="zh-CN"/>
                </w:rPr>
                <w:t>(المراجَع في بوخارست، 2022)</w:t>
              </w:r>
            </w:hyperlink>
            <w:r w:rsidRPr="00DC38A0">
              <w:rPr>
                <w:i/>
                <w:iCs/>
                <w:rtl/>
              </w:rPr>
              <w:t xml:space="preserve"> لمؤتمر المندوبين المفوضين؛ بيان المؤتمر العالمي لتنمية الاتصالات لعام</w:t>
            </w:r>
            <w:r w:rsidRPr="00DC38A0">
              <w:rPr>
                <w:i/>
                <w:iCs/>
              </w:rPr>
              <w:t xml:space="preserve"> </w:t>
            </w:r>
            <w:r w:rsidRPr="00DC38A0">
              <w:rPr>
                <w:i/>
                <w:iCs/>
                <w:cs/>
              </w:rPr>
              <w:t>‎</w:t>
            </w:r>
            <w:r w:rsidRPr="00DC38A0">
              <w:rPr>
                <w:i/>
                <w:iCs/>
              </w:rPr>
              <w:t xml:space="preserve">2025 </w:t>
            </w:r>
            <w:r w:rsidRPr="00DC38A0">
              <w:rPr>
                <w:i/>
                <w:iCs/>
                <w:rtl/>
              </w:rPr>
              <w:t>بشأن حماية شبكات الاتصالات العمومية وخدماتها أثناء النزاعات المسلحة وفي حالات الكوارث؛ الهيئة</w:t>
            </w:r>
            <w:r w:rsidRPr="00DC38A0">
              <w:rPr>
                <w:i/>
                <w:iCs/>
              </w:rPr>
              <w:t xml:space="preserve"> </w:t>
            </w:r>
            <w:r w:rsidRPr="00DC38A0">
              <w:rPr>
                <w:i/>
                <w:iCs/>
                <w:cs/>
              </w:rPr>
              <w:t>‎</w:t>
            </w:r>
            <w:r w:rsidRPr="00DC38A0">
              <w:rPr>
                <w:i/>
                <w:iCs/>
                <w:rtl/>
              </w:rPr>
              <w:t>الاستشارية الدولية المعنية بصمود الكبلات البحرية، المشتركة بين الاتحاد الدولي للاتصالات</w:t>
            </w:r>
            <w:r>
              <w:rPr>
                <w:rFonts w:hint="cs"/>
                <w:i/>
                <w:iCs/>
                <w:rtl/>
              </w:rPr>
              <w:t> </w:t>
            </w:r>
            <w:r w:rsidRPr="00DC38A0">
              <w:rPr>
                <w:i/>
                <w:iCs/>
              </w:rPr>
              <w:t>(ITU)</w:t>
            </w:r>
            <w:r>
              <w:rPr>
                <w:rFonts w:hint="cs"/>
                <w:i/>
                <w:iCs/>
                <w:rtl/>
              </w:rPr>
              <w:t xml:space="preserve"> </w:t>
            </w:r>
            <w:r w:rsidRPr="00DC38A0">
              <w:rPr>
                <w:i/>
                <w:iCs/>
                <w:rtl/>
              </w:rPr>
              <w:t>واللجنة الدولية</w:t>
            </w:r>
            <w:r w:rsidRPr="00DC38A0">
              <w:rPr>
                <w:i/>
                <w:iCs/>
              </w:rPr>
              <w:t xml:space="preserve"> </w:t>
            </w:r>
            <w:r w:rsidRPr="00DC38A0">
              <w:rPr>
                <w:i/>
                <w:iCs/>
                <w:cs/>
              </w:rPr>
              <w:t>‎</w:t>
            </w:r>
            <w:r w:rsidRPr="00DC38A0">
              <w:rPr>
                <w:i/>
                <w:iCs/>
                <w:rtl/>
              </w:rPr>
              <w:t>لحماية الكبلات</w:t>
            </w:r>
            <w:r>
              <w:rPr>
                <w:rFonts w:hint="cs"/>
                <w:i/>
                <w:iCs/>
                <w:rtl/>
              </w:rPr>
              <w:t> </w:t>
            </w:r>
            <w:r>
              <w:rPr>
                <w:i/>
                <w:iCs/>
              </w:rPr>
              <w:t>(ICPC)</w:t>
            </w:r>
            <w:r>
              <w:rPr>
                <w:rFonts w:hint="cs"/>
                <w:i/>
                <w:iCs/>
                <w:rtl/>
                <w:lang w:bidi="ar-EG"/>
              </w:rPr>
              <w:t xml:space="preserve"> </w:t>
            </w:r>
            <w:r>
              <w:rPr>
                <w:i/>
                <w:iCs/>
              </w:rPr>
              <w:t>)</w:t>
            </w:r>
            <w:r w:rsidRPr="00DC38A0">
              <w:rPr>
                <w:i/>
                <w:iCs/>
                <w:rtl/>
              </w:rPr>
              <w:t>وثيقة المجلس</w:t>
            </w:r>
            <w:r>
              <w:rPr>
                <w:rFonts w:hint="cs"/>
                <w:i/>
                <w:iCs/>
                <w:rtl/>
              </w:rPr>
              <w:t> </w:t>
            </w:r>
            <w:hyperlink r:id="rId11" w:history="1">
              <w:r w:rsidRPr="00DC38A0">
                <w:rPr>
                  <w:rStyle w:val="Hyperlink"/>
                  <w:i/>
                  <w:iCs/>
                  <w:noProof w:val="0"/>
                  <w:lang w:val="en-US" w:eastAsia="zh-CN"/>
                </w:rPr>
                <w:t>C25/81</w:t>
              </w:r>
            </w:hyperlink>
            <w:r>
              <w:rPr>
                <w:rFonts w:hint="cs"/>
                <w:i/>
                <w:iCs/>
                <w:rtl/>
              </w:rPr>
              <w:t>)</w:t>
            </w:r>
            <w:r w:rsidRPr="00DC38A0">
              <w:rPr>
                <w:i/>
                <w:iCs/>
                <w:rtl/>
              </w:rPr>
              <w:t>؛ قرار مجلس الأمن التابع للأمم المتحدة 2817 (2026)؛ قرار</w:t>
            </w:r>
            <w:r>
              <w:rPr>
                <w:rFonts w:hint="cs"/>
                <w:i/>
                <w:iCs/>
                <w:rtl/>
              </w:rPr>
              <w:t> </w:t>
            </w:r>
            <w:r w:rsidRPr="00DC38A0">
              <w:rPr>
                <w:i/>
                <w:iCs/>
                <w:cs/>
              </w:rPr>
              <w:t>‎</w:t>
            </w:r>
            <w:r w:rsidRPr="00DC38A0">
              <w:rPr>
                <w:i/>
                <w:iCs/>
                <w:rtl/>
              </w:rPr>
              <w:t xml:space="preserve">مجلس حقوق الإنسان </w:t>
            </w:r>
            <w:r>
              <w:rPr>
                <w:i/>
                <w:iCs/>
              </w:rPr>
              <w:t>61/1</w:t>
            </w:r>
            <w:r>
              <w:rPr>
                <w:rFonts w:hint="cs"/>
                <w:i/>
                <w:iCs/>
                <w:rtl/>
                <w:lang w:bidi="ar-EG"/>
              </w:rPr>
              <w:t>.</w:t>
            </w:r>
            <w:r w:rsidRPr="00DC38A0">
              <w:rPr>
                <w:i/>
                <w:iCs/>
                <w:cs/>
              </w:rPr>
              <w:t>‎</w:t>
            </w:r>
          </w:p>
        </w:tc>
      </w:tr>
    </w:tbl>
    <w:p w14:paraId="0074A21A" w14:textId="77777777" w:rsidR="00E61BE8" w:rsidRDefault="00E61BE8" w:rsidP="00E61BE8">
      <w:pPr>
        <w:rPr>
          <w:rtl/>
          <w:lang w:bidi="ar-EG"/>
        </w:rPr>
      </w:pPr>
    </w:p>
    <w:p w14:paraId="157B6EBA" w14:textId="77777777" w:rsidR="00F50E3F" w:rsidRDefault="00F50E3F" w:rsidP="0043260A">
      <w:pPr>
        <w:rPr>
          <w:rtl/>
          <w:lang w:bidi="ar-EG"/>
        </w:rPr>
      </w:pPr>
      <w:r>
        <w:rPr>
          <w:rtl/>
          <w:lang w:bidi="ar-EG"/>
        </w:rPr>
        <w:br w:type="page"/>
      </w:r>
    </w:p>
    <w:p w14:paraId="0AFCF43D" w14:textId="02F87D13" w:rsidR="00DC38A0" w:rsidRPr="00DC38A0" w:rsidRDefault="00DC38A0" w:rsidP="00DC38A0">
      <w:pPr>
        <w:pStyle w:val="Heading1"/>
        <w:rPr>
          <w:lang w:val="ar-SA" w:bidi="ar-EG"/>
        </w:rPr>
      </w:pPr>
      <w:r>
        <w:rPr>
          <w:rFonts w:hint="cs"/>
          <w:rtl/>
          <w:lang w:val="en-GB"/>
        </w:rPr>
        <w:lastRenderedPageBreak/>
        <w:t>1</w:t>
      </w:r>
      <w:r w:rsidRPr="00DC38A0">
        <w:rPr>
          <w:rtl/>
          <w:lang w:val="en-GB"/>
        </w:rPr>
        <w:tab/>
        <w:t>مقدمة</w:t>
      </w:r>
    </w:p>
    <w:p w14:paraId="253285FA" w14:textId="462749E3" w:rsidR="00DC38A0" w:rsidRPr="00DC38A0" w:rsidRDefault="00DC38A0" w:rsidP="00DC38A0">
      <w:pPr>
        <w:rPr>
          <w:lang w:val="ar-SA" w:bidi="ar-EG"/>
        </w:rPr>
      </w:pPr>
      <w:r>
        <w:rPr>
          <w:rFonts w:hint="cs"/>
          <w:rtl/>
          <w:lang w:val="en-GB"/>
        </w:rPr>
        <w:t>1.1</w:t>
      </w:r>
      <w:r w:rsidRPr="00DC38A0">
        <w:rPr>
          <w:rtl/>
          <w:lang w:val="en-GB"/>
        </w:rPr>
        <w:tab/>
        <w:t xml:space="preserve">يمثل مجلس التعاون لدول الخليج العربية </w:t>
      </w:r>
      <w:r w:rsidRPr="00DC38A0">
        <w:rPr>
          <w:lang w:bidi="ar-EG"/>
        </w:rPr>
        <w:t>(GCC)</w:t>
      </w:r>
      <w:r>
        <w:rPr>
          <w:rFonts w:hint="cs"/>
          <w:rtl/>
          <w:lang w:bidi="ar-EG"/>
        </w:rPr>
        <w:t xml:space="preserve"> - </w:t>
      </w:r>
      <w:r w:rsidRPr="00DC38A0">
        <w:rPr>
          <w:rtl/>
          <w:lang w:val="en-GB"/>
        </w:rPr>
        <w:t xml:space="preserve">الذي يضم البحرين والكويت وعمان وقطر والمملكة العربية السعودية والإمارات العربية المتحدة - إلى جانب الأردن، </w:t>
      </w:r>
      <w:r>
        <w:rPr>
          <w:rtl/>
          <w:lang w:val="en-GB"/>
        </w:rPr>
        <w:tab/>
      </w:r>
      <w:r w:rsidRPr="00DC38A0">
        <w:rPr>
          <w:rtl/>
          <w:lang w:val="en-GB"/>
        </w:rPr>
        <w:t>منطقة بالغة الأهمية للاتصالات العالمية. وعلاوة على ذلك، تستضيف منطقة الخليج نقاطاً رئيسية لتوصيل الكبلات البحرية بالشبكة الأرضية، وتجمعات لمراكز البيانات، ومحطات مقامة على الأرض للخدمة الساتلية، وهي بمثابة ممر عبور لحركة البيانات الدولية يربط بين أوروبا وإفريقيا وآسيا.</w:t>
      </w:r>
    </w:p>
    <w:p w14:paraId="1E4A9C0B" w14:textId="4B17153F" w:rsidR="00DC38A0" w:rsidRPr="00DC38A0" w:rsidRDefault="00DC38A0" w:rsidP="00DC38A0">
      <w:pPr>
        <w:rPr>
          <w:lang w:val="ar-SA" w:bidi="ar-EG"/>
        </w:rPr>
      </w:pPr>
      <w:r>
        <w:rPr>
          <w:rFonts w:hint="cs"/>
          <w:rtl/>
          <w:lang w:val="en-GB"/>
        </w:rPr>
        <w:t>2.1</w:t>
      </w:r>
      <w:r w:rsidRPr="00DC38A0">
        <w:rPr>
          <w:rtl/>
          <w:lang w:val="en-GB"/>
        </w:rPr>
        <w:tab/>
        <w:t>وتلاحظ الدول الأعضاء في مجلس التعاون لدول الخليج العربية والأردن أن مجلس الأمن التابع للأمم المتحدة، في قراره 2817 (2026) المعتمد في 11 مارس 2026، قد أدان بأشد العبارات الهجمات الشنيعة التي شنتها إيران على أراضي الدول الأعضاء في مجلس التعاون والأردن، وأعرب عن استيائه للاستهداف المتعمد للبنية التحتية المدنية الحيوية، وطالب بالوقف الفوري لجميع الهجمات والتهديدات، وأدان أي أعمال أو تهديدات صادرة عن إيران تهدف إلى إغلاق مضيق هرمز أو تعطيل الملاحة الدولية فيه أو التدخل فيه بأي شكل آخر.</w:t>
      </w:r>
    </w:p>
    <w:p w14:paraId="2F510BC4" w14:textId="73BBBAE2" w:rsidR="00DC38A0" w:rsidRPr="00DC38A0" w:rsidRDefault="00DC38A0" w:rsidP="00DC38A0">
      <w:pPr>
        <w:rPr>
          <w:lang w:val="ar-SA" w:bidi="ar-EG"/>
        </w:rPr>
      </w:pPr>
      <w:r>
        <w:rPr>
          <w:rFonts w:hint="cs"/>
          <w:rtl/>
          <w:lang w:val="en-GB"/>
        </w:rPr>
        <w:t>3.1</w:t>
      </w:r>
      <w:r w:rsidRPr="00DC38A0">
        <w:rPr>
          <w:rtl/>
          <w:lang w:val="en-GB"/>
        </w:rPr>
        <w:tab/>
        <w:t>وتلاحظ الدول الأعضاء في مجلس التعاون لدول الخليج العربية والأردن كذلك أن القرار 1/61 الصادر عن مجلس حقوق الإنسان، والمعتمد بتوافق الآراء في 25 مارس 2026، أدان جميع انتهاكات القانون الدولي، بما في ذلك القانون الدولي الإنساني والقانون الدولي لحقوق الإنسان، الناجمة عن الهجمات التي شنتها إيران، ولا سيما تلك التي انطوت على استهداف المدنيين والأعيان المدنية، مع مطالبة إيران أيضاً بتقديم تعويض كامل وفعال وسريع لجميع الضحايا عن الأضرار والإصابات التي تسببت فيها هجماتها.</w:t>
      </w:r>
    </w:p>
    <w:p w14:paraId="533D39C4" w14:textId="409B2166" w:rsidR="00DC38A0" w:rsidRPr="00DC38A0" w:rsidRDefault="00DC38A0" w:rsidP="00DC38A0">
      <w:pPr>
        <w:rPr>
          <w:lang w:val="ar-SA" w:bidi="ar-EG"/>
        </w:rPr>
      </w:pPr>
      <w:r>
        <w:rPr>
          <w:rFonts w:hint="cs"/>
          <w:rtl/>
          <w:lang w:val="en-GB"/>
        </w:rPr>
        <w:t>4.1</w:t>
      </w:r>
      <w:r w:rsidRPr="00DC38A0">
        <w:rPr>
          <w:rtl/>
          <w:lang w:val="en-GB"/>
        </w:rPr>
        <w:tab/>
        <w:t>ويتسق موقف كل من الدول الأعضاء في مجلس التعاون والأردن في هذه المساهمة اتساقاً تاماً مع قرار مجلس الأمن التابع للأمم المتحدة 2817 (2026) ومع قرار مجلس حقوق الإنسان 1/61.</w:t>
      </w:r>
    </w:p>
    <w:p w14:paraId="6EDDECB1" w14:textId="76599444" w:rsidR="00DC38A0" w:rsidRPr="00DC38A0" w:rsidRDefault="00DC38A0" w:rsidP="00DC38A0">
      <w:pPr>
        <w:pStyle w:val="Heading1"/>
        <w:rPr>
          <w:lang w:val="ar-SA" w:bidi="ar-EG"/>
        </w:rPr>
      </w:pPr>
      <w:r>
        <w:rPr>
          <w:rFonts w:hint="cs"/>
          <w:rtl/>
          <w:lang w:val="en-GB"/>
        </w:rPr>
        <w:t>2</w:t>
      </w:r>
      <w:r w:rsidRPr="00DC38A0">
        <w:rPr>
          <w:rtl/>
          <w:lang w:val="en-GB"/>
        </w:rPr>
        <w:tab/>
        <w:t>الحالة الواقعية</w:t>
      </w:r>
    </w:p>
    <w:p w14:paraId="52CE2FFF" w14:textId="21251620" w:rsidR="00DC38A0" w:rsidRPr="00DC38A0" w:rsidRDefault="00DC38A0" w:rsidP="00DC38A0">
      <w:pPr>
        <w:pStyle w:val="Heading2"/>
        <w:rPr>
          <w:lang w:val="ar-SA" w:bidi="ar-EG"/>
        </w:rPr>
      </w:pPr>
      <w:r>
        <w:rPr>
          <w:rFonts w:hint="cs"/>
          <w:rtl/>
          <w:lang w:val="en-GB"/>
        </w:rPr>
        <w:t>1.2</w:t>
      </w:r>
      <w:r w:rsidRPr="00DC38A0">
        <w:rPr>
          <w:rtl/>
          <w:lang w:val="en-GB"/>
        </w:rPr>
        <w:tab/>
        <w:t>الهجمات على البنية التحتية المدنية لتكنولوجيا المعلومات والاتصالات</w:t>
      </w:r>
    </w:p>
    <w:p w14:paraId="4B14207A" w14:textId="0874E960" w:rsidR="00DC38A0" w:rsidRPr="00DC38A0" w:rsidRDefault="00DC38A0" w:rsidP="00DC38A0">
      <w:pPr>
        <w:rPr>
          <w:lang w:val="ar-SA" w:bidi="ar-EG"/>
        </w:rPr>
      </w:pPr>
      <w:r>
        <w:rPr>
          <w:rFonts w:hint="cs"/>
          <w:rtl/>
          <w:lang w:val="en-GB"/>
        </w:rPr>
        <w:t>1.1.2</w:t>
      </w:r>
      <w:r w:rsidRPr="00DC38A0">
        <w:rPr>
          <w:rtl/>
          <w:lang w:val="en-GB"/>
        </w:rPr>
        <w:tab/>
        <w:t>منذ 28 فبراير 2026، نفذت إيران عدة ضربات استهدفت البنية التحتية المدنية لتكنولوجيا المعلومات والاتصالات، بما في ذلك مراكز البيانات، ومحطات توصيل الكبلات البحرية بالشبكة الأرضية، والمحطات الأرضية للخدمة الساتلية، ومرافق الاتصالات الساتلية في البحرين والكويت وقطر والإمارات العربية المتحدة والأردن. وتشير الدول الأعضاء في مجلس التعاون لدول الخليج العربية والأردن إلى أن هذه الهجمات تشكل أول حالة استهداف متعمد للبنية التحتية المدنية للحوسبة السحابية تُعرف على الصعيد العالمي.</w:t>
      </w:r>
    </w:p>
    <w:p w14:paraId="5E2ED62A" w14:textId="59A119BF" w:rsidR="00DC38A0" w:rsidRPr="00DC38A0" w:rsidRDefault="00DC38A0" w:rsidP="00DC38A0">
      <w:pPr>
        <w:rPr>
          <w:lang w:val="ar-SA" w:bidi="ar-EG"/>
        </w:rPr>
      </w:pPr>
      <w:r>
        <w:rPr>
          <w:rFonts w:hint="cs"/>
          <w:rtl/>
          <w:lang w:val="en-GB"/>
        </w:rPr>
        <w:t>2.1.2</w:t>
      </w:r>
      <w:r w:rsidRPr="00DC38A0">
        <w:rPr>
          <w:rtl/>
          <w:lang w:val="en-GB"/>
        </w:rPr>
        <w:tab/>
        <w:t>ووجهت السلطات الإيرانية كذلك تهديدات صريحة باستهداف بنى تحتية مدنية إضافية لتكنولوجيا المعلومات والاتصالات في البحرين والكويت وقطر والإمارات العربية المتحدة والأردن.</w:t>
      </w:r>
    </w:p>
    <w:p w14:paraId="45DAEE09" w14:textId="08391040" w:rsidR="00DC38A0" w:rsidRPr="00DC38A0" w:rsidRDefault="00DC38A0" w:rsidP="00DC38A0">
      <w:pPr>
        <w:pStyle w:val="Heading2"/>
        <w:rPr>
          <w:lang w:val="ar-SA" w:bidi="ar-EG"/>
        </w:rPr>
      </w:pPr>
      <w:r>
        <w:rPr>
          <w:rFonts w:hint="cs"/>
          <w:rtl/>
          <w:lang w:val="en-GB"/>
        </w:rPr>
        <w:t>2.2</w:t>
      </w:r>
      <w:r w:rsidRPr="00DC38A0">
        <w:rPr>
          <w:rtl/>
          <w:lang w:val="en-GB"/>
        </w:rPr>
        <w:tab/>
        <w:t>الأثر على البنية التحتية للكبلات البحرية</w:t>
      </w:r>
    </w:p>
    <w:p w14:paraId="7AEAB4DE" w14:textId="5D9C8B83" w:rsidR="00DC38A0" w:rsidRPr="00DC38A0" w:rsidRDefault="00DC38A0" w:rsidP="00D703D2">
      <w:pPr>
        <w:rPr>
          <w:lang w:val="ar-SA" w:bidi="ar-EG"/>
        </w:rPr>
      </w:pPr>
      <w:r>
        <w:rPr>
          <w:rFonts w:hint="cs"/>
          <w:rtl/>
          <w:lang w:val="en-GB"/>
        </w:rPr>
        <w:t>1.2.2</w:t>
      </w:r>
      <w:r w:rsidRPr="00DC38A0">
        <w:rPr>
          <w:rtl/>
          <w:lang w:val="en-GB"/>
        </w:rPr>
        <w:tab/>
        <w:t xml:space="preserve">تعتمد البحرين والكويت وقطر والإمارات العربية المتحدة على العديد من أنظمة الكبلات البحرية الرئيسية ذات الأهمية البالغة للتوصيلية الدولية، بما في ذلك أنظمة </w:t>
      </w:r>
      <w:r w:rsidRPr="00DC38A0">
        <w:rPr>
          <w:lang w:bidi="ar-EG"/>
        </w:rPr>
        <w:t>FLAG/FALCON</w:t>
      </w:r>
      <w:r w:rsidRPr="00DC38A0">
        <w:rPr>
          <w:rtl/>
          <w:lang w:val="en-GB"/>
        </w:rPr>
        <w:t xml:space="preserve"> </w:t>
      </w:r>
      <w:proofErr w:type="gramStart"/>
      <w:r w:rsidRPr="00DC38A0">
        <w:rPr>
          <w:rtl/>
          <w:lang w:val="en-GB"/>
        </w:rPr>
        <w:t>و</w:t>
      </w:r>
      <w:r w:rsidR="00D703D2" w:rsidRPr="00D703D2">
        <w:rPr>
          <w:rFonts w:asciiTheme="minorHAnsi" w:eastAsia="Times New Roman" w:hAnsiTheme="minorHAnsi" w:cstheme="minorHAnsi"/>
          <w:sz w:val="24"/>
          <w:szCs w:val="20"/>
          <w:lang w:val="en-GB" w:eastAsia="en-US"/>
        </w:rPr>
        <w:t xml:space="preserve"> </w:t>
      </w:r>
      <w:r w:rsidR="00D703D2" w:rsidRPr="00D703D2">
        <w:rPr>
          <w:lang w:val="en-GB"/>
        </w:rPr>
        <w:t>Gulf</w:t>
      </w:r>
      <w:proofErr w:type="gramEnd"/>
      <w:r w:rsidR="00D703D2" w:rsidRPr="00D703D2">
        <w:rPr>
          <w:lang w:val="en-GB"/>
        </w:rPr>
        <w:t xml:space="preserve"> Bridge International</w:t>
      </w:r>
      <w:r w:rsidR="00D703D2">
        <w:rPr>
          <w:rFonts w:hint="cs"/>
          <w:rtl/>
          <w:lang w:val="en-GB"/>
        </w:rPr>
        <w:t xml:space="preserve"> </w:t>
      </w:r>
      <w:r w:rsidR="00D703D2" w:rsidRPr="00D703D2">
        <w:rPr>
          <w:lang w:val="en-GB"/>
        </w:rPr>
        <w:t>(GBI</w:t>
      </w:r>
      <w:r w:rsidRPr="00DC38A0">
        <w:rPr>
          <w:rtl/>
          <w:lang w:val="en-GB"/>
        </w:rPr>
        <w:t xml:space="preserve"> و2Africa (</w:t>
      </w:r>
      <w:r w:rsidR="00D703D2" w:rsidRPr="00D703D2">
        <w:rPr>
          <w:lang w:val="en-GB"/>
        </w:rPr>
        <w:t>Meta</w:t>
      </w:r>
      <w:r w:rsidRPr="00DC38A0">
        <w:rPr>
          <w:rtl/>
          <w:lang w:val="en-GB"/>
        </w:rPr>
        <w:t>)</w:t>
      </w:r>
      <w:r w:rsidR="00D703D2">
        <w:rPr>
          <w:rFonts w:hint="cs"/>
          <w:rtl/>
          <w:lang w:val="en-GB"/>
        </w:rPr>
        <w:t xml:space="preserve"> </w:t>
      </w:r>
      <w:proofErr w:type="gramStart"/>
      <w:r w:rsidR="00D703D2">
        <w:rPr>
          <w:rFonts w:hint="cs"/>
          <w:rtl/>
          <w:lang w:val="en-GB"/>
        </w:rPr>
        <w:t>و</w:t>
      </w:r>
      <w:r w:rsidR="00D703D2" w:rsidRPr="00D703D2">
        <w:rPr>
          <w:rFonts w:asciiTheme="minorHAnsi" w:eastAsia="Times New Roman" w:hAnsiTheme="minorHAnsi" w:cstheme="minorHAnsi"/>
          <w:sz w:val="24"/>
          <w:szCs w:val="20"/>
          <w:lang w:val="en-GB" w:eastAsia="en-US"/>
        </w:rPr>
        <w:t xml:space="preserve"> </w:t>
      </w:r>
      <w:r w:rsidR="00D703D2" w:rsidRPr="00D703D2">
        <w:rPr>
          <w:lang w:val="en-GB"/>
        </w:rPr>
        <w:t>Asia</w:t>
      </w:r>
      <w:proofErr w:type="gramEnd"/>
      <w:r w:rsidR="00D703D2" w:rsidRPr="00D703D2">
        <w:rPr>
          <w:lang w:val="en-GB"/>
        </w:rPr>
        <w:t>-Africa-Europe 1 (AAE-</w:t>
      </w:r>
      <w:proofErr w:type="gramStart"/>
      <w:r w:rsidR="00D703D2" w:rsidRPr="00D703D2">
        <w:rPr>
          <w:lang w:val="en-GB"/>
        </w:rPr>
        <w:t>1)</w:t>
      </w:r>
      <w:r w:rsidRPr="00DC38A0">
        <w:rPr>
          <w:rtl/>
          <w:lang w:val="en-GB"/>
        </w:rPr>
        <w:t>وكبل</w:t>
      </w:r>
      <w:proofErr w:type="gramEnd"/>
      <w:r w:rsidRPr="00DC38A0">
        <w:rPr>
          <w:rtl/>
          <w:lang w:val="en-GB"/>
        </w:rPr>
        <w:t xml:space="preserve"> PEACE. ويُنقل ما يزيد على 99 في </w:t>
      </w:r>
      <w:proofErr w:type="gramStart"/>
      <w:r w:rsidRPr="00DC38A0">
        <w:rPr>
          <w:rtl/>
          <w:lang w:val="en-GB"/>
        </w:rPr>
        <w:t>المائة</w:t>
      </w:r>
      <w:proofErr w:type="gramEnd"/>
      <w:r w:rsidRPr="00DC38A0">
        <w:rPr>
          <w:rtl/>
          <w:lang w:val="en-GB"/>
        </w:rPr>
        <w:t xml:space="preserve"> من عمليات تبادل البيانات الدولية عبر كبلات الاتصالات البحرية.</w:t>
      </w:r>
    </w:p>
    <w:p w14:paraId="1929B48B" w14:textId="327A9150" w:rsidR="00DC38A0" w:rsidRPr="00DC38A0" w:rsidRDefault="00DC38A0" w:rsidP="00DC38A0">
      <w:pPr>
        <w:rPr>
          <w:lang w:val="ar-SA" w:bidi="ar-EG"/>
        </w:rPr>
      </w:pPr>
      <w:r>
        <w:rPr>
          <w:rFonts w:hint="cs"/>
          <w:rtl/>
          <w:lang w:val="en-GB"/>
        </w:rPr>
        <w:t>2.2.2</w:t>
      </w:r>
      <w:r w:rsidRPr="00DC38A0">
        <w:rPr>
          <w:rtl/>
          <w:lang w:val="en-GB"/>
        </w:rPr>
        <w:tab/>
        <w:t xml:space="preserve">وتسبب الوضع الأمني في ما يلي: تعليق تنفيذ أجزاء الكبلات البحرية المخطط إرساؤها، بما في ذلك أجزاء من مشروع 2Africa؛ تعرض محطة لتوصيل الكبلات البحرية بالشبكة الأرضية في الإمارات العربية المتحدة لضربات مباشرة يومي 31 مارس و6 أبريل 2026؛ تأجيل الاستثمار في محطات جديدة لتوصيل الكبلات بالشبكة الأرضية؛ حدوث انقطاعات كبيرة في التوصيلية البحرية في مضيق هرمز منذ 3 مارس 2026، ما يهدد 17 نظاماً </w:t>
      </w:r>
      <w:proofErr w:type="spellStart"/>
      <w:r w:rsidRPr="00DC38A0">
        <w:rPr>
          <w:rtl/>
          <w:lang w:val="en-GB"/>
        </w:rPr>
        <w:t>كبلياً</w:t>
      </w:r>
      <w:proofErr w:type="spellEnd"/>
      <w:r w:rsidRPr="00DC38A0">
        <w:rPr>
          <w:rtl/>
          <w:lang w:val="en-GB"/>
        </w:rPr>
        <w:t>؛ تحذير من مجلس الدفاع الإيراني من أن أي تصعيد إضافي قد يفضي إلى ألغام بحرية في جميع أنحاء الخليج؛ تعذر تشغيل سفن إصلاح الكبلات؛ ارتفاع تكاليف التأمين.</w:t>
      </w:r>
    </w:p>
    <w:p w14:paraId="6FFFF0C4" w14:textId="29CC0F14" w:rsidR="00DC38A0" w:rsidRPr="00DC38A0" w:rsidRDefault="00DC38A0" w:rsidP="00DC38A0">
      <w:pPr>
        <w:rPr>
          <w:lang w:val="ar-SA" w:bidi="ar-EG"/>
        </w:rPr>
      </w:pPr>
      <w:r>
        <w:rPr>
          <w:rFonts w:hint="cs"/>
          <w:rtl/>
          <w:lang w:val="en-GB"/>
        </w:rPr>
        <w:lastRenderedPageBreak/>
        <w:t>3.2.2</w:t>
      </w:r>
      <w:r w:rsidRPr="00DC38A0">
        <w:rPr>
          <w:rtl/>
          <w:lang w:val="en-GB"/>
        </w:rPr>
        <w:tab/>
        <w:t xml:space="preserve">وتحيط الدول الأعضاء في مجلس التعاون لدول الخليج العربية والأردن علماً بأعمال الهيئة الاستشارية الدولية المعنية بصمود الكبلات البحرية، المشتركة بين الاتحاد الدولي للاتصالات </w:t>
      </w:r>
      <w:r w:rsidRPr="00DC38A0">
        <w:rPr>
          <w:lang w:bidi="ar-EG"/>
        </w:rPr>
        <w:t>(ITU)</w:t>
      </w:r>
      <w:r w:rsidRPr="00DC38A0">
        <w:rPr>
          <w:rtl/>
          <w:lang w:val="en-GB"/>
        </w:rPr>
        <w:t xml:space="preserve"> واللجنة الدولية لحماية الكبلات </w:t>
      </w:r>
      <w:r w:rsidRPr="00DC38A0">
        <w:rPr>
          <w:lang w:bidi="ar-EG"/>
        </w:rPr>
        <w:t>(ICPC)</w:t>
      </w:r>
      <w:r w:rsidRPr="00DC38A0">
        <w:rPr>
          <w:rtl/>
          <w:lang w:val="en-GB"/>
        </w:rPr>
        <w:t>، وبقمة أبوجا لعام 2025. وتمثل الهجمات المتعمدة على البنية التحتية للكبلات البحرية والتهديدات التي تستهدفها تحدياً مباشراً لأهداف الهيئة الاستشارية.</w:t>
      </w:r>
    </w:p>
    <w:p w14:paraId="48C478DA" w14:textId="6E4EC13B" w:rsidR="00DC38A0" w:rsidRPr="00DC38A0" w:rsidRDefault="00DC38A0" w:rsidP="00DC38A0">
      <w:pPr>
        <w:pStyle w:val="Heading2"/>
        <w:rPr>
          <w:lang w:val="ar-SA" w:bidi="ar-EG"/>
        </w:rPr>
      </w:pPr>
      <w:r>
        <w:rPr>
          <w:rFonts w:hint="cs"/>
          <w:rtl/>
          <w:lang w:val="en-GB"/>
        </w:rPr>
        <w:t>3.2</w:t>
      </w:r>
      <w:r w:rsidRPr="00DC38A0">
        <w:rPr>
          <w:rtl/>
          <w:lang w:val="en-GB"/>
        </w:rPr>
        <w:tab/>
        <w:t>العمليات السيبرانية المنسقة</w:t>
      </w:r>
    </w:p>
    <w:p w14:paraId="345D2188" w14:textId="341A7A9E" w:rsidR="00DC38A0" w:rsidRPr="00DC38A0" w:rsidRDefault="00DC38A0" w:rsidP="00DC38A0">
      <w:pPr>
        <w:rPr>
          <w:lang w:val="ar-SA" w:bidi="ar-EG"/>
        </w:rPr>
      </w:pPr>
      <w:r>
        <w:rPr>
          <w:rFonts w:hint="cs"/>
          <w:rtl/>
          <w:lang w:val="en-GB"/>
        </w:rPr>
        <w:t>1.3.2</w:t>
      </w:r>
      <w:r w:rsidRPr="00DC38A0">
        <w:rPr>
          <w:rtl/>
          <w:lang w:val="en-GB"/>
        </w:rPr>
        <w:tab/>
        <w:t xml:space="preserve"> تزامناً مع العمليات الحركية، شنت جماعات موالية لإيران تشمل جهات مدعومة من الدولة وجهات ناشطة في القرصنة الإلكترونية حملات سيبرانية منسقة ضد البنية التحتية لتكنولوجيا المعلومات والاتصالات والبنية التحتية الحيوية في البحرين والكويت وقطر والإمارات العربية المتحدة والأردن. وتؤكد تقييمات استخبارات التهديدات، التي أجرتها وكالتا </w:t>
      </w:r>
      <w:r w:rsidRPr="00DC38A0">
        <w:rPr>
          <w:lang w:val="en-GB"/>
        </w:rPr>
        <w:t>Mandiant</w:t>
      </w:r>
      <w:r>
        <w:rPr>
          <w:rFonts w:hint="cs"/>
          <w:rtl/>
          <w:lang w:val="en-GB"/>
        </w:rPr>
        <w:t xml:space="preserve"> </w:t>
      </w:r>
      <w:r w:rsidRPr="00DC38A0">
        <w:rPr>
          <w:lang w:val="en-GB"/>
        </w:rPr>
        <w:t>(Google Cloud)</w:t>
      </w:r>
      <w:r w:rsidRPr="00DC38A0">
        <w:rPr>
          <w:rtl/>
          <w:lang w:val="en-GB"/>
        </w:rPr>
        <w:t xml:space="preserve"> و</w:t>
      </w:r>
      <w:r w:rsidRPr="00DC38A0">
        <w:rPr>
          <w:lang w:val="en-GB"/>
        </w:rPr>
        <w:t>Microsoft Threat Intelligence</w:t>
      </w:r>
      <w:r w:rsidRPr="00DC38A0">
        <w:rPr>
          <w:rtl/>
          <w:lang w:val="en-GB"/>
        </w:rPr>
        <w:t>، أن هذه العمليات تستهدف بصورة مكثفة مقدمي خدمات الاتصالات والبنية التحتية السحابية والبوابات الحكومية في المنطقة بهدف تعطيل الاتصالات والخدمات</w:t>
      </w:r>
      <w:r>
        <w:rPr>
          <w:rFonts w:hint="cs"/>
          <w:rtl/>
          <w:lang w:val="en-GB"/>
        </w:rPr>
        <w:t> </w:t>
      </w:r>
      <w:r w:rsidRPr="00DC38A0">
        <w:rPr>
          <w:rtl/>
          <w:lang w:val="en-GB"/>
        </w:rPr>
        <w:t>الرقمية.</w:t>
      </w:r>
    </w:p>
    <w:p w14:paraId="73DC2C2E" w14:textId="373C3158" w:rsidR="00DC38A0" w:rsidRPr="00DC38A0" w:rsidRDefault="00DC38A0" w:rsidP="00D703D2">
      <w:pPr>
        <w:rPr>
          <w:lang w:val="ar-SA" w:bidi="ar-EG"/>
        </w:rPr>
      </w:pPr>
      <w:r>
        <w:rPr>
          <w:rFonts w:hint="cs"/>
          <w:rtl/>
          <w:lang w:val="en-GB"/>
        </w:rPr>
        <w:t>2.3.2</w:t>
      </w:r>
      <w:r>
        <w:rPr>
          <w:rtl/>
          <w:lang w:val="en-GB"/>
        </w:rPr>
        <w:tab/>
      </w:r>
      <w:r w:rsidRPr="00DC38A0">
        <w:rPr>
          <w:rtl/>
          <w:lang w:val="en-GB"/>
        </w:rPr>
        <w:t>وتوثق تقارير صادرة عن وكالات جمع المعلومات الاستخبارية، بما في ذلك تقييم </w:t>
      </w:r>
      <w:proofErr w:type="spellStart"/>
      <w:r w:rsidRPr="00DC38A0">
        <w:rPr>
          <w:lang w:bidi="ar-EG"/>
        </w:rPr>
        <w:t>SOCRadar</w:t>
      </w:r>
      <w:proofErr w:type="spellEnd"/>
      <w:r w:rsidRPr="00DC38A0">
        <w:rPr>
          <w:rtl/>
          <w:lang w:val="en-GB"/>
        </w:rPr>
        <w:t xml:space="preserve"> للتهديدات السيبرانية لعام 2026 وتحليل </w:t>
      </w:r>
      <w:r w:rsidR="00D703D2" w:rsidRPr="00D703D2">
        <w:rPr>
          <w:lang w:val="en-GB"/>
        </w:rPr>
        <w:t>Kennedys Law</w:t>
      </w:r>
      <w:r w:rsidRPr="00DC38A0">
        <w:rPr>
          <w:rtl/>
          <w:lang w:val="en-GB"/>
        </w:rPr>
        <w:t xml:space="preserve">، حشداً غير مسبوق لوكلاء سيبرانيين. ويجري حالياً تتبع أكثر من 60 مجموعة تهديد نشطة توازياً مع النزاع، يعمل ما لا يقل عن 53 منها بشكل صريح تحت رايات موالية لإيران (على سبيل المثال، </w:t>
      </w:r>
      <w:proofErr w:type="spellStart"/>
      <w:r w:rsidRPr="00DC38A0">
        <w:rPr>
          <w:lang w:bidi="ar-EG"/>
        </w:rPr>
        <w:t>Handala</w:t>
      </w:r>
      <w:proofErr w:type="spellEnd"/>
      <w:r w:rsidRPr="00DC38A0">
        <w:rPr>
          <w:rtl/>
          <w:lang w:val="en-GB"/>
        </w:rPr>
        <w:t xml:space="preserve"> و</w:t>
      </w:r>
      <w:r w:rsidR="00D703D2" w:rsidRPr="00D703D2">
        <w:rPr>
          <w:lang w:val="en-GB"/>
        </w:rPr>
        <w:t>313 Team</w:t>
      </w:r>
      <w:r w:rsidRPr="00DC38A0">
        <w:rPr>
          <w:rtl/>
          <w:lang w:val="en-GB"/>
        </w:rPr>
        <w:t xml:space="preserve"> </w:t>
      </w:r>
      <w:proofErr w:type="spellStart"/>
      <w:r w:rsidRPr="00DC38A0">
        <w:rPr>
          <w:rtl/>
          <w:lang w:val="en-GB"/>
        </w:rPr>
        <w:t>وKeymous</w:t>
      </w:r>
      <w:proofErr w:type="spellEnd"/>
      <w:r w:rsidRPr="00DC38A0">
        <w:rPr>
          <w:rtl/>
          <w:lang w:val="en-GB"/>
        </w:rPr>
        <w:t xml:space="preserve"> </w:t>
      </w:r>
      <w:proofErr w:type="spellStart"/>
      <w:r w:rsidRPr="00DC38A0">
        <w:rPr>
          <w:rtl/>
          <w:lang w:val="en-GB"/>
        </w:rPr>
        <w:t>Plus</w:t>
      </w:r>
      <w:proofErr w:type="spellEnd"/>
      <w:r>
        <w:rPr>
          <w:lang w:bidi="ar-EG"/>
        </w:rPr>
        <w:t>(</w:t>
      </w:r>
      <w:r w:rsidRPr="00DC38A0">
        <w:rPr>
          <w:rtl/>
          <w:lang w:val="en-GB"/>
        </w:rPr>
        <w:t xml:space="preserve">. وشنت هذه المجموعات حملات مكثفة من هجمات الحرمان من الخدمة الموزع </w:t>
      </w:r>
      <w:r w:rsidRPr="00DC38A0">
        <w:rPr>
          <w:lang w:bidi="ar-EG"/>
        </w:rPr>
        <w:t>(DDoS)</w:t>
      </w:r>
      <w:r w:rsidRPr="00DC38A0">
        <w:rPr>
          <w:rtl/>
          <w:lang w:val="en-GB"/>
        </w:rPr>
        <w:t>، وتسريبات بيانات، وهجمات تدميرية ضد القطاعات عالية المخاطر - بما في ذلك الحكومة والمنصات المصرفية والخدمات اللوجستية للمطارات والتجارة الإلكترونية في البحرين والكويت وقطر والإمارات العربية المتحدة والأردن.</w:t>
      </w:r>
    </w:p>
    <w:p w14:paraId="6097CF61" w14:textId="6D1BD469" w:rsidR="00DC38A0" w:rsidRPr="00DC38A0" w:rsidRDefault="00DC38A0" w:rsidP="00D703D2">
      <w:pPr>
        <w:rPr>
          <w:lang w:val="ar-SA" w:bidi="ar-EG"/>
        </w:rPr>
      </w:pPr>
      <w:r>
        <w:rPr>
          <w:rFonts w:hint="cs"/>
          <w:rtl/>
          <w:lang w:val="en-GB"/>
        </w:rPr>
        <w:t>3.3.2</w:t>
      </w:r>
      <w:r>
        <w:rPr>
          <w:rtl/>
          <w:lang w:val="en-GB"/>
        </w:rPr>
        <w:tab/>
      </w:r>
      <w:r w:rsidRPr="00DC38A0">
        <w:rPr>
          <w:rtl/>
          <w:lang w:val="en-GB"/>
        </w:rPr>
        <w:t xml:space="preserve">وبينما تقود جهات ناشطة في القرصنة الإلكترونية انقطاعات سطحية، تنفذ جهات فاعلة إيرانية مدعومة من الدولة ومرتبطة بقوات الحرس الثوري ووزارة الاستخبارات لجمهورية إيران الإسلامية عمليات تجسس متطورة وعمليات ترسيخ موطئ قدم داخل الشبكة. وتوضح تقارير صادرة عن وكالتي </w:t>
      </w:r>
      <w:proofErr w:type="spellStart"/>
      <w:r w:rsidRPr="00DC38A0">
        <w:rPr>
          <w:lang w:bidi="ar-EG"/>
        </w:rPr>
        <w:t>Trellix</w:t>
      </w:r>
      <w:proofErr w:type="spellEnd"/>
      <w:r w:rsidRPr="00DC38A0">
        <w:rPr>
          <w:rtl/>
          <w:lang w:val="en-GB"/>
        </w:rPr>
        <w:t xml:space="preserve"> و</w:t>
      </w:r>
      <w:r w:rsidRPr="00DC38A0">
        <w:rPr>
          <w:lang w:bidi="ar-EG"/>
        </w:rPr>
        <w:t>Mandiant</w:t>
      </w:r>
      <w:r w:rsidRPr="00DC38A0">
        <w:rPr>
          <w:rtl/>
          <w:lang w:val="en-GB"/>
        </w:rPr>
        <w:t xml:space="preserve"> بالتفصيل كيف اتجهت مجموعات مثل APT42 (</w:t>
      </w:r>
      <w:r w:rsidR="00D703D2" w:rsidRPr="00D703D2">
        <w:rPr>
          <w:lang w:val="en-GB"/>
        </w:rPr>
        <w:t>Charming Kitten</w:t>
      </w:r>
      <w:r w:rsidRPr="00DC38A0">
        <w:rPr>
          <w:rtl/>
          <w:lang w:val="en-GB"/>
        </w:rPr>
        <w:t xml:space="preserve">) إلى استخدام الهندسة الاجتماعية المتقدمة وجمع بيانات الاعتماد لاختراق البيئات السحابية وأطر الاتصالات للمؤسسات. وفي الوقت نفسه، تحافظ مجموعتا </w:t>
      </w:r>
      <w:r w:rsidR="00D703D2" w:rsidRPr="00D703D2">
        <w:rPr>
          <w:lang w:val="en-GB"/>
        </w:rPr>
        <w:t>APT34</w:t>
      </w:r>
      <w:r w:rsidR="00D703D2">
        <w:rPr>
          <w:rFonts w:hint="cs"/>
          <w:rtl/>
          <w:lang w:val="en-GB"/>
        </w:rPr>
        <w:t xml:space="preserve"> </w:t>
      </w:r>
      <w:r w:rsidR="00D703D2" w:rsidRPr="00D703D2">
        <w:rPr>
          <w:lang w:val="en-GB"/>
        </w:rPr>
        <w:t>(</w:t>
      </w:r>
      <w:proofErr w:type="spellStart"/>
      <w:r w:rsidR="00D703D2" w:rsidRPr="00D703D2">
        <w:rPr>
          <w:lang w:val="en-GB"/>
        </w:rPr>
        <w:t>OilRig</w:t>
      </w:r>
      <w:proofErr w:type="spellEnd"/>
      <w:r w:rsidR="00D703D2" w:rsidRPr="00D703D2">
        <w:rPr>
          <w:lang w:val="en-GB"/>
        </w:rPr>
        <w:t>)</w:t>
      </w:r>
      <w:r w:rsidRPr="00DC38A0">
        <w:rPr>
          <w:rtl/>
          <w:lang w:val="en-GB"/>
        </w:rPr>
        <w:t xml:space="preserve"> وAPT39 على أسلوب عملهما الراسخ: اختراق مقدمي خدمات الاتصالات ومقدمي خدمات الإنترنت </w:t>
      </w:r>
      <w:r w:rsidRPr="00DC38A0">
        <w:rPr>
          <w:lang w:bidi="ar-EG"/>
        </w:rPr>
        <w:t>(ISP)</w:t>
      </w:r>
      <w:r w:rsidRPr="00DC38A0">
        <w:rPr>
          <w:rtl/>
          <w:lang w:val="en-GB"/>
        </w:rPr>
        <w:t xml:space="preserve"> في البحرين والكويت وقطر والإمارات العربية المتحدة والأردن لتسهيل عمليات المراقبة الواسعة النطاق وتعقب إجراءات مكافحة التجسس واختراق سلاسل الإمداد.</w:t>
      </w:r>
    </w:p>
    <w:p w14:paraId="3AFBA104" w14:textId="24D02EBE" w:rsidR="00DC38A0" w:rsidRPr="00DC38A0" w:rsidRDefault="00DC38A0" w:rsidP="00DC38A0">
      <w:pPr>
        <w:pStyle w:val="Heading1"/>
        <w:rPr>
          <w:lang w:val="ar-SA" w:bidi="ar-EG"/>
        </w:rPr>
      </w:pPr>
      <w:r>
        <w:rPr>
          <w:rFonts w:hint="cs"/>
          <w:rtl/>
          <w:lang w:val="en-GB"/>
        </w:rPr>
        <w:t>3</w:t>
      </w:r>
      <w:r w:rsidRPr="00DC38A0">
        <w:rPr>
          <w:rtl/>
          <w:lang w:val="en-GB"/>
        </w:rPr>
        <w:tab/>
        <w:t>المقترحات</w:t>
      </w:r>
    </w:p>
    <w:p w14:paraId="625CFC0E" w14:textId="53D98638" w:rsidR="00DC38A0" w:rsidRPr="00DC38A0" w:rsidRDefault="00DC38A0" w:rsidP="00DC38A0">
      <w:pPr>
        <w:rPr>
          <w:lang w:val="ar-SA" w:bidi="ar-EG"/>
        </w:rPr>
      </w:pPr>
      <w:r>
        <w:rPr>
          <w:rFonts w:hint="cs"/>
          <w:rtl/>
          <w:lang w:val="en-GB"/>
        </w:rPr>
        <w:t>1.3</w:t>
      </w:r>
      <w:r w:rsidRPr="00DC38A0">
        <w:rPr>
          <w:rtl/>
          <w:lang w:val="en-GB"/>
        </w:rPr>
        <w:tab/>
        <w:t>تقترح الدول الأعضاء في مجلس التعاون لدول الخليج العربية والأردن أن يؤيد المجلس اعتماد مشروع قرار المجلس المقترح أدناه بشأن الأثر على البنية التحتية المدنية للاتصالات/تكنولوجيا المعلومات والاتصالات في البحرين والكويت وقطر والإمارات العربية المتحدة والأردن، وتداعياته على التوصيلية الإقليمية والعالمية.</w:t>
      </w:r>
    </w:p>
    <w:p w14:paraId="243E8A9E" w14:textId="5AD6AC0A" w:rsidR="00DC38A0" w:rsidRPr="00DC38A0" w:rsidRDefault="00DC38A0" w:rsidP="00DC38A0">
      <w:pPr>
        <w:pStyle w:val="Heading1"/>
        <w:rPr>
          <w:lang w:val="ar-SA" w:bidi="ar-EG"/>
        </w:rPr>
      </w:pPr>
      <w:r>
        <w:rPr>
          <w:rFonts w:hint="cs"/>
          <w:rtl/>
          <w:lang w:val="en-GB"/>
        </w:rPr>
        <w:t>4</w:t>
      </w:r>
      <w:r w:rsidRPr="00DC38A0">
        <w:rPr>
          <w:rtl/>
          <w:lang w:val="en-GB"/>
        </w:rPr>
        <w:tab/>
        <w:t>السياق: التحول الرقمي في البحرين والكويت وقطر والإمارات العربية المتحدة والأردن، ومشاركة الاتحاد</w:t>
      </w:r>
    </w:p>
    <w:p w14:paraId="0E588799" w14:textId="0A35E242" w:rsidR="00DC38A0" w:rsidRPr="00DC38A0" w:rsidRDefault="00DC38A0" w:rsidP="00DC38A0">
      <w:pPr>
        <w:rPr>
          <w:lang w:val="ar-SA" w:bidi="ar-EG"/>
        </w:rPr>
      </w:pPr>
      <w:r>
        <w:rPr>
          <w:rFonts w:hint="cs"/>
          <w:rtl/>
          <w:lang w:val="en-GB"/>
        </w:rPr>
        <w:t>1.4</w:t>
      </w:r>
      <w:r w:rsidRPr="00DC38A0">
        <w:rPr>
          <w:rtl/>
          <w:lang w:val="en-GB"/>
        </w:rPr>
        <w:tab/>
        <w:t>تُعد البحرين والكويت وقطر والإمارات العربية المتحدة والأردن، مجتمعةً، من أكثر البلدان تقدماً رقمياً في المنطقة. وتمثل البرامج الوطنية الرئيسية، بما في ذلك استراتيجية الإمارات العربية المتحدة للذكاء الاصطناعي 2031، واستراتيجية قطر الوطنية للذكاء الاصطناعي، وسياسة الحوسبة السحابة أولاً في البحرين، وخطة الكويت الجديدة 2035، استثمارات كبيرة في البنية التحتية الرقمية والتحول الرقمي.</w:t>
      </w:r>
    </w:p>
    <w:p w14:paraId="7556B4E5" w14:textId="6FACA6D2" w:rsidR="00DC38A0" w:rsidRPr="00DC38A0" w:rsidRDefault="00DC38A0" w:rsidP="00DC38A0">
      <w:pPr>
        <w:rPr>
          <w:lang w:val="ar-SA" w:bidi="ar-EG"/>
        </w:rPr>
      </w:pPr>
      <w:r>
        <w:rPr>
          <w:rFonts w:hint="cs"/>
          <w:rtl/>
          <w:lang w:val="en-GB"/>
        </w:rPr>
        <w:t>2.4</w:t>
      </w:r>
      <w:r w:rsidRPr="00DC38A0">
        <w:rPr>
          <w:rtl/>
          <w:lang w:val="en-GB"/>
        </w:rPr>
        <w:tab/>
        <w:t>وهذه البرامج ذات صلة مباشرة بعمل الاتحاد في قطاعاته الثلاثة جميعها. وتقوض الهجمات على البنية التحتية لتكنولوجيا المعلومات والاتصالات قدرة البحرين والكويت وقطر والإمارات العربية المتحدة والأردن على السعي إلى تحقيق هذه الأهداف والمساهمة في برنامج التوصيل في 2030.</w:t>
      </w:r>
    </w:p>
    <w:p w14:paraId="1A66BDDD" w14:textId="71EF0CD4" w:rsidR="00DC38A0" w:rsidRPr="00DC38A0" w:rsidRDefault="00DC38A0" w:rsidP="00DC38A0">
      <w:pPr>
        <w:pStyle w:val="Heading1"/>
        <w:rPr>
          <w:lang w:val="ar-SA" w:bidi="ar-EG"/>
        </w:rPr>
      </w:pPr>
      <w:r>
        <w:rPr>
          <w:rFonts w:hint="cs"/>
          <w:rtl/>
          <w:lang w:val="en-GB"/>
        </w:rPr>
        <w:t>5</w:t>
      </w:r>
      <w:r w:rsidRPr="00DC38A0">
        <w:rPr>
          <w:rtl/>
          <w:lang w:val="en-GB"/>
        </w:rPr>
        <w:tab/>
        <w:t>الخلاصة</w:t>
      </w:r>
    </w:p>
    <w:p w14:paraId="728E86BF" w14:textId="2E368D34" w:rsidR="00DC38A0" w:rsidRPr="00DC38A0" w:rsidRDefault="00DC38A0" w:rsidP="00DC38A0">
      <w:pPr>
        <w:rPr>
          <w:lang w:val="ar-SA" w:bidi="ar-EG"/>
        </w:rPr>
      </w:pPr>
      <w:r>
        <w:rPr>
          <w:rFonts w:hint="cs"/>
          <w:rtl/>
          <w:lang w:val="en-GB"/>
        </w:rPr>
        <w:t>1.5</w:t>
      </w:r>
      <w:r w:rsidRPr="00DC38A0">
        <w:rPr>
          <w:rtl/>
          <w:lang w:val="en-GB"/>
        </w:rPr>
        <w:tab/>
        <w:t>تقدم الدول الأعضاء في مجلس التعاون لدول الخليج العربية والأردن هذه المساهمة تعبيراً عن قلقها الجماعي بشأن الاستهداف غير المسبوق من جانب إيران للبنية التحتية المدنية لتكنولوجيا المعلومات والاتصالات في البحرين والكويت وقطر والإمارات العربية المتحدة والأردن.</w:t>
      </w:r>
      <w:bookmarkStart w:id="1" w:name="_Hlk227075504"/>
      <w:bookmarkEnd w:id="1"/>
    </w:p>
    <w:p w14:paraId="60D447D1" w14:textId="5939B424" w:rsidR="00DC38A0" w:rsidRPr="00DC38A0" w:rsidRDefault="00DC38A0" w:rsidP="00DC38A0">
      <w:pPr>
        <w:rPr>
          <w:lang w:val="ar-SA" w:bidi="ar-EG"/>
        </w:rPr>
      </w:pPr>
      <w:r>
        <w:rPr>
          <w:rFonts w:hint="cs"/>
          <w:rtl/>
          <w:lang w:val="en-GB"/>
        </w:rPr>
        <w:t>2.5</w:t>
      </w:r>
      <w:r w:rsidRPr="00DC38A0">
        <w:rPr>
          <w:rtl/>
          <w:lang w:val="en-GB"/>
        </w:rPr>
        <w:tab/>
        <w:t>وتشدد الدول الأعضاء في مجلس التعاون والأردن على أن حماية البنية التحتية المدنية لتكنولوجيا المعلومات والاتصالات ليست مسألة ثنائية، بل مسألة ذات أهمية أساسية لجميع الدول الأعضاء، ولولاية الاتحاد. والدول الأعضاء في مجلس التعاون لدول الخليج العربية والأردن على أتم استعداد للتواصل مع جميع أعضاء المجلس والأمانة العامة بشأن المسائل المثارة في هذه المساهمة.</w:t>
      </w:r>
    </w:p>
    <w:p w14:paraId="4AD415A3" w14:textId="16F676DD" w:rsidR="00DC38A0" w:rsidRPr="00DC38A0" w:rsidRDefault="00DC38A0" w:rsidP="00D703D2">
      <w:pPr>
        <w:tabs>
          <w:tab w:val="clear" w:pos="794"/>
          <w:tab w:val="left" w:pos="1133"/>
        </w:tabs>
        <w:spacing w:before="600"/>
        <w:rPr>
          <w:i/>
          <w:iCs/>
          <w:lang w:val="ar-SA" w:bidi="ar-EG"/>
        </w:rPr>
      </w:pPr>
      <w:r w:rsidRPr="00DC38A0">
        <w:rPr>
          <w:i/>
          <w:iCs/>
          <w:rtl/>
          <w:lang w:val="en-GB"/>
        </w:rPr>
        <w:t>الملحقات</w:t>
      </w:r>
      <w:r w:rsidR="00D703D2">
        <w:rPr>
          <w:rFonts w:hint="cs"/>
          <w:i/>
          <w:iCs/>
          <w:rtl/>
          <w:lang w:bidi="ar-EG"/>
        </w:rPr>
        <w:t>:</w:t>
      </w:r>
      <w:r w:rsidR="00D703D2">
        <w:rPr>
          <w:i/>
          <w:iCs/>
          <w:lang w:val="en-GB"/>
        </w:rPr>
        <w:tab/>
      </w:r>
      <w:r w:rsidRPr="00DC38A0">
        <w:rPr>
          <w:i/>
          <w:iCs/>
          <w:rtl/>
          <w:lang w:val="en-GB"/>
        </w:rPr>
        <w:t>1</w:t>
      </w:r>
    </w:p>
    <w:p w14:paraId="454ED998" w14:textId="77777777" w:rsidR="00DC38A0" w:rsidRPr="00DC38A0" w:rsidRDefault="00DC38A0" w:rsidP="00DC38A0">
      <w:pPr>
        <w:rPr>
          <w:lang w:bidi="ar-EG"/>
        </w:rPr>
      </w:pPr>
      <w:r w:rsidRPr="00DC38A0">
        <w:rPr>
          <w:lang w:bidi="ar-EG"/>
        </w:rPr>
        <w:br w:type="page"/>
      </w:r>
    </w:p>
    <w:p w14:paraId="7CFE6BB7" w14:textId="77777777" w:rsidR="00DC38A0" w:rsidRPr="00D703D2" w:rsidRDefault="00DC38A0" w:rsidP="00D703D2">
      <w:pPr>
        <w:pStyle w:val="AnnexNo"/>
        <w:rPr>
          <w:lang w:bidi="ar-EG"/>
        </w:rPr>
      </w:pPr>
      <w:r w:rsidRPr="00DC38A0">
        <w:rPr>
          <w:rtl/>
          <w:lang w:val="en-GB"/>
        </w:rPr>
        <w:t>الملحق</w:t>
      </w:r>
    </w:p>
    <w:p w14:paraId="477740F8" w14:textId="77777777" w:rsidR="00DC38A0" w:rsidRPr="00DC38A0" w:rsidRDefault="00DC38A0" w:rsidP="00D703D2">
      <w:pPr>
        <w:pStyle w:val="ResNo"/>
        <w:rPr>
          <w:lang w:val="ar-SA" w:bidi="ar-EG"/>
        </w:rPr>
      </w:pPr>
      <w:r w:rsidRPr="00DC38A0">
        <w:rPr>
          <w:rtl/>
          <w:lang w:val="en-GB"/>
        </w:rPr>
        <w:t xml:space="preserve">مشـروع القـرار الجديد </w:t>
      </w:r>
      <w:r w:rsidRPr="00DC38A0">
        <w:rPr>
          <w:lang w:bidi="ar-EG"/>
        </w:rPr>
        <w:t>[…]</w:t>
      </w:r>
    </w:p>
    <w:p w14:paraId="45043CBD" w14:textId="77777777" w:rsidR="00DC38A0" w:rsidRPr="00DC38A0" w:rsidRDefault="00DC38A0" w:rsidP="00D703D2">
      <w:pPr>
        <w:pStyle w:val="Restitle"/>
        <w:rPr>
          <w:lang w:val="ar-SA" w:bidi="ar-EG"/>
        </w:rPr>
      </w:pPr>
      <w:r w:rsidRPr="00DC38A0">
        <w:rPr>
          <w:rtl/>
          <w:lang w:val="en-GB"/>
        </w:rPr>
        <w:t xml:space="preserve">الأثر على البنية التحتية المدنية للاتصالات/تكنولوجيا المعلومات والاتصالات في البحرين والكويت وقطر والإمارات العربية المتحدة والأردن، وتداعياته على التوصيلية الإقليمية والعالمية </w:t>
      </w:r>
    </w:p>
    <w:p w14:paraId="4E9B05E9" w14:textId="77777777" w:rsidR="00DC38A0" w:rsidRPr="00DC38A0" w:rsidRDefault="00DC38A0" w:rsidP="00D703D2">
      <w:pPr>
        <w:pStyle w:val="Normalaftertitle"/>
        <w:rPr>
          <w:lang w:val="ar-SA" w:bidi="ar-EG"/>
        </w:rPr>
      </w:pPr>
      <w:r w:rsidRPr="00DC38A0">
        <w:rPr>
          <w:rtl/>
          <w:lang w:val="en-GB"/>
        </w:rPr>
        <w:t>إن مجلس الاتحاد الدولي للاتصالات،</w:t>
      </w:r>
    </w:p>
    <w:p w14:paraId="2C3EA106" w14:textId="77777777" w:rsidR="00DC38A0" w:rsidRPr="00DC38A0" w:rsidRDefault="00DC38A0" w:rsidP="00D703D2">
      <w:pPr>
        <w:pStyle w:val="Call"/>
        <w:rPr>
          <w:lang w:val="ar-SA" w:bidi="ar-EG"/>
        </w:rPr>
      </w:pPr>
      <w:r w:rsidRPr="00DC38A0">
        <w:rPr>
          <w:rtl/>
          <w:lang w:val="en-GB"/>
        </w:rPr>
        <w:t>إذ يذكِّر</w:t>
      </w:r>
    </w:p>
    <w:p w14:paraId="79B433CD" w14:textId="7570CEFF" w:rsidR="00DC38A0" w:rsidRPr="00DC38A0" w:rsidRDefault="00D703D2" w:rsidP="00DC38A0">
      <w:pPr>
        <w:rPr>
          <w:lang w:val="ar-SA" w:bidi="ar-EG"/>
        </w:rPr>
      </w:pPr>
      <w:r>
        <w:rPr>
          <w:rFonts w:hint="cs"/>
          <w:i/>
          <w:iCs/>
          <w:rtl/>
          <w:lang w:val="en-GB"/>
        </w:rPr>
        <w:t> </w:t>
      </w:r>
      <w:r w:rsidR="00DC38A0" w:rsidRPr="00DC38A0">
        <w:rPr>
          <w:i/>
          <w:iCs/>
          <w:rtl/>
          <w:lang w:val="en-GB"/>
        </w:rPr>
        <w:t>أ )</w:t>
      </w:r>
      <w:r w:rsidR="00DC38A0" w:rsidRPr="00DC38A0">
        <w:rPr>
          <w:rtl/>
          <w:lang w:val="en-GB"/>
        </w:rPr>
        <w:tab/>
        <w:t>بالمبادئ والأهداف والغايات النبيلة المجسدة في ميثاق الأمم المتحدة والإعلان العالمي لحقوق الإنسان وكذلك في إعلان المبادئ المعتمد في القمة العالمية لمجتمع المعلومات؛</w:t>
      </w:r>
    </w:p>
    <w:p w14:paraId="11342A66" w14:textId="77777777" w:rsidR="00DC38A0" w:rsidRPr="00DC38A0" w:rsidRDefault="00DC38A0" w:rsidP="00DC38A0">
      <w:pPr>
        <w:rPr>
          <w:lang w:val="ar-SA" w:bidi="ar-EG"/>
        </w:rPr>
      </w:pPr>
      <w:r w:rsidRPr="00DC38A0">
        <w:rPr>
          <w:i/>
          <w:iCs/>
          <w:rtl/>
          <w:lang w:val="en-GB"/>
        </w:rPr>
        <w:t>ب)</w:t>
      </w:r>
      <w:r w:rsidRPr="00DC38A0">
        <w:rPr>
          <w:rtl/>
          <w:lang w:val="en-GB"/>
        </w:rPr>
        <w:tab/>
        <w:t>بالجهود التي تبذلها الأمم المتحدة لتعزيز التنمية المستدامة؛</w:t>
      </w:r>
    </w:p>
    <w:p w14:paraId="194B4653" w14:textId="77777777" w:rsidR="00DC38A0" w:rsidRPr="00DC38A0" w:rsidRDefault="00DC38A0" w:rsidP="00DC38A0">
      <w:pPr>
        <w:rPr>
          <w:lang w:val="ar-SA" w:bidi="ar-EG"/>
        </w:rPr>
      </w:pPr>
      <w:r w:rsidRPr="00DC38A0">
        <w:rPr>
          <w:i/>
          <w:iCs/>
          <w:rtl/>
          <w:lang w:val="en-GB"/>
        </w:rPr>
        <w:t>ج)</w:t>
      </w:r>
      <w:r w:rsidRPr="00DC38A0">
        <w:rPr>
          <w:rtl/>
          <w:lang w:val="en-GB"/>
        </w:rPr>
        <w:tab/>
        <w:t>بأهداف الاتحاد المنصوص عليها في المادة 1 من دستور الاتحاد؛</w:t>
      </w:r>
    </w:p>
    <w:p w14:paraId="77D5ABA0" w14:textId="77777777" w:rsidR="00DC38A0" w:rsidRPr="00DC38A0" w:rsidRDefault="00DC38A0" w:rsidP="00DC38A0">
      <w:pPr>
        <w:rPr>
          <w:lang w:val="ar-SA" w:bidi="ar-EG"/>
        </w:rPr>
      </w:pPr>
      <w:r w:rsidRPr="00DC38A0">
        <w:rPr>
          <w:i/>
          <w:iCs/>
          <w:rtl/>
          <w:lang w:val="en-GB"/>
        </w:rPr>
        <w:t>د )</w:t>
      </w:r>
      <w:r w:rsidRPr="00DC38A0">
        <w:rPr>
          <w:rtl/>
          <w:lang w:val="en-GB"/>
        </w:rPr>
        <w:tab/>
        <w:t>بالمبادئ المعلنة في المادة 38 (الرقم 186) والمادة 45 (الرقم 197) من دستور الاتحاد،</w:t>
      </w:r>
    </w:p>
    <w:p w14:paraId="5B261248" w14:textId="77777777" w:rsidR="00DC38A0" w:rsidRPr="00DC38A0" w:rsidRDefault="00DC38A0" w:rsidP="00D703D2">
      <w:pPr>
        <w:pStyle w:val="Call"/>
        <w:rPr>
          <w:lang w:val="ar-SA" w:bidi="ar-EG"/>
        </w:rPr>
      </w:pPr>
      <w:r w:rsidRPr="00DC38A0">
        <w:rPr>
          <w:rtl/>
          <w:lang w:val="en-GB"/>
        </w:rPr>
        <w:t>وإذ يذكِّر كذلك</w:t>
      </w:r>
    </w:p>
    <w:p w14:paraId="5E98496B" w14:textId="03C1FF48" w:rsidR="00DC38A0" w:rsidRPr="00DC38A0" w:rsidRDefault="00D703D2" w:rsidP="00DC38A0">
      <w:pPr>
        <w:rPr>
          <w:lang w:val="ar-SA" w:bidi="ar-EG"/>
        </w:rPr>
      </w:pPr>
      <w:r>
        <w:rPr>
          <w:rFonts w:hint="cs"/>
          <w:i/>
          <w:iCs/>
          <w:rtl/>
          <w:lang w:val="en-GB"/>
        </w:rPr>
        <w:t> </w:t>
      </w:r>
      <w:r w:rsidR="00DC38A0" w:rsidRPr="00DC38A0">
        <w:rPr>
          <w:i/>
          <w:iCs/>
          <w:rtl/>
          <w:lang w:val="en-GB"/>
        </w:rPr>
        <w:t>أ )</w:t>
      </w:r>
      <w:r w:rsidR="00DC38A0" w:rsidRPr="00DC38A0">
        <w:rPr>
          <w:rtl/>
          <w:lang w:val="en-GB"/>
        </w:rPr>
        <w:tab/>
        <w:t>بالقرار 2817 (2026) الصادر عن مجلس الأمن التابع للأمم المتحدة في 11 مارس 2026، الذي أدان بأشد العبارات الهجمات الشنيعة التي شنتها إيران على أراضي البحرين والكويت وعمان وقطر والمملكة العربية السعودية والإمارات العربية المتحدة والأردن؛ وأدان كذلك استهداف المناطق السكنية والأعيان المدنية وتسبّب الهجمات في وقوع خسائر في صفوف المدنيين وإلحاق الضرر بالمباني المدنية؛ وأدان أيضاً أي أعمال أو تهديدات صادرة عن إيران تهدف إلى إغلاق مضيق هرمز أو تعطيل الملاحة الدولية فيه أو التدخل فيه بأي شكل آخر؛</w:t>
      </w:r>
    </w:p>
    <w:p w14:paraId="134571FA" w14:textId="77777777" w:rsidR="00DC38A0" w:rsidRPr="00DC38A0" w:rsidRDefault="00DC38A0" w:rsidP="00DC38A0">
      <w:pPr>
        <w:rPr>
          <w:lang w:val="ar-SA" w:bidi="ar-EG"/>
        </w:rPr>
      </w:pPr>
      <w:r w:rsidRPr="00DC38A0">
        <w:rPr>
          <w:i/>
          <w:iCs/>
          <w:rtl/>
          <w:lang w:val="en-GB"/>
        </w:rPr>
        <w:t>ب)</w:t>
      </w:r>
      <w:r w:rsidRPr="00DC38A0">
        <w:rPr>
          <w:rtl/>
          <w:lang w:val="en-GB"/>
        </w:rPr>
        <w:tab/>
        <w:t>بالقرار 1/61 الصادر عن مجلس حقوق الإنسان في 25 مارس 2026، بشأن الآثار المترتبة على حقوق الإنسان جراء الهجمات غير المبررة التي شنتها إيران ضد البحرين والكويت وعمان وقطر والمملكة العربية السعودية والإمارات العربية المتحدة والأردن، الذي أدان جميع انتهاكات القانون الدولي، بما في ذلك القانون الدولي الإنساني والقانون الدولي لحقوق الإنسان، الناجمة عن الهجمات التي شنتها إيران، ولا سيما تلك التي انطوت على استهداف المدنيين والأعيان المدنية، مع مطالبة إيران أيضاً بتقديم تعويض كامل وفعال وسريع لجميع الضحايا عن الأضرار والإصابات التي تسببت فيها هجماتها؛</w:t>
      </w:r>
    </w:p>
    <w:p w14:paraId="6A325112" w14:textId="77777777" w:rsidR="00DC38A0" w:rsidRPr="00DC38A0" w:rsidRDefault="00DC38A0" w:rsidP="00DC38A0">
      <w:pPr>
        <w:rPr>
          <w:lang w:val="ar-SA" w:bidi="ar-EG"/>
        </w:rPr>
      </w:pPr>
      <w:r w:rsidRPr="00DC38A0">
        <w:rPr>
          <w:i/>
          <w:iCs/>
          <w:rtl/>
          <w:lang w:val="en-GB"/>
        </w:rPr>
        <w:t>ج)</w:t>
      </w:r>
      <w:r w:rsidRPr="00DC38A0">
        <w:rPr>
          <w:rtl/>
          <w:lang w:val="en-GB"/>
        </w:rPr>
        <w:tab/>
        <w:t>بالقرار 34 للمؤتمر العالمي لتنمية الاتصالات لعام 2025 ‏‎(WTDC-25)، بشأن دور الاتصالات/تكنولوجيات المعلومات والاتصالات في التأهب للكوارث والإنذار المبكر بحدوثها وفي عمليات الإنقاذ والإغاثة والتخفيف من آثارها والتصدي لها؛</w:t>
      </w:r>
    </w:p>
    <w:p w14:paraId="275D03CC" w14:textId="77777777" w:rsidR="00DC38A0" w:rsidRPr="00DC38A0" w:rsidRDefault="00DC38A0" w:rsidP="00DC38A0">
      <w:pPr>
        <w:rPr>
          <w:lang w:val="ar-SA" w:bidi="ar-EG"/>
        </w:rPr>
      </w:pPr>
      <w:r w:rsidRPr="00DC38A0">
        <w:rPr>
          <w:i/>
          <w:iCs/>
          <w:rtl/>
          <w:lang w:val="en-GB"/>
        </w:rPr>
        <w:t>د )</w:t>
      </w:r>
      <w:r w:rsidRPr="00DC38A0">
        <w:rPr>
          <w:rtl/>
          <w:lang w:val="en-GB"/>
        </w:rPr>
        <w:tab/>
        <w:t>بالقرار 130 (المراجَع في بوخارست، 2022) لمؤتمر المندوبين المفوضين، بشأن تعزيز دور الاتحاد في مجال بناء الثقة والأمن في استخدام تكنولوجيا المعلومات والاتصالات؛</w:t>
      </w:r>
    </w:p>
    <w:p w14:paraId="36675DEF" w14:textId="77777777" w:rsidR="00DC38A0" w:rsidRPr="00DC38A0" w:rsidRDefault="00DC38A0" w:rsidP="00DC38A0">
      <w:pPr>
        <w:rPr>
          <w:lang w:val="ar-SA" w:bidi="ar-EG"/>
        </w:rPr>
      </w:pPr>
      <w:r w:rsidRPr="00DC38A0">
        <w:rPr>
          <w:i/>
          <w:iCs/>
          <w:rtl/>
          <w:lang w:val="en-GB"/>
        </w:rPr>
        <w:t>هـ )</w:t>
      </w:r>
      <w:r w:rsidRPr="00DC38A0">
        <w:rPr>
          <w:rtl/>
          <w:lang w:val="en-GB"/>
        </w:rPr>
        <w:tab/>
        <w:t>بالقرار 136 (المراجَع في بوخارست، 2022) لمؤتمر المندوبين المفوضين، بشأن استخدام الاتصالات/تكنولوجيا المعلومات والاتصالات في المساعدات الإنسانية؛</w:t>
      </w:r>
    </w:p>
    <w:p w14:paraId="368B75D6" w14:textId="77777777" w:rsidR="00DC38A0" w:rsidRPr="00DC38A0" w:rsidRDefault="00DC38A0" w:rsidP="00DC38A0">
      <w:pPr>
        <w:rPr>
          <w:lang w:val="ar-SA" w:bidi="ar-EG"/>
        </w:rPr>
      </w:pPr>
      <w:r w:rsidRPr="00DC38A0">
        <w:rPr>
          <w:i/>
          <w:iCs/>
          <w:rtl/>
          <w:lang w:val="en-GB"/>
        </w:rPr>
        <w:t>و )</w:t>
      </w:r>
      <w:r w:rsidRPr="00DC38A0">
        <w:rPr>
          <w:rtl/>
          <w:lang w:val="en-GB"/>
        </w:rPr>
        <w:tab/>
        <w:t>بالبيان المعتمد في المؤتمر العالمي لتنمية الاتصالات لعام 2025 (باكو، 2025)، بشأن حماية شبكات الاتصالات العمومية وخدماتها أثناء النزاعات المسلحة وفي حالات الكوارث،</w:t>
      </w:r>
    </w:p>
    <w:p w14:paraId="1F346EAE" w14:textId="77777777" w:rsidR="00DC38A0" w:rsidRPr="00DC38A0" w:rsidRDefault="00DC38A0" w:rsidP="00D703D2">
      <w:pPr>
        <w:pStyle w:val="Call"/>
        <w:rPr>
          <w:lang w:val="ar-SA" w:bidi="ar-EG"/>
        </w:rPr>
      </w:pPr>
      <w:r w:rsidRPr="00DC38A0">
        <w:rPr>
          <w:rtl/>
          <w:lang w:val="en-GB"/>
        </w:rPr>
        <w:t>وإذ يؤكد من جديد</w:t>
      </w:r>
    </w:p>
    <w:p w14:paraId="3986DE2E" w14:textId="3F08A319" w:rsidR="00DC38A0" w:rsidRPr="00DC38A0" w:rsidRDefault="00D703D2" w:rsidP="00DC38A0">
      <w:pPr>
        <w:rPr>
          <w:lang w:val="ar-SA" w:bidi="ar-EG"/>
        </w:rPr>
      </w:pPr>
      <w:r>
        <w:rPr>
          <w:rFonts w:hint="cs"/>
          <w:i/>
          <w:iCs/>
          <w:rtl/>
          <w:lang w:val="en-GB"/>
        </w:rPr>
        <w:t> </w:t>
      </w:r>
      <w:r w:rsidR="00DC38A0" w:rsidRPr="00DC38A0">
        <w:rPr>
          <w:i/>
          <w:iCs/>
          <w:rtl/>
          <w:lang w:val="en-GB"/>
        </w:rPr>
        <w:t>أ )</w:t>
      </w:r>
      <w:r w:rsidR="00DC38A0" w:rsidRPr="00DC38A0">
        <w:rPr>
          <w:rtl/>
          <w:lang w:val="en-GB"/>
        </w:rPr>
        <w:tab/>
        <w:t>سيادة كل من البحرين والكويت وقطر والإمارات العربية المتحدة والأردن، واستقلالها ووحدتها وسلامتها الإقليمية ضمن حدودها المعترف بها دولياً، بما يشمل مياهها الإقليمية؛</w:t>
      </w:r>
    </w:p>
    <w:p w14:paraId="060663CE" w14:textId="77777777" w:rsidR="00DC38A0" w:rsidRPr="00DC38A0" w:rsidRDefault="00DC38A0" w:rsidP="00DC38A0">
      <w:pPr>
        <w:rPr>
          <w:lang w:val="ar-SA" w:bidi="ar-EG"/>
        </w:rPr>
      </w:pPr>
      <w:r w:rsidRPr="00DC38A0">
        <w:rPr>
          <w:i/>
          <w:iCs/>
          <w:rtl/>
          <w:lang w:val="en-GB"/>
        </w:rPr>
        <w:t>ب)</w:t>
      </w:r>
      <w:r w:rsidRPr="00DC38A0">
        <w:rPr>
          <w:rtl/>
          <w:lang w:val="en-GB"/>
        </w:rPr>
        <w:tab/>
        <w:t>الحق السيادي لكل دولة في تنظيم اتصالاتها، وأهمية الاتصالات المتزايدة في الحفاظ على السلم وفي التنمية الاقتصادية والاجتماعية لجميع الدول، على النحو المنصوص عليه في ديباجة دستور الاتحاد الدولي للاتصالات،</w:t>
      </w:r>
    </w:p>
    <w:p w14:paraId="3E2F8830" w14:textId="77777777" w:rsidR="00DC38A0" w:rsidRPr="00DC38A0" w:rsidRDefault="00DC38A0" w:rsidP="00D703D2">
      <w:pPr>
        <w:pStyle w:val="Call"/>
        <w:rPr>
          <w:lang w:val="ar-SA" w:bidi="ar-EG"/>
        </w:rPr>
      </w:pPr>
      <w:r w:rsidRPr="00DC38A0">
        <w:rPr>
          <w:rtl/>
          <w:lang w:val="en-GB"/>
        </w:rPr>
        <w:t>وإذ يضع في اعتباره</w:t>
      </w:r>
    </w:p>
    <w:p w14:paraId="408875AD" w14:textId="4965D145" w:rsidR="00DC38A0" w:rsidRPr="00DC38A0" w:rsidRDefault="00D703D2" w:rsidP="00DC38A0">
      <w:pPr>
        <w:rPr>
          <w:lang w:val="ar-SA" w:bidi="ar-EG"/>
        </w:rPr>
      </w:pPr>
      <w:r>
        <w:rPr>
          <w:rFonts w:hint="cs"/>
          <w:i/>
          <w:iCs/>
          <w:rtl/>
          <w:lang w:val="en-GB"/>
        </w:rPr>
        <w:t> </w:t>
      </w:r>
      <w:r w:rsidR="00DC38A0" w:rsidRPr="00DC38A0">
        <w:rPr>
          <w:i/>
          <w:iCs/>
          <w:rtl/>
          <w:lang w:val="en-GB"/>
        </w:rPr>
        <w:t>أ )</w:t>
      </w:r>
      <w:r w:rsidR="00DC38A0" w:rsidRPr="00DC38A0">
        <w:rPr>
          <w:rtl/>
          <w:lang w:val="en-GB"/>
        </w:rPr>
        <w:tab/>
        <w:t>أن البنية التحتية المدنية لتكنولوجيا المعلومات والاتصالات، بما في ذلك مراكز البيانات، ومحطات توصيل الكبلات البحرية بالشبكة الأرضية، والكبلات البحرية، وشبكات الأرض، والمحطات المقامة على الأرض للخدمة الساتلية، ضرورية لتوفير خدمات الاتصالات وتحقيق التنمية الاجتماعية والاقتصادية لجميع البلدان؛</w:t>
      </w:r>
    </w:p>
    <w:p w14:paraId="4E173853" w14:textId="1EBA96DB" w:rsidR="00DC38A0" w:rsidRPr="00DC38A0" w:rsidRDefault="00DC38A0" w:rsidP="00DC38A0">
      <w:pPr>
        <w:rPr>
          <w:lang w:val="ar-SA" w:bidi="ar-EG"/>
        </w:rPr>
      </w:pPr>
      <w:r w:rsidRPr="00DC38A0">
        <w:rPr>
          <w:i/>
          <w:iCs/>
          <w:rtl/>
          <w:lang w:val="en-GB"/>
        </w:rPr>
        <w:t>ب)</w:t>
      </w:r>
      <w:r w:rsidRPr="00DC38A0">
        <w:rPr>
          <w:rtl/>
          <w:lang w:val="en-GB"/>
        </w:rPr>
        <w:tab/>
        <w:t>الأهمية البالغة التي تكتسيها البنية التحتية للكبلات البحرية بالنسبة للتوصيلية العالمية</w:t>
      </w:r>
      <w:r w:rsidR="00D703D2">
        <w:rPr>
          <w:rFonts w:hint="cs"/>
          <w:rtl/>
          <w:lang w:val="en-GB"/>
        </w:rPr>
        <w:t>،</w:t>
      </w:r>
    </w:p>
    <w:p w14:paraId="6BD8B71E" w14:textId="515F19DC" w:rsidR="00DC38A0" w:rsidRPr="00DC38A0" w:rsidRDefault="00DC38A0" w:rsidP="00D703D2">
      <w:pPr>
        <w:pStyle w:val="Call"/>
        <w:rPr>
          <w:lang w:val="ar-SA" w:bidi="ar-EG"/>
        </w:rPr>
      </w:pPr>
      <w:r w:rsidRPr="00DC38A0">
        <w:rPr>
          <w:rtl/>
          <w:lang w:val="en-GB"/>
        </w:rPr>
        <w:t>وإذ يعيد تأكيد التزام الاتحاد</w:t>
      </w:r>
    </w:p>
    <w:p w14:paraId="73F5FA79" w14:textId="0811BC41" w:rsidR="00DC38A0" w:rsidRPr="00DC38A0" w:rsidRDefault="00DC38A0" w:rsidP="00DC38A0">
      <w:pPr>
        <w:rPr>
          <w:lang w:val="ar-SA" w:bidi="ar-EG"/>
        </w:rPr>
      </w:pPr>
      <w:r w:rsidRPr="00DC38A0">
        <w:rPr>
          <w:rtl/>
          <w:lang w:val="en-GB"/>
        </w:rPr>
        <w:t>بأن "يعمل على اعتماد تدابير تُمكن من تأمين سلامة الحياة البشرية بالتعاون بين خدمات الاتصالات"</w:t>
      </w:r>
      <w:r w:rsidR="00D703D2">
        <w:rPr>
          <w:rFonts w:hint="cs"/>
          <w:rtl/>
          <w:lang w:val="en-GB"/>
        </w:rPr>
        <w:t>،</w:t>
      </w:r>
    </w:p>
    <w:p w14:paraId="3E96E879" w14:textId="77777777" w:rsidR="00DC38A0" w:rsidRPr="00DC38A0" w:rsidRDefault="00DC38A0" w:rsidP="00D703D2">
      <w:pPr>
        <w:pStyle w:val="Call"/>
        <w:rPr>
          <w:lang w:val="ar-SA" w:bidi="ar-EG"/>
        </w:rPr>
      </w:pPr>
      <w:r w:rsidRPr="00DC38A0">
        <w:rPr>
          <w:rtl/>
          <w:lang w:val="en-GB"/>
        </w:rPr>
        <w:t>وإذ يدين</w:t>
      </w:r>
    </w:p>
    <w:p w14:paraId="3E612ED1" w14:textId="621A2014" w:rsidR="00DC38A0" w:rsidRPr="00DC38A0" w:rsidRDefault="00D703D2" w:rsidP="00DC38A0">
      <w:pPr>
        <w:rPr>
          <w:lang w:val="ar-SA" w:bidi="ar-EG"/>
        </w:rPr>
      </w:pPr>
      <w:r>
        <w:rPr>
          <w:rFonts w:hint="cs"/>
          <w:i/>
          <w:iCs/>
          <w:rtl/>
          <w:lang w:val="en-GB"/>
        </w:rPr>
        <w:t> </w:t>
      </w:r>
      <w:r w:rsidR="00DC38A0" w:rsidRPr="00DC38A0">
        <w:rPr>
          <w:i/>
          <w:iCs/>
          <w:rtl/>
          <w:lang w:val="en-GB"/>
        </w:rPr>
        <w:t>أ )</w:t>
      </w:r>
      <w:r w:rsidR="00DC38A0" w:rsidRPr="00DC38A0">
        <w:rPr>
          <w:rtl/>
          <w:lang w:val="en-GB"/>
        </w:rPr>
        <w:tab/>
        <w:t>الاستهداف غير القانوني الواسع النطاق من جانب إيران للأعيان المدنية الحيوية، بما في ذلك خدمات الاتصالات، في البحرين والكويت وقطر والإمارات العربية المتحدة والأردن، والتهديدات باستهداف بنى تحتية إضافية للاتصالات، وهما أمران يتعارضان مع التزامات الدول الأعضاء بموجب دستور الاتحاد واتفاقيته؛</w:t>
      </w:r>
    </w:p>
    <w:p w14:paraId="314DDEFE" w14:textId="77777777" w:rsidR="00DC38A0" w:rsidRPr="00DC38A0" w:rsidRDefault="00DC38A0" w:rsidP="00DC38A0">
      <w:pPr>
        <w:rPr>
          <w:lang w:val="ar-SA" w:bidi="ar-EG"/>
        </w:rPr>
      </w:pPr>
      <w:r w:rsidRPr="00DC38A0">
        <w:rPr>
          <w:i/>
          <w:iCs/>
          <w:rtl/>
          <w:lang w:val="en-GB"/>
        </w:rPr>
        <w:t>ب)</w:t>
      </w:r>
      <w:r w:rsidRPr="00DC38A0">
        <w:rPr>
          <w:rtl/>
          <w:lang w:val="en-GB"/>
        </w:rPr>
        <w:tab/>
        <w:t>الأضرار المباشرة التي لحقت بالبنية التحتية لتوصيل الكبلات البحرية بالشبكة الأرضية وتعليق مشاريع الكبلات البحرية نتيجة لهذا الاستهداف وهذه التهديدات،</w:t>
      </w:r>
    </w:p>
    <w:p w14:paraId="137092AA" w14:textId="01FB9636" w:rsidR="00DC38A0" w:rsidRPr="00DC38A0" w:rsidRDefault="00DC38A0" w:rsidP="00D703D2">
      <w:pPr>
        <w:pStyle w:val="Call"/>
        <w:rPr>
          <w:lang w:val="ar-SA" w:bidi="ar-EG"/>
        </w:rPr>
      </w:pPr>
      <w:r w:rsidRPr="00DC38A0">
        <w:rPr>
          <w:rtl/>
          <w:lang w:val="en-GB"/>
        </w:rPr>
        <w:t xml:space="preserve">يقرر </w:t>
      </w:r>
      <w:r w:rsidR="00D703D2">
        <w:rPr>
          <w:rFonts w:hint="cs"/>
          <w:rtl/>
          <w:lang w:val="en-GB"/>
        </w:rPr>
        <w:t>أن يكلف</w:t>
      </w:r>
      <w:r w:rsidRPr="00DC38A0">
        <w:rPr>
          <w:rtl/>
          <w:lang w:val="en-GB"/>
        </w:rPr>
        <w:t xml:space="preserve"> مديري المكاتب الثلاثة</w:t>
      </w:r>
    </w:p>
    <w:p w14:paraId="60B735CF" w14:textId="3FE61C8B" w:rsidR="00DC38A0" w:rsidRPr="00DC38A0" w:rsidRDefault="00DC38A0" w:rsidP="00DC38A0">
      <w:pPr>
        <w:rPr>
          <w:lang w:val="ar-SA" w:bidi="ar-EG"/>
        </w:rPr>
      </w:pPr>
      <w:r w:rsidRPr="00DC38A0">
        <w:rPr>
          <w:rtl/>
          <w:lang w:val="en-GB"/>
        </w:rPr>
        <w:t>1</w:t>
      </w:r>
      <w:r w:rsidRPr="00DC38A0">
        <w:rPr>
          <w:rtl/>
          <w:lang w:val="en-GB"/>
        </w:rPr>
        <w:tab/>
        <w:t>برصد الهجمات الإيرانية على خدمات الاتصالات وبنيتها التحتية في البحرين والكويت وقطر والإمارات العربية المتحدة والأردن وتقديم تقارير منتظمة بشأنها، بما يشمل تقارير بشأن تداعياتها على الصعيد العالمي؛</w:t>
      </w:r>
    </w:p>
    <w:p w14:paraId="6F982CEC" w14:textId="79E1C80D" w:rsidR="00DC38A0" w:rsidRPr="00DC38A0" w:rsidRDefault="00DC38A0" w:rsidP="00DC38A0">
      <w:pPr>
        <w:rPr>
          <w:lang w:val="ar-SA" w:bidi="ar-EG"/>
        </w:rPr>
      </w:pPr>
      <w:r w:rsidRPr="00DC38A0">
        <w:rPr>
          <w:rtl/>
          <w:lang w:val="en-GB"/>
        </w:rPr>
        <w:t>2</w:t>
      </w:r>
      <w:r w:rsidRPr="00DC38A0">
        <w:rPr>
          <w:rtl/>
          <w:lang w:val="en-GB"/>
        </w:rPr>
        <w:tab/>
        <w:t>بإجراء تقييم لأثر الهجمات الإيرانية على خدمات الاتصالات وبنيتها التحتية، بما في ذلك برامج الاتحاد وأنشطته، في البحرين والكويت وقطر والإمارات العربية المتحدة والأردن، وتقديم تقرير عن ذلك،</w:t>
      </w:r>
    </w:p>
    <w:p w14:paraId="3C005B10" w14:textId="2380FCA3" w:rsidR="00DC38A0" w:rsidRPr="00DC38A0" w:rsidRDefault="00DC38A0" w:rsidP="00D703D2">
      <w:pPr>
        <w:pStyle w:val="Call"/>
        <w:rPr>
          <w:lang w:val="ar-SA" w:bidi="ar-EG"/>
        </w:rPr>
      </w:pPr>
      <w:r w:rsidRPr="00DC38A0">
        <w:rPr>
          <w:rtl/>
          <w:lang w:val="en-GB"/>
        </w:rPr>
        <w:t>يكلف الأمين العام</w:t>
      </w:r>
    </w:p>
    <w:p w14:paraId="74B23C11" w14:textId="77777777" w:rsidR="00DC38A0" w:rsidRPr="00DC38A0" w:rsidRDefault="00DC38A0" w:rsidP="00DC38A0">
      <w:pPr>
        <w:rPr>
          <w:lang w:val="ar-SA" w:bidi="ar-EG"/>
        </w:rPr>
      </w:pPr>
      <w:r w:rsidRPr="00DC38A0">
        <w:rPr>
          <w:rtl/>
          <w:lang w:val="en-GB"/>
        </w:rPr>
        <w:t>1</w:t>
      </w:r>
      <w:r w:rsidRPr="00DC38A0">
        <w:rPr>
          <w:rtl/>
          <w:lang w:val="en-GB"/>
        </w:rPr>
        <w:tab/>
        <w:t>بتنسيق الأنشطة التي تضطلع بها قطاعات الاتحاد الثلاثة طبقاً لما ورد في قسم</w:t>
      </w:r>
      <w:r w:rsidRPr="00DC38A0">
        <w:rPr>
          <w:i/>
          <w:iCs/>
          <w:rtl/>
          <w:lang w:val="en-GB"/>
        </w:rPr>
        <w:t xml:space="preserve"> </w:t>
      </w:r>
      <w:r w:rsidRPr="00DC38A0">
        <w:rPr>
          <w:rtl/>
          <w:lang w:val="en-GB"/>
        </w:rPr>
        <w:t>"</w:t>
      </w:r>
      <w:r w:rsidRPr="00DC38A0">
        <w:rPr>
          <w:i/>
          <w:iCs/>
          <w:rtl/>
          <w:lang w:val="en-GB"/>
        </w:rPr>
        <w:t>يقرر</w:t>
      </w:r>
      <w:r w:rsidRPr="00DC38A0">
        <w:rPr>
          <w:rtl/>
          <w:lang w:val="en-GB"/>
        </w:rPr>
        <w:t>" أعلاه، لضمان أكبر قدر ممكن من الفعالية في الإجراءات التي يتخذها الاتحاد لصالح البلدان المتضررة؛</w:t>
      </w:r>
    </w:p>
    <w:p w14:paraId="74B74E69" w14:textId="7D444A5F" w:rsidR="00DC38A0" w:rsidRPr="00DC38A0" w:rsidRDefault="00DC38A0" w:rsidP="00DC38A0">
      <w:pPr>
        <w:rPr>
          <w:lang w:val="ar-SA" w:bidi="ar-EG"/>
        </w:rPr>
      </w:pPr>
      <w:r w:rsidRPr="00DC38A0">
        <w:rPr>
          <w:rtl/>
          <w:lang w:val="en-GB"/>
        </w:rPr>
        <w:t>2</w:t>
      </w:r>
      <w:r w:rsidRPr="00DC38A0">
        <w:rPr>
          <w:rtl/>
          <w:lang w:val="en-GB"/>
        </w:rPr>
        <w:tab/>
        <w:t xml:space="preserve">بتقديم تقرير عن أثر الهجمات على البنية التحتية لتكنولوجيا المعلومات والاتصالات في البحرين والكويت وقطر والإمارات العربية المتحدة والأردن، بما يشمل تقييماً للأضرار، إلى مؤتمر المندوبين المفوضين لعام </w:t>
      </w:r>
      <w:r w:rsidR="00D703D2">
        <w:rPr>
          <w:lang w:val="en-GB"/>
        </w:rPr>
        <w:t>2026</w:t>
      </w:r>
      <w:r w:rsidRPr="00DC38A0">
        <w:rPr>
          <w:rtl/>
          <w:lang w:val="en-GB"/>
        </w:rPr>
        <w:t>، وإلى الاجتماع الأخير للمجلس في 7 نوفمبر 2026، وإلى الاجتماعات والمؤتمرات المقبلة، حسب الاقتضاء؛</w:t>
      </w:r>
    </w:p>
    <w:p w14:paraId="37480443" w14:textId="118FB6A9" w:rsidR="00DC38A0" w:rsidRPr="00DC38A0" w:rsidRDefault="00DC38A0" w:rsidP="00DC38A0">
      <w:pPr>
        <w:rPr>
          <w:lang w:val="ar-SA" w:bidi="ar-EG"/>
        </w:rPr>
      </w:pPr>
      <w:r w:rsidRPr="00DC38A0">
        <w:rPr>
          <w:rtl/>
          <w:lang w:val="en-GB"/>
        </w:rPr>
        <w:t>3</w:t>
      </w:r>
      <w:r w:rsidRPr="00DC38A0">
        <w:rPr>
          <w:rtl/>
          <w:lang w:val="en-GB"/>
        </w:rPr>
        <w:tab/>
        <w:t xml:space="preserve">بالتنسيق مع الهيئة الاستشارية الدولية المعنية بصمود الكبلات البحرية، المشتركة بين الاتحاد الدولي للاتصالات </w:t>
      </w:r>
      <w:r w:rsidRPr="00DC38A0">
        <w:rPr>
          <w:lang w:bidi="ar-EG"/>
        </w:rPr>
        <w:t>(ITU)</w:t>
      </w:r>
      <w:r w:rsidRPr="00DC38A0">
        <w:rPr>
          <w:rtl/>
          <w:lang w:val="en-GB"/>
        </w:rPr>
        <w:t xml:space="preserve"> واللجنة الدولية لحماية الكبلات </w:t>
      </w:r>
      <w:r w:rsidRPr="00DC38A0">
        <w:rPr>
          <w:lang w:bidi="ar-EG"/>
        </w:rPr>
        <w:t>(ICPC)</w:t>
      </w:r>
      <w:r w:rsidRPr="00DC38A0">
        <w:rPr>
          <w:rtl/>
          <w:lang w:val="en-GB"/>
        </w:rPr>
        <w:t xml:space="preserve"> فيما يتعلق بالآثار على البنية التحتية للكبلات البحرية في</w:t>
      </w:r>
      <w:r w:rsidR="00D703D2">
        <w:rPr>
          <w:rFonts w:hint="cs"/>
          <w:rtl/>
          <w:lang w:val="en-GB"/>
        </w:rPr>
        <w:t> </w:t>
      </w:r>
      <w:r w:rsidRPr="00DC38A0">
        <w:rPr>
          <w:rtl/>
          <w:lang w:val="en-GB"/>
        </w:rPr>
        <w:t>ممر</w:t>
      </w:r>
      <w:r w:rsidR="00D703D2">
        <w:rPr>
          <w:rFonts w:hint="cs"/>
          <w:rtl/>
          <w:lang w:val="en-GB"/>
        </w:rPr>
        <w:t> </w:t>
      </w:r>
      <w:r w:rsidRPr="00DC38A0">
        <w:rPr>
          <w:rtl/>
          <w:lang w:val="en-GB"/>
        </w:rPr>
        <w:t>الخليج.</w:t>
      </w:r>
    </w:p>
    <w:p w14:paraId="74E4E6DB"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078A" w14:textId="77777777" w:rsidR="00DC38A0" w:rsidRDefault="00DC38A0" w:rsidP="006C3242">
      <w:pPr>
        <w:spacing w:before="0" w:line="240" w:lineRule="auto"/>
      </w:pPr>
      <w:r>
        <w:separator/>
      </w:r>
    </w:p>
  </w:endnote>
  <w:endnote w:type="continuationSeparator" w:id="0">
    <w:p w14:paraId="77D7E745" w14:textId="77777777" w:rsidR="00DC38A0" w:rsidRDefault="00DC38A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F0EBF10" w14:textId="77777777" w:rsidTr="00A67F05">
      <w:trPr>
        <w:jc w:val="center"/>
      </w:trPr>
      <w:tc>
        <w:tcPr>
          <w:tcW w:w="868" w:type="pct"/>
          <w:vAlign w:val="center"/>
        </w:tcPr>
        <w:p w14:paraId="3CF06C67" w14:textId="49766838" w:rsidR="00F50E3F" w:rsidRPr="00D703D2" w:rsidRDefault="00D703D2" w:rsidP="00D703D2">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D703D2">
            <w:rPr>
              <w:rFonts w:ascii="Calibri" w:hAnsi="Calibri" w:cs="Arial"/>
              <w:sz w:val="18"/>
              <w:szCs w:val="14"/>
              <w:lang w:val="en-US"/>
            </w:rPr>
            <w:t>2600936</w:t>
          </w:r>
        </w:p>
      </w:tc>
      <w:tc>
        <w:tcPr>
          <w:tcW w:w="3912" w:type="pct"/>
        </w:tcPr>
        <w:p w14:paraId="6E7B7EE3" w14:textId="41494462"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703D2">
            <w:rPr>
              <w:rFonts w:ascii="Calibri" w:hAnsi="Calibri" w:cs="Arial"/>
              <w:bCs/>
              <w:color w:val="7F7F7F"/>
              <w:sz w:val="18"/>
            </w:rPr>
            <w:t>95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2BFB1A5"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3C4A486"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E4AF12F" w14:textId="77777777" w:rsidTr="00A67F05">
      <w:trPr>
        <w:jc w:val="center"/>
      </w:trPr>
      <w:tc>
        <w:tcPr>
          <w:tcW w:w="1013" w:type="pct"/>
          <w:vAlign w:val="center"/>
        </w:tcPr>
        <w:p w14:paraId="17635244"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857B645" w14:textId="4694FA2A"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703D2">
            <w:rPr>
              <w:rFonts w:ascii="Calibri" w:hAnsi="Calibri" w:cs="Arial"/>
              <w:bCs/>
              <w:color w:val="7F7F7F"/>
              <w:sz w:val="18"/>
            </w:rPr>
            <w:t>95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7F85E6B"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C136866"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52CD" w14:textId="77777777" w:rsidR="00DC38A0" w:rsidRDefault="00DC38A0" w:rsidP="006C3242">
      <w:pPr>
        <w:spacing w:before="0" w:line="240" w:lineRule="auto"/>
      </w:pPr>
      <w:r>
        <w:separator/>
      </w:r>
    </w:p>
  </w:footnote>
  <w:footnote w:type="continuationSeparator" w:id="0">
    <w:p w14:paraId="78C0E4A2" w14:textId="77777777" w:rsidR="00DC38A0" w:rsidRDefault="00DC38A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E443" w14:textId="77777777" w:rsidR="001A3E13" w:rsidRPr="00057769" w:rsidRDefault="001A3E13" w:rsidP="001A3E13">
    <w:pPr>
      <w:pStyle w:val="Header"/>
    </w:pPr>
    <w:r>
      <w:rPr>
        <w:noProof/>
      </w:rPr>
      <w:drawing>
        <wp:inline distT="0" distB="0" distL="0" distR="0" wp14:anchorId="1C8F7B92" wp14:editId="47845C9E">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0"/>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5F1E2F"/>
    <w:rsid w:val="005F466D"/>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53B52"/>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03D2"/>
    <w:rsid w:val="00D77D0F"/>
    <w:rsid w:val="00DA1CF0"/>
    <w:rsid w:val="00DA6A30"/>
    <w:rsid w:val="00DC1E02"/>
    <w:rsid w:val="00DC24B4"/>
    <w:rsid w:val="00DC38A0"/>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694E2"/>
  <w15:chartTrackingRefBased/>
  <w15:docId w15:val="{B1B0250B-208E-4BF1-BBF3-CCBEC03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council/Documents/basic-texts-2023/RES-136-A.pdf" TargetMode="External"/><Relationship Id="rId4" Type="http://schemas.openxmlformats.org/officeDocument/2006/relationships/settings" Target="settings.xml"/><Relationship Id="rId9" Type="http://schemas.openxmlformats.org/officeDocument/2006/relationships/hyperlink" Target="https://www.itu.int/en/council/Documents/basic-texts-2023/RES-130-A.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12061</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Impact on civilian telecommunications/ICT infrastructure in Bahrain, Kuwait, Qatar, the United Arab Emirates and Jordan, and its implications for regional and global connectivity</dc:title>
  <dc:subject>ITU Council 2026</dc:subject>
  <dc:creator>GBS</dc:creator>
  <cp:keywords>C26; C2026; Council 2026; PP26</cp:keywords>
  <dc:description/>
  <cp:lastModifiedBy>GBS</cp:lastModifiedBy>
  <cp:revision>2</cp:revision>
  <dcterms:created xsi:type="dcterms:W3CDTF">2026-04-26T14:39:00Z</dcterms:created>
  <dcterms:modified xsi:type="dcterms:W3CDTF">2026-04-26T14:39:00Z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