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156661" w:rsidRPr="00BB6FD8" w14:paraId="5D870D34" w14:textId="77777777" w:rsidTr="00C4421B">
        <w:trPr>
          <w:cantSplit/>
          <w:trHeight w:val="23"/>
        </w:trPr>
        <w:tc>
          <w:tcPr>
            <w:tcW w:w="3969" w:type="dxa"/>
            <w:vMerge w:val="restart"/>
            <w:tcMar>
              <w:left w:w="0" w:type="dxa"/>
            </w:tcMar>
          </w:tcPr>
          <w:p w14:paraId="346BA69E" w14:textId="5DB24FBB" w:rsidR="00156661" w:rsidRPr="00266D59" w:rsidRDefault="00156661" w:rsidP="00156661">
            <w:pPr>
              <w:tabs>
                <w:tab w:val="left" w:pos="851"/>
              </w:tabs>
              <w:spacing w:before="0" w:line="240" w:lineRule="atLeast"/>
              <w:rPr>
                <w:b/>
                <w:lang w:val="es-ES"/>
              </w:rPr>
            </w:pPr>
            <w:bookmarkStart w:id="0" w:name="_Hlk133421839"/>
            <w:r w:rsidRPr="00266D59">
              <w:rPr>
                <w:b/>
                <w:lang w:val="es-ES"/>
              </w:rPr>
              <w:t xml:space="preserve">Punto del orden del día: </w:t>
            </w:r>
            <w:r>
              <w:rPr>
                <w:b/>
                <w:bCs/>
                <w:color w:val="000000"/>
                <w:lang w:val="es-ES"/>
              </w:rPr>
              <w:t>ADM 2</w:t>
            </w:r>
          </w:p>
        </w:tc>
        <w:tc>
          <w:tcPr>
            <w:tcW w:w="5245" w:type="dxa"/>
          </w:tcPr>
          <w:p w14:paraId="20E3C847" w14:textId="3A463B22" w:rsidR="00156661" w:rsidRPr="00BB6FD8" w:rsidRDefault="00156661" w:rsidP="00156661">
            <w:pPr>
              <w:tabs>
                <w:tab w:val="left" w:pos="851"/>
              </w:tabs>
              <w:spacing w:before="0" w:line="240" w:lineRule="atLeast"/>
              <w:jc w:val="right"/>
              <w:rPr>
                <w:b/>
              </w:rPr>
            </w:pPr>
            <w:r>
              <w:rPr>
                <w:b/>
                <w:bCs/>
                <w:color w:val="000000"/>
                <w:lang w:val="es-ES"/>
              </w:rPr>
              <w:t>Documento C26/92-S</w:t>
            </w:r>
          </w:p>
        </w:tc>
      </w:tr>
      <w:tr w:rsidR="00156661" w:rsidRPr="00666D09" w14:paraId="288F65AA" w14:textId="77777777" w:rsidTr="00C4421B">
        <w:trPr>
          <w:cantSplit/>
        </w:trPr>
        <w:tc>
          <w:tcPr>
            <w:tcW w:w="3969" w:type="dxa"/>
            <w:vMerge/>
          </w:tcPr>
          <w:p w14:paraId="211273B0" w14:textId="77777777" w:rsidR="00156661" w:rsidRPr="00BB6FD8" w:rsidRDefault="00156661" w:rsidP="00156661">
            <w:pPr>
              <w:tabs>
                <w:tab w:val="left" w:pos="851"/>
              </w:tabs>
              <w:spacing w:line="240" w:lineRule="atLeast"/>
              <w:rPr>
                <w:b/>
              </w:rPr>
            </w:pPr>
          </w:p>
        </w:tc>
        <w:tc>
          <w:tcPr>
            <w:tcW w:w="5245" w:type="dxa"/>
          </w:tcPr>
          <w:p w14:paraId="5BECDAB6" w14:textId="3B497A30" w:rsidR="00156661" w:rsidRPr="00666D09" w:rsidRDefault="00156661" w:rsidP="00156661">
            <w:pPr>
              <w:tabs>
                <w:tab w:val="left" w:pos="851"/>
              </w:tabs>
              <w:spacing w:before="0"/>
              <w:jc w:val="right"/>
              <w:rPr>
                <w:b/>
                <w:lang w:val="en-GB"/>
              </w:rPr>
            </w:pPr>
            <w:r>
              <w:rPr>
                <w:b/>
                <w:bCs/>
                <w:color w:val="000000"/>
                <w:lang w:val="es-ES"/>
              </w:rPr>
              <w:t>14 de abril de 2026</w:t>
            </w:r>
          </w:p>
        </w:tc>
      </w:tr>
      <w:tr w:rsidR="00156661" w:rsidRPr="00BB6FD8" w14:paraId="0556A2B7" w14:textId="77777777" w:rsidTr="00C4421B">
        <w:trPr>
          <w:cantSplit/>
          <w:trHeight w:val="23"/>
        </w:trPr>
        <w:tc>
          <w:tcPr>
            <w:tcW w:w="3969" w:type="dxa"/>
            <w:vMerge/>
          </w:tcPr>
          <w:p w14:paraId="203BF3AA" w14:textId="77777777" w:rsidR="00156661" w:rsidRPr="00666D09" w:rsidRDefault="00156661" w:rsidP="00156661">
            <w:pPr>
              <w:tabs>
                <w:tab w:val="left" w:pos="851"/>
              </w:tabs>
              <w:spacing w:line="240" w:lineRule="atLeast"/>
              <w:rPr>
                <w:b/>
                <w:lang w:val="en-GB"/>
              </w:rPr>
            </w:pPr>
          </w:p>
        </w:tc>
        <w:tc>
          <w:tcPr>
            <w:tcW w:w="5245" w:type="dxa"/>
          </w:tcPr>
          <w:p w14:paraId="36FF907B" w14:textId="3B852CD2" w:rsidR="00156661" w:rsidRPr="00BB6FD8" w:rsidRDefault="00156661" w:rsidP="00156661">
            <w:pPr>
              <w:tabs>
                <w:tab w:val="left" w:pos="851"/>
              </w:tabs>
              <w:spacing w:before="0" w:line="240" w:lineRule="atLeast"/>
              <w:jc w:val="right"/>
              <w:rPr>
                <w:b/>
                <w:bCs/>
              </w:rPr>
            </w:pPr>
            <w:r>
              <w:rPr>
                <w:b/>
                <w:bCs/>
                <w:color w:val="000000"/>
                <w:lang w:val="es-ES"/>
              </w:rPr>
              <w:t>Original: inglés</w:t>
            </w:r>
          </w:p>
        </w:tc>
      </w:tr>
      <w:tr w:rsidR="00FE57F6" w:rsidRPr="00BB6FD8" w14:paraId="570381CB" w14:textId="77777777" w:rsidTr="00C4421B">
        <w:trPr>
          <w:cantSplit/>
          <w:trHeight w:val="23"/>
        </w:trPr>
        <w:tc>
          <w:tcPr>
            <w:tcW w:w="3969" w:type="dxa"/>
          </w:tcPr>
          <w:p w14:paraId="67AD0CC3" w14:textId="77777777" w:rsidR="00FE57F6" w:rsidRPr="00BB6FD8" w:rsidRDefault="00FE57F6" w:rsidP="00C4421B">
            <w:pPr>
              <w:tabs>
                <w:tab w:val="left" w:pos="851"/>
              </w:tabs>
              <w:spacing w:line="240" w:lineRule="atLeast"/>
              <w:rPr>
                <w:b/>
              </w:rPr>
            </w:pPr>
          </w:p>
        </w:tc>
        <w:tc>
          <w:tcPr>
            <w:tcW w:w="5245" w:type="dxa"/>
          </w:tcPr>
          <w:p w14:paraId="74CF7D36" w14:textId="77777777" w:rsidR="00FE57F6" w:rsidRPr="00BB6FD8" w:rsidRDefault="00FE57F6" w:rsidP="00C4421B">
            <w:pPr>
              <w:tabs>
                <w:tab w:val="left" w:pos="851"/>
              </w:tabs>
              <w:spacing w:before="0" w:line="240" w:lineRule="atLeast"/>
              <w:jc w:val="right"/>
              <w:rPr>
                <w:b/>
              </w:rPr>
            </w:pPr>
          </w:p>
        </w:tc>
      </w:tr>
      <w:tr w:rsidR="00FE57F6" w:rsidRPr="008B6C09" w14:paraId="0DF11C57" w14:textId="77777777" w:rsidTr="00C4421B">
        <w:trPr>
          <w:cantSplit/>
        </w:trPr>
        <w:tc>
          <w:tcPr>
            <w:tcW w:w="9214" w:type="dxa"/>
            <w:gridSpan w:val="2"/>
            <w:tcMar>
              <w:left w:w="0" w:type="dxa"/>
            </w:tcMar>
          </w:tcPr>
          <w:p w14:paraId="3C972848" w14:textId="34288DB5" w:rsidR="00FE57F6" w:rsidRPr="008B6C09" w:rsidRDefault="008B6C09" w:rsidP="00C4421B">
            <w:pPr>
              <w:pStyle w:val="Source"/>
              <w:jc w:val="left"/>
              <w:rPr>
                <w:sz w:val="32"/>
                <w:szCs w:val="32"/>
              </w:rPr>
            </w:pPr>
            <w:r w:rsidRPr="00156661">
              <w:rPr>
                <w:rFonts w:cstheme="minorHAnsi"/>
                <w:sz w:val="34"/>
                <w:szCs w:val="34"/>
                <w:lang w:val="es-ES"/>
              </w:rPr>
              <w:t>Contribución de Armenia (República de), B</w:t>
            </w:r>
            <w:proofErr w:type="spellStart"/>
            <w:r w:rsidRPr="00156661">
              <w:rPr>
                <w:rFonts w:cstheme="minorHAnsi"/>
                <w:sz w:val="34"/>
                <w:szCs w:val="34"/>
                <w:lang w:val="es-ES"/>
              </w:rPr>
              <w:t>elarús</w:t>
            </w:r>
            <w:proofErr w:type="spellEnd"/>
            <w:r w:rsidRPr="00156661">
              <w:rPr>
                <w:rFonts w:cstheme="minorHAnsi"/>
                <w:sz w:val="34"/>
                <w:szCs w:val="34"/>
                <w:lang w:val="es-ES"/>
              </w:rPr>
              <w:t xml:space="preserve"> (República de), Federación de Rusia, Kazajstán (República de), Uzbekistán (República de), República Kirguisa, </w:t>
            </w:r>
            <w:r w:rsidRPr="00234F93">
              <w:rPr>
                <w:rFonts w:cstheme="minorHAnsi"/>
                <w:sz w:val="34"/>
                <w:szCs w:val="34"/>
                <w:lang w:val="es-ES"/>
              </w:rPr>
              <w:t>y</w:t>
            </w:r>
            <w:r w:rsidRPr="00156661">
              <w:rPr>
                <w:rFonts w:cstheme="minorHAnsi"/>
                <w:sz w:val="34"/>
                <w:szCs w:val="34"/>
                <w:lang w:val="es-ES"/>
              </w:rPr>
              <w:t xml:space="preserve"> Tayikistán (República de)</w:t>
            </w:r>
          </w:p>
        </w:tc>
      </w:tr>
      <w:tr w:rsidR="00FE57F6" w:rsidRPr="008B6C09" w14:paraId="1C6FE7F1" w14:textId="77777777" w:rsidTr="00C4421B">
        <w:trPr>
          <w:cantSplit/>
        </w:trPr>
        <w:tc>
          <w:tcPr>
            <w:tcW w:w="9214" w:type="dxa"/>
            <w:gridSpan w:val="2"/>
            <w:tcMar>
              <w:left w:w="0" w:type="dxa"/>
            </w:tcMar>
          </w:tcPr>
          <w:p w14:paraId="75D8E256" w14:textId="4C29B4CA" w:rsidR="00FE57F6" w:rsidRPr="00B12042" w:rsidRDefault="00B12042" w:rsidP="00C4421B">
            <w:pPr>
              <w:pStyle w:val="Subtitle"/>
              <w:framePr w:hSpace="0" w:wrap="auto" w:hAnchor="text" w:xAlign="left" w:yAlign="inline"/>
              <w:rPr>
                <w:spacing w:val="-2"/>
                <w:lang w:val="es-ES"/>
              </w:rPr>
            </w:pPr>
            <w:r w:rsidRPr="00B12042">
              <w:rPr>
                <w:color w:val="000000"/>
                <w:spacing w:val="-2"/>
                <w:lang w:val="es-ES"/>
              </w:rPr>
              <w:t>SOBRE LA REPRESENTACIÓN EQUITATIVA DE LAS SEIS REGIONES EN EL COMITÉ ASESOR INDEPENDIENTE SOBRE LA GESTIÓN (CAIG)</w:t>
            </w:r>
          </w:p>
        </w:tc>
      </w:tr>
      <w:tr w:rsidR="00FE57F6" w:rsidRPr="008B6C09" w14:paraId="26A92D26" w14:textId="77777777" w:rsidTr="00C4421B">
        <w:trPr>
          <w:cantSplit/>
        </w:trPr>
        <w:tc>
          <w:tcPr>
            <w:tcW w:w="9214" w:type="dxa"/>
            <w:gridSpan w:val="2"/>
            <w:tcBorders>
              <w:top w:val="single" w:sz="4" w:space="0" w:color="auto"/>
              <w:bottom w:val="single" w:sz="4" w:space="0" w:color="auto"/>
            </w:tcBorders>
            <w:tcMar>
              <w:left w:w="0" w:type="dxa"/>
            </w:tcMar>
          </w:tcPr>
          <w:p w14:paraId="0C21D535" w14:textId="77777777" w:rsidR="00FE57F6" w:rsidRPr="00CC1FAF" w:rsidRDefault="00F24B71" w:rsidP="00C4421B">
            <w:pPr>
              <w:spacing w:before="160"/>
              <w:rPr>
                <w:b/>
                <w:bCs/>
                <w:sz w:val="26"/>
                <w:szCs w:val="26"/>
                <w:lang w:val="es-ES"/>
              </w:rPr>
            </w:pPr>
            <w:r w:rsidRPr="00CC1FAF">
              <w:rPr>
                <w:b/>
                <w:bCs/>
                <w:sz w:val="26"/>
                <w:szCs w:val="26"/>
                <w:lang w:val="es-ES"/>
              </w:rPr>
              <w:t>Finalidad</w:t>
            </w:r>
          </w:p>
          <w:p w14:paraId="08FCFEC4" w14:textId="11A2D3D4" w:rsidR="00FE57F6" w:rsidRPr="00CC1FAF" w:rsidRDefault="00156661" w:rsidP="00B12042">
            <w:pPr>
              <w:jc w:val="both"/>
              <w:rPr>
                <w:lang w:val="es-ES"/>
              </w:rPr>
            </w:pPr>
            <w:r>
              <w:rPr>
                <w:color w:val="000000"/>
                <w:lang w:val="es-ES"/>
              </w:rPr>
              <w:t xml:space="preserve">Teniendo en cuenta el mandato del Consejo de la UIT y del GTC-RHF en relación con el Comité Asesor Independiente sobre la Gestión (CAIG), se invita al GTC-RHF a preparar una recomendación al Consejo sobre la representación equitativa de las seis regiones en el CAIG, </w:t>
            </w:r>
            <w:r w:rsidRPr="005565F2">
              <w:rPr>
                <w:b/>
                <w:bCs/>
                <w:color w:val="000000"/>
                <w:lang w:val="es-ES"/>
              </w:rPr>
              <w:t>con el fin de aumentar la transparencia del nombramiento de los miembros del CAIG y</w:t>
            </w:r>
            <w:r>
              <w:rPr>
                <w:color w:val="000000"/>
                <w:lang w:val="es-ES"/>
              </w:rPr>
              <w:t xml:space="preserve"> </w:t>
            </w:r>
            <w:r w:rsidRPr="00D05317">
              <w:rPr>
                <w:b/>
                <w:bCs/>
                <w:color w:val="000000"/>
                <w:lang w:val="es-ES"/>
              </w:rPr>
              <w:t>mejorar la situación con una representación equitativa de las seis regiones en el CAIG</w:t>
            </w:r>
            <w:r>
              <w:rPr>
                <w:color w:val="000000"/>
                <w:lang w:val="es-ES"/>
              </w:rPr>
              <w:t>.</w:t>
            </w:r>
          </w:p>
          <w:p w14:paraId="6CC654A1" w14:textId="77777777" w:rsidR="00FE57F6" w:rsidRPr="00CC1FAF" w:rsidRDefault="00F24B71" w:rsidP="00C4421B">
            <w:pPr>
              <w:spacing w:before="160"/>
              <w:rPr>
                <w:b/>
                <w:bCs/>
                <w:sz w:val="26"/>
                <w:szCs w:val="26"/>
                <w:lang w:val="es-ES"/>
              </w:rPr>
            </w:pPr>
            <w:r w:rsidRPr="00CC1FAF">
              <w:rPr>
                <w:b/>
                <w:bCs/>
                <w:sz w:val="26"/>
                <w:szCs w:val="26"/>
                <w:lang w:val="es-ES"/>
              </w:rPr>
              <w:t xml:space="preserve">Acción solicitada </w:t>
            </w:r>
            <w:r w:rsidR="00677A97" w:rsidRPr="00CC1FAF">
              <w:rPr>
                <w:b/>
                <w:bCs/>
                <w:sz w:val="26"/>
                <w:szCs w:val="26"/>
                <w:lang w:val="es-ES"/>
              </w:rPr>
              <w:t>al</w:t>
            </w:r>
            <w:r w:rsidRPr="00CC1FAF">
              <w:rPr>
                <w:b/>
                <w:bCs/>
                <w:sz w:val="26"/>
                <w:szCs w:val="26"/>
                <w:lang w:val="es-ES"/>
              </w:rPr>
              <w:t xml:space="preserve"> Consejo</w:t>
            </w:r>
          </w:p>
          <w:p w14:paraId="0FA9A3DF" w14:textId="6B752784" w:rsidR="00F92BED" w:rsidRPr="00F92BED" w:rsidRDefault="00156661" w:rsidP="00B12042">
            <w:pPr>
              <w:spacing w:before="160"/>
              <w:jc w:val="both"/>
              <w:rPr>
                <w:szCs w:val="24"/>
                <w:lang w:val="es-ES"/>
              </w:rPr>
            </w:pPr>
            <w:r>
              <w:rPr>
                <w:color w:val="000000"/>
                <w:lang w:val="es-ES"/>
              </w:rPr>
              <w:t xml:space="preserve">Se invita al Consejo a </w:t>
            </w:r>
            <w:r>
              <w:rPr>
                <w:b/>
                <w:bCs/>
                <w:color w:val="000000"/>
                <w:lang w:val="es-ES"/>
              </w:rPr>
              <w:t>examinar</w:t>
            </w:r>
            <w:r>
              <w:rPr>
                <w:color w:val="000000"/>
                <w:lang w:val="es-ES"/>
              </w:rPr>
              <w:t xml:space="preserve"> el presente documento con el fin de preparar recomendaciones y presentarlas posteriormente a la Conferencia de Plenipotenciarios de la UIT de 2026.</w:t>
            </w:r>
          </w:p>
          <w:p w14:paraId="13D43C8D" w14:textId="77777777" w:rsidR="00FE57F6" w:rsidRPr="00266D59" w:rsidRDefault="00FE57F6" w:rsidP="00C4421B">
            <w:pPr>
              <w:spacing w:before="160"/>
              <w:rPr>
                <w:caps/>
                <w:sz w:val="22"/>
                <w:lang w:val="es-ES"/>
              </w:rPr>
            </w:pPr>
            <w:r w:rsidRPr="00266D59">
              <w:rPr>
                <w:sz w:val="22"/>
                <w:lang w:val="es-ES"/>
              </w:rPr>
              <w:t>__________________</w:t>
            </w:r>
          </w:p>
          <w:p w14:paraId="5023B621" w14:textId="77777777" w:rsidR="00FE57F6" w:rsidRPr="00266D59" w:rsidRDefault="00F24B71" w:rsidP="00C4421B">
            <w:pPr>
              <w:spacing w:before="160"/>
              <w:rPr>
                <w:b/>
                <w:bCs/>
                <w:sz w:val="26"/>
                <w:szCs w:val="26"/>
                <w:lang w:val="es-ES"/>
              </w:rPr>
            </w:pPr>
            <w:r w:rsidRPr="00266D59">
              <w:rPr>
                <w:b/>
                <w:bCs/>
                <w:sz w:val="26"/>
                <w:szCs w:val="26"/>
                <w:lang w:val="es-ES"/>
              </w:rPr>
              <w:t>Referencia</w:t>
            </w:r>
            <w:r w:rsidR="00F92BED" w:rsidRPr="00266D59">
              <w:rPr>
                <w:b/>
                <w:bCs/>
                <w:sz w:val="26"/>
                <w:szCs w:val="26"/>
                <w:lang w:val="es-ES"/>
              </w:rPr>
              <w:t>s</w:t>
            </w:r>
            <w:r w:rsidR="00D375E0" w:rsidRPr="00266D59">
              <w:rPr>
                <w:sz w:val="26"/>
                <w:szCs w:val="26"/>
                <w:lang w:val="es-ES"/>
              </w:rPr>
              <w:t xml:space="preserve"> </w:t>
            </w:r>
          </w:p>
          <w:p w14:paraId="050EDFB7" w14:textId="47B57B81" w:rsidR="00FE57F6" w:rsidRPr="00266D59" w:rsidRDefault="00156661" w:rsidP="00C4421B">
            <w:pPr>
              <w:spacing w:after="160"/>
              <w:rPr>
                <w:i/>
                <w:iCs/>
                <w:sz w:val="22"/>
                <w:szCs w:val="22"/>
                <w:lang w:val="es-ES"/>
              </w:rPr>
            </w:pPr>
            <w:r w:rsidRPr="005565F2">
              <w:rPr>
                <w:i/>
                <w:iCs/>
                <w:color w:val="000000"/>
                <w:sz w:val="22"/>
                <w:szCs w:val="22"/>
                <w:lang w:val="es-ES"/>
              </w:rPr>
              <w:t>Resolución 162 (Rev. Bucarest, 2022) de la Conferencia de Plenipotenciarios;</w:t>
            </w:r>
            <w:r w:rsidRPr="005565F2">
              <w:rPr>
                <w:color w:val="000000"/>
                <w:sz w:val="22"/>
                <w:szCs w:val="22"/>
                <w:lang w:val="es-ES"/>
              </w:rPr>
              <w:t xml:space="preserve"> </w:t>
            </w:r>
            <w:r w:rsidRPr="005565F2">
              <w:rPr>
                <w:i/>
                <w:iCs/>
                <w:color w:val="000000"/>
                <w:sz w:val="22"/>
                <w:szCs w:val="22"/>
                <w:lang w:val="es-ES"/>
              </w:rPr>
              <w:t>Nota de la Secretaria General "Nombramiento de los miembros del Comité Asesor Independiente sobre la Gestión (CAIG)" (</w:t>
            </w:r>
            <w:hyperlink r:id="rId7" w:history="1">
              <w:r w:rsidRPr="005565F2">
                <w:rPr>
                  <w:rStyle w:val="Hyperlink"/>
                  <w:i/>
                  <w:iCs/>
                  <w:sz w:val="22"/>
                  <w:lang w:val="es-ES"/>
                </w:rPr>
                <w:t>C23/23</w:t>
              </w:r>
            </w:hyperlink>
            <w:r w:rsidRPr="005565F2">
              <w:rPr>
                <w:i/>
                <w:iCs/>
                <w:color w:val="000000"/>
                <w:sz w:val="22"/>
                <w:szCs w:val="22"/>
                <w:lang w:val="es-ES"/>
              </w:rPr>
              <w:t>);</w:t>
            </w:r>
            <w:r w:rsidRPr="005565F2">
              <w:rPr>
                <w:color w:val="000000"/>
                <w:sz w:val="22"/>
                <w:szCs w:val="22"/>
                <w:lang w:val="es-ES"/>
              </w:rPr>
              <w:t xml:space="preserve"> </w:t>
            </w:r>
            <w:r w:rsidRPr="005565F2">
              <w:rPr>
                <w:i/>
                <w:iCs/>
                <w:color w:val="000000"/>
                <w:sz w:val="22"/>
                <w:szCs w:val="22"/>
                <w:lang w:val="es-ES"/>
              </w:rPr>
              <w:t xml:space="preserve">Contribución de la República Popular de China, la República de Armenia, la República de </w:t>
            </w:r>
            <w:proofErr w:type="spellStart"/>
            <w:r w:rsidRPr="005565F2">
              <w:rPr>
                <w:i/>
                <w:iCs/>
                <w:color w:val="000000"/>
                <w:sz w:val="22"/>
                <w:szCs w:val="22"/>
                <w:lang w:val="es-ES"/>
              </w:rPr>
              <w:t>Belarús</w:t>
            </w:r>
            <w:proofErr w:type="spellEnd"/>
            <w:r w:rsidRPr="005565F2">
              <w:rPr>
                <w:i/>
                <w:iCs/>
                <w:color w:val="000000"/>
                <w:sz w:val="22"/>
                <w:szCs w:val="22"/>
                <w:lang w:val="es-ES"/>
              </w:rPr>
              <w:t>, la República de Kazajstán y la Federación de Rusia (</w:t>
            </w:r>
            <w:hyperlink r:id="rId8" w:history="1">
              <w:r w:rsidRPr="005565F2">
                <w:rPr>
                  <w:rStyle w:val="Hyperlink"/>
                  <w:i/>
                  <w:iCs/>
                  <w:sz w:val="22"/>
                  <w:lang w:val="es-ES"/>
                </w:rPr>
                <w:t>CWG</w:t>
              </w:r>
              <w:r w:rsidR="00AE29D5" w:rsidRPr="005565F2">
                <w:rPr>
                  <w:rStyle w:val="Hyperlink"/>
                  <w:i/>
                  <w:iCs/>
                  <w:sz w:val="22"/>
                  <w:lang w:val="es-ES"/>
                </w:rPr>
                <w:noBreakHyphen/>
              </w:r>
              <w:r w:rsidRPr="005565F2">
                <w:rPr>
                  <w:rStyle w:val="Hyperlink"/>
                  <w:i/>
                  <w:iCs/>
                  <w:sz w:val="22"/>
                  <w:lang w:val="es-ES"/>
                </w:rPr>
                <w:t>FHR-16/16</w:t>
              </w:r>
            </w:hyperlink>
            <w:r w:rsidRPr="005565F2">
              <w:rPr>
                <w:i/>
                <w:iCs/>
                <w:color w:val="000000"/>
                <w:sz w:val="22"/>
                <w:szCs w:val="22"/>
                <w:lang w:val="es-ES"/>
              </w:rPr>
              <w:t xml:space="preserve">), Contribución de la República de Armenia, la República de </w:t>
            </w:r>
            <w:proofErr w:type="spellStart"/>
            <w:r w:rsidRPr="005565F2">
              <w:rPr>
                <w:i/>
                <w:iCs/>
                <w:color w:val="000000"/>
                <w:sz w:val="22"/>
                <w:szCs w:val="22"/>
                <w:lang w:val="es-ES"/>
              </w:rPr>
              <w:t>Belarús</w:t>
            </w:r>
            <w:proofErr w:type="spellEnd"/>
            <w:r w:rsidRPr="005565F2">
              <w:rPr>
                <w:i/>
                <w:iCs/>
                <w:color w:val="000000"/>
                <w:sz w:val="22"/>
                <w:szCs w:val="22"/>
                <w:lang w:val="es-ES"/>
              </w:rPr>
              <w:t xml:space="preserve">, la República Kirguisa, la Federación de Rusia, la República de Tayikistán y la República de Uzbekistán </w:t>
            </w:r>
            <w:hyperlink r:id="rId9" w:history="1">
              <w:r w:rsidRPr="005565F2">
                <w:rPr>
                  <w:rStyle w:val="Hyperlink"/>
                  <w:i/>
                  <w:iCs/>
                  <w:sz w:val="22"/>
                  <w:lang w:val="es-ES"/>
                </w:rPr>
                <w:t>(CWG-FHR-17/17_Rev1</w:t>
              </w:r>
            </w:hyperlink>
            <w:r w:rsidRPr="005565F2">
              <w:rPr>
                <w:i/>
                <w:iCs/>
                <w:color w:val="000000"/>
                <w:sz w:val="22"/>
                <w:szCs w:val="22"/>
                <w:lang w:val="es-ES"/>
              </w:rPr>
              <w:t xml:space="preserve">), 10b del informe resumido de la decimoséptima reunión del GTC-RHF </w:t>
            </w:r>
            <w:hyperlink r:id="rId10" w:history="1">
              <w:r w:rsidRPr="005565F2">
                <w:rPr>
                  <w:rStyle w:val="Hyperlink"/>
                  <w:i/>
                  <w:iCs/>
                  <w:sz w:val="22"/>
                  <w:lang w:val="es-ES"/>
                </w:rPr>
                <w:t>(CWG-FHR-17/24</w:t>
              </w:r>
            </w:hyperlink>
            <w:r w:rsidRPr="005565F2">
              <w:rPr>
                <w:i/>
                <w:iCs/>
                <w:color w:val="000000"/>
                <w:sz w:val="22"/>
                <w:szCs w:val="22"/>
                <w:lang w:val="es-ES"/>
              </w:rPr>
              <w:t>).</w:t>
            </w:r>
          </w:p>
        </w:tc>
      </w:tr>
      <w:bookmarkEnd w:id="0"/>
    </w:tbl>
    <w:p w14:paraId="0FC69C55" w14:textId="77777777" w:rsidR="00A25436" w:rsidRDefault="00A25436" w:rsidP="00156661">
      <w:pPr>
        <w:pStyle w:val="Heading1"/>
        <w:rPr>
          <w:lang w:val="es-ES"/>
        </w:rPr>
      </w:pPr>
    </w:p>
    <w:p w14:paraId="212BCB35" w14:textId="77777777" w:rsidR="00A25436" w:rsidRDefault="00A25436">
      <w:pPr>
        <w:tabs>
          <w:tab w:val="clear" w:pos="567"/>
          <w:tab w:val="clear" w:pos="1134"/>
          <w:tab w:val="clear" w:pos="1701"/>
          <w:tab w:val="clear" w:pos="2268"/>
          <w:tab w:val="clear" w:pos="2835"/>
        </w:tabs>
        <w:overflowPunct/>
        <w:autoSpaceDE/>
        <w:autoSpaceDN/>
        <w:adjustRightInd/>
        <w:spacing w:before="0"/>
        <w:textAlignment w:val="auto"/>
        <w:rPr>
          <w:b/>
          <w:sz w:val="28"/>
          <w:lang w:val="es-ES"/>
        </w:rPr>
      </w:pPr>
      <w:r>
        <w:rPr>
          <w:lang w:val="es-ES"/>
        </w:rPr>
        <w:br w:type="page"/>
      </w:r>
    </w:p>
    <w:p w14:paraId="7F6605F0" w14:textId="51681649" w:rsidR="00156661" w:rsidRPr="008F3C81" w:rsidRDefault="00156661" w:rsidP="00156661">
      <w:pPr>
        <w:pStyle w:val="Heading1"/>
        <w:rPr>
          <w:rFonts w:eastAsia="SimSun"/>
          <w:sz w:val="26"/>
          <w:szCs w:val="26"/>
          <w:lang w:val="es-ES"/>
        </w:rPr>
      </w:pPr>
      <w:r>
        <w:rPr>
          <w:lang w:val="es-ES"/>
        </w:rPr>
        <w:t>I</w:t>
      </w:r>
      <w:r>
        <w:rPr>
          <w:lang w:val="es-ES"/>
        </w:rPr>
        <w:tab/>
        <w:t>Introducción</w:t>
      </w:r>
    </w:p>
    <w:p w14:paraId="07FED774" w14:textId="77777777" w:rsidR="00156661" w:rsidRPr="008F3C81" w:rsidRDefault="00156661" w:rsidP="00B12042">
      <w:pPr>
        <w:tabs>
          <w:tab w:val="clear" w:pos="567"/>
          <w:tab w:val="clear" w:pos="1134"/>
          <w:tab w:val="clear" w:pos="1701"/>
          <w:tab w:val="clear" w:pos="2268"/>
          <w:tab w:val="clear" w:pos="2835"/>
        </w:tabs>
        <w:overflowPunct/>
        <w:autoSpaceDE/>
        <w:autoSpaceDN/>
        <w:adjustRightInd/>
        <w:spacing w:after="120"/>
        <w:jc w:val="both"/>
        <w:textAlignment w:val="auto"/>
        <w:rPr>
          <w:rFonts w:eastAsia="SimSun"/>
          <w:lang w:val="es-ES"/>
        </w:rPr>
      </w:pPr>
      <w:r>
        <w:rPr>
          <w:lang w:val="es-ES"/>
        </w:rPr>
        <w:t>La Conferencia de Plenipotenciarios (PP) de la Unión Internacional de Telecomunicaciones (UIT), en su Resolución 162 "Comité Asesor Independiente sobre la Gestión" (Rev. Bucarest, 2022), reafirmó su compromiso con la gestión eficiente, responsable y transparente de la Unión y decidió establecer un Comité Asesor Independiente para la Gestión (CAIG) con carácter permanente, con arreglo al mandato contenido en el Anexo a la Resolución, y revisar y modificar, si es necesario, su mandato.</w:t>
      </w:r>
    </w:p>
    <w:p w14:paraId="569C3C01" w14:textId="77777777" w:rsidR="00156661" w:rsidRPr="00060771" w:rsidRDefault="00156661" w:rsidP="00B12042">
      <w:pPr>
        <w:tabs>
          <w:tab w:val="clear" w:pos="567"/>
          <w:tab w:val="clear" w:pos="1134"/>
          <w:tab w:val="clear" w:pos="1701"/>
          <w:tab w:val="clear" w:pos="2268"/>
          <w:tab w:val="clear" w:pos="2835"/>
        </w:tabs>
        <w:overflowPunct/>
        <w:autoSpaceDE/>
        <w:autoSpaceDN/>
        <w:adjustRightInd/>
        <w:spacing w:after="120"/>
        <w:jc w:val="both"/>
        <w:textAlignment w:val="auto"/>
        <w:rPr>
          <w:rFonts w:eastAsia="SimSun"/>
          <w:lang w:val="es-ES"/>
        </w:rPr>
      </w:pPr>
      <w:r>
        <w:rPr>
          <w:lang w:val="es-ES"/>
        </w:rPr>
        <w:t>En esa misma Resolución se encargaba al Consejo de la UIT que nombrase miembros del CAIG a seis expertos independientes, con arreglo a su mandato, teniendo en cuenta una representación equitativa de las seis regiones.</w:t>
      </w:r>
    </w:p>
    <w:p w14:paraId="42B6DB6A" w14:textId="77777777" w:rsidR="00156661" w:rsidRPr="008F3C81" w:rsidRDefault="00156661" w:rsidP="00B12042">
      <w:pPr>
        <w:tabs>
          <w:tab w:val="clear" w:pos="567"/>
          <w:tab w:val="clear" w:pos="1134"/>
          <w:tab w:val="clear" w:pos="1701"/>
          <w:tab w:val="clear" w:pos="2268"/>
          <w:tab w:val="clear" w:pos="2835"/>
        </w:tabs>
        <w:overflowPunct/>
        <w:autoSpaceDE/>
        <w:autoSpaceDN/>
        <w:adjustRightInd/>
        <w:spacing w:after="120"/>
        <w:jc w:val="both"/>
        <w:textAlignment w:val="auto"/>
        <w:rPr>
          <w:rFonts w:eastAsia="SimSun"/>
          <w:lang w:val="es-ES"/>
        </w:rPr>
      </w:pPr>
      <w:r>
        <w:rPr>
          <w:lang w:val="es-ES"/>
        </w:rPr>
        <w:t>De conformidad con el mandato del CAIG, en la medida de lo posible, no podrá haber más de un miembro del CAIG de una misma región geográfica.</w:t>
      </w:r>
    </w:p>
    <w:p w14:paraId="7C0C3E4E" w14:textId="77777777" w:rsidR="00156661" w:rsidRPr="008F3C81" w:rsidRDefault="00156661" w:rsidP="00B12042">
      <w:pPr>
        <w:tabs>
          <w:tab w:val="clear" w:pos="567"/>
          <w:tab w:val="clear" w:pos="1134"/>
          <w:tab w:val="clear" w:pos="1701"/>
          <w:tab w:val="clear" w:pos="2268"/>
          <w:tab w:val="clear" w:pos="2835"/>
        </w:tabs>
        <w:overflowPunct/>
        <w:autoSpaceDE/>
        <w:autoSpaceDN/>
        <w:adjustRightInd/>
        <w:spacing w:after="120"/>
        <w:jc w:val="both"/>
        <w:textAlignment w:val="auto"/>
        <w:rPr>
          <w:rFonts w:eastAsia="SimSun"/>
          <w:lang w:val="es-ES"/>
        </w:rPr>
      </w:pPr>
      <w:r>
        <w:rPr>
          <w:lang w:val="es-ES"/>
        </w:rPr>
        <w:t>El proceso de selección de los miembros del CAIG se define en el Apéndice B del Mandato del CAIG, que figura en la Resolución 162 (Rev. Bucarest, 2022) de la PP. En este proceso participará un panel de selección formado por representantes del Consejo con una distribución geográfica equitativa. El panel de selección, que estará compuesto por seis miembros del Consejo de la UIT en representación de las Américas, Europa, la Comunidad de Estados Independientes, África, Asia y Australasia y los Estados Árabes, transmite sus recomendaciones al Consejo. Los miembros del CAIG serán nombrados por el Consejo.</w:t>
      </w:r>
    </w:p>
    <w:p w14:paraId="7CBF3D81" w14:textId="77777777" w:rsidR="00156661" w:rsidRPr="008F3C81" w:rsidRDefault="00156661" w:rsidP="00B12042">
      <w:pPr>
        <w:tabs>
          <w:tab w:val="clear" w:pos="567"/>
          <w:tab w:val="clear" w:pos="1134"/>
          <w:tab w:val="clear" w:pos="1701"/>
          <w:tab w:val="clear" w:pos="2268"/>
          <w:tab w:val="clear" w:pos="2835"/>
        </w:tabs>
        <w:overflowPunct/>
        <w:autoSpaceDE/>
        <w:autoSpaceDN/>
        <w:adjustRightInd/>
        <w:spacing w:after="120"/>
        <w:jc w:val="both"/>
        <w:textAlignment w:val="auto"/>
        <w:rPr>
          <w:rFonts w:eastAsia="SimSun"/>
          <w:lang w:val="es-ES"/>
        </w:rPr>
      </w:pPr>
      <w:r>
        <w:rPr>
          <w:lang w:val="es-ES"/>
        </w:rPr>
        <w:t>La Resolución 162 (Rev. Bucarest, 2022) de la PP también encarga al Consejo de la UIT que examine los informes anuales del CAIG y sus recomendaciones y tome las medidas adecuadas, y que examine el grado de aplicación de las recomendaciones del CAIG.</w:t>
      </w:r>
    </w:p>
    <w:p w14:paraId="4FA771C7" w14:textId="29BAE697" w:rsidR="00156661" w:rsidRPr="008F3C81" w:rsidRDefault="00156661" w:rsidP="00B12042">
      <w:pPr>
        <w:tabs>
          <w:tab w:val="clear" w:pos="567"/>
          <w:tab w:val="clear" w:pos="1134"/>
          <w:tab w:val="clear" w:pos="1701"/>
          <w:tab w:val="clear" w:pos="2268"/>
          <w:tab w:val="clear" w:pos="2835"/>
        </w:tabs>
        <w:overflowPunct/>
        <w:autoSpaceDE/>
        <w:autoSpaceDN/>
        <w:adjustRightInd/>
        <w:spacing w:after="120"/>
        <w:jc w:val="both"/>
        <w:textAlignment w:val="auto"/>
        <w:rPr>
          <w:rFonts w:eastAsia="SimSun"/>
          <w:lang w:val="es-ES"/>
        </w:rPr>
      </w:pPr>
      <w:r>
        <w:rPr>
          <w:lang w:val="es-ES"/>
        </w:rPr>
        <w:t>El mandato del Grupo de Trabajo del Consejo sobre Recursos Humanos y Financieros (GTC</w:t>
      </w:r>
      <w:r w:rsidR="00AE29D5">
        <w:rPr>
          <w:lang w:val="es-ES"/>
        </w:rPr>
        <w:noBreakHyphen/>
      </w:r>
      <w:r>
        <w:rPr>
          <w:lang w:val="es-ES"/>
        </w:rPr>
        <w:t>RHF), definido en el Acuerdo 563 del Consejo (modificado en 2023), incluye el examen y desarrollo de las propuestas para su consideración por el Consejo a fin de garantizar, entre otras cosas, que se tengan en cuenta las recomendaciones pertinentes del CAIG que afectan a la gestión de los recursos humanos y financieros de la Unión.</w:t>
      </w:r>
    </w:p>
    <w:p w14:paraId="65C4B921" w14:textId="77777777" w:rsidR="00156661" w:rsidRPr="00087D64" w:rsidRDefault="00156661" w:rsidP="00156661">
      <w:pPr>
        <w:pStyle w:val="Heading1"/>
        <w:rPr>
          <w:rFonts w:eastAsia="SimSun"/>
          <w:b w:val="0"/>
          <w:sz w:val="26"/>
          <w:szCs w:val="26"/>
          <w:lang w:val="es-ES"/>
        </w:rPr>
      </w:pPr>
      <w:r>
        <w:rPr>
          <w:bCs/>
          <w:lang w:val="es-ES"/>
        </w:rPr>
        <w:t>II</w:t>
      </w:r>
      <w:r>
        <w:rPr>
          <w:lang w:val="es-ES"/>
        </w:rPr>
        <w:tab/>
      </w:r>
      <w:r>
        <w:rPr>
          <w:bCs/>
          <w:lang w:val="es-ES"/>
        </w:rPr>
        <w:t>Fundamentos de la propuesta</w:t>
      </w:r>
    </w:p>
    <w:p w14:paraId="46FF1F06" w14:textId="77777777" w:rsidR="00156661" w:rsidRPr="00060771" w:rsidRDefault="00156661" w:rsidP="00B12042">
      <w:pPr>
        <w:jc w:val="both"/>
        <w:rPr>
          <w:rFonts w:eastAsia="SimSun"/>
          <w:lang w:val="es-ES"/>
        </w:rPr>
      </w:pPr>
      <w:r>
        <w:rPr>
          <w:lang w:val="es-ES"/>
        </w:rPr>
        <w:t>En su reunión de 2023, el Consejo examinó el informe de la Secretaria General sobre el nombramiento de los miembros del Comité Asesor Independiente sobre la Gestión (CAIG) (</w:t>
      </w:r>
      <w:hyperlink r:id="rId11" w:history="1">
        <w:r w:rsidRPr="001861BB">
          <w:rPr>
            <w:rStyle w:val="Hyperlink"/>
            <w:lang w:val="es-ES"/>
          </w:rPr>
          <w:t>C23/23</w:t>
        </w:r>
      </w:hyperlink>
      <w:r>
        <w:rPr>
          <w:lang w:val="es-ES"/>
        </w:rPr>
        <w:t>). El documento ofrece una visión general del proceso de selección llevado a cabo para identificar a los candidatos para los miembros del CAIG y la recomendación del Panel de Selección para el nombramiento de candidatos.</w:t>
      </w:r>
      <w:hyperlink r:id="rId12" w:history="1"/>
    </w:p>
    <w:p w14:paraId="44560292" w14:textId="77777777" w:rsidR="00156661" w:rsidRPr="008F3C81" w:rsidRDefault="00156661" w:rsidP="00B12042">
      <w:pPr>
        <w:tabs>
          <w:tab w:val="clear" w:pos="567"/>
          <w:tab w:val="clear" w:pos="1134"/>
          <w:tab w:val="clear" w:pos="1701"/>
          <w:tab w:val="clear" w:pos="2268"/>
          <w:tab w:val="clear" w:pos="2835"/>
        </w:tabs>
        <w:overflowPunct/>
        <w:autoSpaceDE/>
        <w:autoSpaceDN/>
        <w:adjustRightInd/>
        <w:spacing w:after="120"/>
        <w:jc w:val="both"/>
        <w:textAlignment w:val="auto"/>
        <w:rPr>
          <w:rFonts w:eastAsia="SimSun"/>
          <w:lang w:val="es-ES"/>
        </w:rPr>
      </w:pPr>
      <w:r>
        <w:rPr>
          <w:lang w:val="es-ES"/>
        </w:rPr>
        <w:t>En el documento se señala que se recibieron en total 46 solicitudes, de las cuales había 45 candidatos cualificados, incluidos los tres miembros actuales del CAIG que podían optar a un nuevo nombramiento.</w:t>
      </w:r>
    </w:p>
    <w:p w14:paraId="32AD6944" w14:textId="77777777" w:rsidR="00156661" w:rsidRPr="008F3C81" w:rsidRDefault="00156661" w:rsidP="00B12042">
      <w:pPr>
        <w:tabs>
          <w:tab w:val="clear" w:pos="567"/>
          <w:tab w:val="clear" w:pos="1134"/>
          <w:tab w:val="clear" w:pos="1701"/>
          <w:tab w:val="clear" w:pos="2268"/>
          <w:tab w:val="clear" w:pos="2835"/>
        </w:tabs>
        <w:overflowPunct/>
        <w:autoSpaceDE/>
        <w:autoSpaceDN/>
        <w:adjustRightInd/>
        <w:spacing w:after="120"/>
        <w:jc w:val="both"/>
        <w:textAlignment w:val="auto"/>
        <w:rPr>
          <w:rFonts w:eastAsia="SimSun"/>
          <w:lang w:val="es-ES"/>
        </w:rPr>
      </w:pPr>
      <w:r>
        <w:rPr>
          <w:lang w:val="es-ES"/>
        </w:rPr>
        <w:t>Sobre la base de la evaluación de la candidatura y las entrevistas de cada postulante, el panel de selección identificó a los seis candidatos que, en su opinión, cumplían mejor los requisitos estipulados en el mandato del CAIG.</w:t>
      </w:r>
    </w:p>
    <w:p w14:paraId="41AC2175" w14:textId="77777777" w:rsidR="00156661" w:rsidRPr="008F3C81" w:rsidRDefault="00156661" w:rsidP="00B12042">
      <w:pPr>
        <w:tabs>
          <w:tab w:val="clear" w:pos="567"/>
          <w:tab w:val="clear" w:pos="1134"/>
          <w:tab w:val="clear" w:pos="1701"/>
          <w:tab w:val="clear" w:pos="2268"/>
          <w:tab w:val="clear" w:pos="2835"/>
        </w:tabs>
        <w:overflowPunct/>
        <w:autoSpaceDE/>
        <w:autoSpaceDN/>
        <w:adjustRightInd/>
        <w:spacing w:after="120"/>
        <w:jc w:val="both"/>
        <w:textAlignment w:val="auto"/>
        <w:rPr>
          <w:rFonts w:eastAsia="SimSun"/>
          <w:lang w:val="es-ES"/>
        </w:rPr>
      </w:pPr>
      <w:r>
        <w:rPr>
          <w:lang w:val="es-ES"/>
        </w:rPr>
        <w:t xml:space="preserve">Se presentó un candidato de la región de la CEI, miembro actual del CAIG; su candidatura no figura en la lista de los seis candidatos recomendados al Consejo para ser miembro del CAIG. Por lo tanto, el puesto en el CAIG que se suponía que debía otorgarse a un representante de </w:t>
      </w:r>
      <w:r>
        <w:rPr>
          <w:lang w:val="es-ES"/>
        </w:rPr>
        <w:lastRenderedPageBreak/>
        <w:t>la CEI quedó vacante. Como parte de un proceso de selección interno, se entregó a la Región de Europa.</w:t>
      </w:r>
    </w:p>
    <w:p w14:paraId="038C517C" w14:textId="77777777" w:rsidR="00156661" w:rsidRPr="008F3C81" w:rsidRDefault="00156661" w:rsidP="00B12042">
      <w:pPr>
        <w:tabs>
          <w:tab w:val="clear" w:pos="567"/>
          <w:tab w:val="clear" w:pos="1134"/>
          <w:tab w:val="clear" w:pos="1701"/>
          <w:tab w:val="clear" w:pos="2268"/>
          <w:tab w:val="clear" w:pos="2835"/>
        </w:tabs>
        <w:overflowPunct/>
        <w:autoSpaceDE/>
        <w:autoSpaceDN/>
        <w:adjustRightInd/>
        <w:spacing w:after="120"/>
        <w:jc w:val="both"/>
        <w:textAlignment w:val="auto"/>
        <w:rPr>
          <w:rFonts w:eastAsia="SimSun"/>
          <w:lang w:val="es-ES"/>
        </w:rPr>
      </w:pPr>
      <w:r>
        <w:rPr>
          <w:lang w:val="es-ES"/>
        </w:rPr>
        <w:t>Por consiguiente, según la lista de candidatos presentada por el grupo de selección, el Grupo incumplió las disposiciones de la Resolución 162 (Rev. Bucarest, 2022) de la PP sobre la necesidad de garantizar una representación equitativa de las seis regiones y de que, en la medida de lo posible, no podrá haber más de un miembro del CAIG de una misma región geográfica.</w:t>
      </w:r>
    </w:p>
    <w:p w14:paraId="391EBC91" w14:textId="77777777" w:rsidR="00156661" w:rsidRPr="00060771" w:rsidRDefault="00156661" w:rsidP="00B12042">
      <w:pPr>
        <w:tabs>
          <w:tab w:val="clear" w:pos="567"/>
          <w:tab w:val="clear" w:pos="1134"/>
          <w:tab w:val="clear" w:pos="1701"/>
          <w:tab w:val="clear" w:pos="2268"/>
          <w:tab w:val="clear" w:pos="2835"/>
        </w:tabs>
        <w:overflowPunct/>
        <w:autoSpaceDE/>
        <w:autoSpaceDN/>
        <w:adjustRightInd/>
        <w:spacing w:after="120"/>
        <w:jc w:val="both"/>
        <w:textAlignment w:val="auto"/>
        <w:rPr>
          <w:rFonts w:eastAsia="SimSun"/>
          <w:lang w:val="es-ES"/>
        </w:rPr>
      </w:pPr>
      <w:r>
        <w:rPr>
          <w:lang w:val="es-ES"/>
        </w:rPr>
        <w:t>En la 16.ª reunión del GTC-RHF se examinó la contribución temática de la República Popular de China, la República de Armenia y la Federación de Rusia (</w:t>
      </w:r>
      <w:hyperlink r:id="rId13" w:history="1">
        <w:r w:rsidRPr="00B804CA">
          <w:rPr>
            <w:rStyle w:val="Hyperlink"/>
            <w:lang w:val="es-ES"/>
          </w:rPr>
          <w:t>CWG-FHR-16/16</w:t>
        </w:r>
      </w:hyperlink>
      <w:r>
        <w:rPr>
          <w:lang w:val="es-ES"/>
        </w:rPr>
        <w:t>), y algunos Estados Miembros de la UIT se hicieron eco de la necesidad de cumplir las disposiciones de la Resolución 162. Esta contribución multipartita recibió el apoyo general de los miembros del GTC-RHF y, tras un debate, el GTC-RHF recomendó que se trabajara para mejorar el mecanismo de presentación de informes que utiliza el panel de selección del CAIG para comunicar al Consejo la metodología utilizada para el proceso de selección.</w:t>
      </w:r>
      <w:hyperlink r:id="rId14" w:history="1"/>
    </w:p>
    <w:p w14:paraId="6B34DB31" w14:textId="77777777" w:rsidR="00156661" w:rsidRPr="00060771" w:rsidRDefault="00156661" w:rsidP="00B12042">
      <w:pPr>
        <w:tabs>
          <w:tab w:val="clear" w:pos="567"/>
          <w:tab w:val="clear" w:pos="1134"/>
          <w:tab w:val="clear" w:pos="1701"/>
          <w:tab w:val="clear" w:pos="2268"/>
          <w:tab w:val="clear" w:pos="2835"/>
        </w:tabs>
        <w:overflowPunct/>
        <w:autoSpaceDE/>
        <w:autoSpaceDN/>
        <w:adjustRightInd/>
        <w:spacing w:after="120"/>
        <w:jc w:val="both"/>
        <w:textAlignment w:val="auto"/>
        <w:rPr>
          <w:rFonts w:eastAsia="SimSun"/>
          <w:lang w:val="es-ES"/>
        </w:rPr>
      </w:pPr>
      <w:r>
        <w:rPr>
          <w:lang w:val="es-ES"/>
        </w:rPr>
        <w:t xml:space="preserve">La República de Armenia, la República de </w:t>
      </w:r>
      <w:proofErr w:type="spellStart"/>
      <w:r>
        <w:rPr>
          <w:lang w:val="es-ES"/>
        </w:rPr>
        <w:t>Belarús</w:t>
      </w:r>
      <w:proofErr w:type="spellEnd"/>
      <w:r>
        <w:rPr>
          <w:lang w:val="es-ES"/>
        </w:rPr>
        <w:t>, la República Kirguisa, la Federación de Rusia, la República de Tayikistán y la República de Uzbekistán presentaron una contribución de varios países a la siguiente reunión del GTC-RHF (</w:t>
      </w:r>
      <w:hyperlink r:id="rId15" w:history="1">
        <w:r w:rsidRPr="00225BB4">
          <w:rPr>
            <w:rStyle w:val="Hyperlink"/>
            <w:lang w:val="es-ES"/>
          </w:rPr>
          <w:t>CWG-FHR-17/17</w:t>
        </w:r>
      </w:hyperlink>
      <w:r>
        <w:rPr>
          <w:lang w:val="es-ES"/>
        </w:rPr>
        <w:t xml:space="preserve">) con propuestas específicas sobre la representación equitativa de las regiones en el CAIG, con el fin de aumentar la transparencia en el nombramiento de los miembros del CAIG y mejorar la situación con igualdad de representación de las regiones en el CAIG. </w:t>
      </w:r>
      <w:hyperlink r:id="rId16" w:history="1"/>
    </w:p>
    <w:p w14:paraId="65C9E2CE" w14:textId="77777777" w:rsidR="00156661" w:rsidRPr="008F3C81" w:rsidRDefault="00156661" w:rsidP="00B12042">
      <w:pPr>
        <w:tabs>
          <w:tab w:val="clear" w:pos="567"/>
          <w:tab w:val="clear" w:pos="1134"/>
          <w:tab w:val="clear" w:pos="1701"/>
          <w:tab w:val="clear" w:pos="2268"/>
          <w:tab w:val="clear" w:pos="2835"/>
        </w:tabs>
        <w:overflowPunct/>
        <w:autoSpaceDE/>
        <w:autoSpaceDN/>
        <w:adjustRightInd/>
        <w:spacing w:after="120"/>
        <w:jc w:val="both"/>
        <w:textAlignment w:val="auto"/>
        <w:rPr>
          <w:rFonts w:eastAsia="SimSun"/>
          <w:lang w:val="es-ES"/>
        </w:rPr>
      </w:pPr>
      <w:r>
        <w:rPr>
          <w:lang w:val="es-ES"/>
        </w:rPr>
        <w:t>Durante los debates, se indicó que a partir de esta contribución queda un camino por el que se puede llegar a un consenso, siendo una alternativa trabajar sobre el mandato del CAIG y la Resolución 162 (Rev. Bucarest, 2022) que se examinará en la próxima Conferencia de Plenipotenciarios de 2026.</w:t>
      </w:r>
    </w:p>
    <w:p w14:paraId="0D0EEA5B" w14:textId="77777777" w:rsidR="00156661" w:rsidRPr="008F3C81" w:rsidRDefault="00156661" w:rsidP="00156661">
      <w:pPr>
        <w:pStyle w:val="Heading1"/>
        <w:rPr>
          <w:rFonts w:eastAsia="SimSun"/>
          <w:b w:val="0"/>
          <w:sz w:val="26"/>
          <w:szCs w:val="26"/>
          <w:lang w:val="es-ES"/>
        </w:rPr>
      </w:pPr>
      <w:r>
        <w:rPr>
          <w:bCs/>
          <w:lang w:val="es-ES"/>
        </w:rPr>
        <w:t>III</w:t>
      </w:r>
      <w:r>
        <w:rPr>
          <w:lang w:val="es-ES"/>
        </w:rPr>
        <w:tab/>
      </w:r>
      <w:r>
        <w:rPr>
          <w:bCs/>
          <w:lang w:val="es-ES"/>
        </w:rPr>
        <w:t>Propuesta</w:t>
      </w:r>
    </w:p>
    <w:p w14:paraId="10415FA8" w14:textId="77777777" w:rsidR="00156661" w:rsidRPr="008F3C81" w:rsidRDefault="00156661" w:rsidP="00B12042">
      <w:pPr>
        <w:jc w:val="both"/>
        <w:rPr>
          <w:rFonts w:eastAsia="SimSun"/>
          <w:lang w:val="es-ES"/>
        </w:rPr>
      </w:pPr>
      <w:r>
        <w:rPr>
          <w:lang w:val="es-ES"/>
        </w:rPr>
        <w:t>Se invita al GTC-RHF a examinar las siguientes propuestas sobre la representación equitativa de las seis regiones en el Comité Asesor Independiente sobre la Gestión para su ulterior examen por el Consejo.</w:t>
      </w:r>
    </w:p>
    <w:p w14:paraId="36FF6528" w14:textId="77777777" w:rsidR="00156661" w:rsidRPr="008F3C81" w:rsidRDefault="00156661" w:rsidP="00B12042">
      <w:pPr>
        <w:tabs>
          <w:tab w:val="clear" w:pos="567"/>
          <w:tab w:val="clear" w:pos="1134"/>
          <w:tab w:val="clear" w:pos="1701"/>
          <w:tab w:val="clear" w:pos="2268"/>
          <w:tab w:val="clear" w:pos="2835"/>
        </w:tabs>
        <w:overflowPunct/>
        <w:autoSpaceDE/>
        <w:autoSpaceDN/>
        <w:adjustRightInd/>
        <w:spacing w:after="120"/>
        <w:jc w:val="both"/>
        <w:textAlignment w:val="auto"/>
        <w:rPr>
          <w:rFonts w:eastAsia="SimSun"/>
          <w:lang w:val="es-ES"/>
        </w:rPr>
      </w:pPr>
      <w:r>
        <w:rPr>
          <w:lang w:val="es-ES"/>
        </w:rPr>
        <w:t>Habida cuenta de la necesidad de garantizar una representación equitativa de las seis regiones en el CAIG y de que, en la medida de lo posible, no podrá haber más de un miembro del CAIG de la misma región geográfica, se recomendará:</w:t>
      </w:r>
    </w:p>
    <w:p w14:paraId="7ED8810D" w14:textId="77777777" w:rsidR="00156661" w:rsidRPr="008F3C81" w:rsidRDefault="00156661" w:rsidP="00B12042">
      <w:pPr>
        <w:pStyle w:val="enumlev1"/>
        <w:jc w:val="both"/>
        <w:rPr>
          <w:rFonts w:eastAsia="SimSun"/>
          <w:lang w:val="es-ES"/>
        </w:rPr>
      </w:pPr>
      <w:r>
        <w:rPr>
          <w:lang w:val="es-ES"/>
        </w:rPr>
        <w:t>1</w:t>
      </w:r>
      <w:r>
        <w:rPr>
          <w:lang w:val="es-ES"/>
        </w:rPr>
        <w:tab/>
        <w:t>que el panel de selección, al preparar recomendaciones al Consejo para el nombramiento inicial de los miembros del CAIG, indique en dichas recomendaciones:</w:t>
      </w:r>
    </w:p>
    <w:p w14:paraId="52DBC18A" w14:textId="519CC28E" w:rsidR="00156661" w:rsidRPr="00060771" w:rsidRDefault="00AE29D5" w:rsidP="00B12042">
      <w:pPr>
        <w:pStyle w:val="enumlev2"/>
        <w:jc w:val="both"/>
        <w:rPr>
          <w:rFonts w:eastAsia="SimSun"/>
          <w:lang w:val="es-ES"/>
        </w:rPr>
      </w:pPr>
      <w:r w:rsidRPr="00AE29D5">
        <w:rPr>
          <w:lang w:val="es-ES"/>
        </w:rPr>
        <w:t>–</w:t>
      </w:r>
      <w:r>
        <w:rPr>
          <w:lang w:val="es-ES"/>
        </w:rPr>
        <w:tab/>
      </w:r>
      <w:r w:rsidR="00156661">
        <w:rPr>
          <w:lang w:val="es-ES"/>
        </w:rPr>
        <w:t>una lista, desglosada por región, de los candidatos que han completado con éxito el proceso de selección y cuyo nombramiento se recomiende;</w:t>
      </w:r>
    </w:p>
    <w:p w14:paraId="539CA1AD" w14:textId="637DDD5C" w:rsidR="00156661" w:rsidRPr="00060771" w:rsidRDefault="00AE29D5" w:rsidP="00B12042">
      <w:pPr>
        <w:pStyle w:val="enumlev2"/>
        <w:jc w:val="both"/>
        <w:rPr>
          <w:rFonts w:eastAsia="SimSun"/>
          <w:lang w:val="es-ES"/>
        </w:rPr>
      </w:pPr>
      <w:r w:rsidRPr="00AE29D5">
        <w:rPr>
          <w:lang w:val="es-ES"/>
        </w:rPr>
        <w:t>–</w:t>
      </w:r>
      <w:r>
        <w:rPr>
          <w:lang w:val="es-ES"/>
        </w:rPr>
        <w:tab/>
      </w:r>
      <w:r w:rsidR="00156661">
        <w:rPr>
          <w:lang w:val="es-ES"/>
        </w:rPr>
        <w:t>las regiones en las que no se ha recomendado ningún candidato para su nombramiento y en las que, por consiguiente, hay puestos vacantes;</w:t>
      </w:r>
    </w:p>
    <w:p w14:paraId="3AF33BD2" w14:textId="6EA1FF11" w:rsidR="00156661" w:rsidRPr="008F3C81" w:rsidRDefault="00AE29D5" w:rsidP="00B12042">
      <w:pPr>
        <w:pStyle w:val="enumlev2"/>
        <w:jc w:val="both"/>
        <w:rPr>
          <w:rFonts w:eastAsia="SimSun"/>
          <w:lang w:val="es-ES"/>
        </w:rPr>
      </w:pPr>
      <w:r w:rsidRPr="00AE29D5">
        <w:rPr>
          <w:lang w:val="es-ES"/>
        </w:rPr>
        <w:t>–</w:t>
      </w:r>
      <w:r>
        <w:rPr>
          <w:lang w:val="es-ES"/>
        </w:rPr>
        <w:tab/>
      </w:r>
      <w:r w:rsidR="00156661">
        <w:rPr>
          <w:lang w:val="es-ES"/>
        </w:rPr>
        <w:t>una lista de los candidatos de reserva, desglosados por región, que también hayan completado con éxito el proceso de selección y reúnan los criterios para el nombramiento para los puestos vacantes.</w:t>
      </w:r>
    </w:p>
    <w:p w14:paraId="204AB631" w14:textId="77777777" w:rsidR="00156661" w:rsidRPr="008F3C81" w:rsidRDefault="00156661" w:rsidP="00B12042">
      <w:pPr>
        <w:pStyle w:val="enumlev1"/>
        <w:jc w:val="both"/>
        <w:rPr>
          <w:rFonts w:eastAsia="SimSun"/>
          <w:lang w:val="es-ES"/>
        </w:rPr>
      </w:pPr>
      <w:r>
        <w:rPr>
          <w:lang w:val="es-ES"/>
        </w:rPr>
        <w:t>2</w:t>
      </w:r>
      <w:r>
        <w:rPr>
          <w:lang w:val="es-ES"/>
        </w:rPr>
        <w:tab/>
        <w:t>que, sobre la base de las recomendaciones presentadas por el panel de selección sobre los candidatos principales y suplentes que reúnen los criterios para el nombramiento, el Consejo deberá:</w:t>
      </w:r>
    </w:p>
    <w:p w14:paraId="6D3C338A" w14:textId="65D3CEDF" w:rsidR="00156661" w:rsidRPr="00060771" w:rsidRDefault="00AE29D5" w:rsidP="00B12042">
      <w:pPr>
        <w:pStyle w:val="enumlev2"/>
        <w:jc w:val="both"/>
        <w:rPr>
          <w:rFonts w:eastAsia="SimSun"/>
          <w:lang w:val="es-ES"/>
        </w:rPr>
      </w:pPr>
      <w:r w:rsidRPr="00AE29D5">
        <w:rPr>
          <w:lang w:val="es-ES"/>
        </w:rPr>
        <w:t>–</w:t>
      </w:r>
      <w:r>
        <w:rPr>
          <w:lang w:val="es-ES"/>
        </w:rPr>
        <w:tab/>
      </w:r>
      <w:r w:rsidR="00156661">
        <w:rPr>
          <w:lang w:val="es-ES"/>
        </w:rPr>
        <w:t>aprobar a un candidato recomendado de cada una de las regiones que presentaron una o varias candidaturas como miembros del CAIG y que hayan completado satisfactoriamente el proceso de selección;</w:t>
      </w:r>
    </w:p>
    <w:p w14:paraId="399228BF" w14:textId="09B43800" w:rsidR="00156661" w:rsidRPr="00060771" w:rsidRDefault="00AE29D5" w:rsidP="00B12042">
      <w:pPr>
        <w:pStyle w:val="enumlev2"/>
        <w:jc w:val="both"/>
        <w:rPr>
          <w:rFonts w:eastAsia="SimSun"/>
          <w:lang w:val="es-ES"/>
        </w:rPr>
      </w:pPr>
      <w:r w:rsidRPr="00AE29D5">
        <w:rPr>
          <w:lang w:val="es-ES"/>
        </w:rPr>
        <w:t>–</w:t>
      </w:r>
      <w:r>
        <w:rPr>
          <w:lang w:val="es-ES"/>
        </w:rPr>
        <w:tab/>
      </w:r>
      <w:r w:rsidR="00156661">
        <w:rPr>
          <w:lang w:val="es-ES"/>
        </w:rPr>
        <w:t>seleccionar expertos de la lista de candidatos de reserva para cubrir vacantes correspondientes a otras regiones que no hayan presentado candidatos o para las cuales el panel de selección no haya seleccionado a ningún candidato, y aprobar su nombramiento para ocupar vacantes en el CAIG.</w:t>
      </w:r>
    </w:p>
    <w:p w14:paraId="4ADED3A4" w14:textId="77777777" w:rsidR="00156661" w:rsidRPr="00266D59" w:rsidRDefault="00156661" w:rsidP="00156661">
      <w:pPr>
        <w:pStyle w:val="Reasons"/>
        <w:rPr>
          <w:lang w:val="es-ES"/>
        </w:rPr>
      </w:pPr>
    </w:p>
    <w:p w14:paraId="616A0B59" w14:textId="77777777" w:rsidR="00156661" w:rsidRDefault="00156661" w:rsidP="00156661">
      <w:pPr>
        <w:jc w:val="center"/>
      </w:pPr>
      <w:r>
        <w:t>______________</w:t>
      </w:r>
    </w:p>
    <w:sectPr w:rsidR="00156661" w:rsidSect="00C538FC">
      <w:footerReference w:type="default" r:id="rId17"/>
      <w:headerReference w:type="first" r:id="rId18"/>
      <w:footerReference w:type="first" r:id="rId19"/>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405C8" w14:textId="77777777" w:rsidR="00156661" w:rsidRDefault="00156661">
      <w:r>
        <w:separator/>
      </w:r>
    </w:p>
  </w:endnote>
  <w:endnote w:type="continuationSeparator" w:id="0">
    <w:p w14:paraId="65D961BB" w14:textId="77777777" w:rsidR="00156661" w:rsidRDefault="00156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1AD3B787" w14:textId="77777777" w:rsidTr="00E31DCE">
      <w:trPr>
        <w:jc w:val="center"/>
      </w:trPr>
      <w:tc>
        <w:tcPr>
          <w:tcW w:w="1803" w:type="dxa"/>
          <w:vAlign w:val="center"/>
        </w:tcPr>
        <w:p w14:paraId="6280AEE3" w14:textId="05FE4E32" w:rsidR="003273A4" w:rsidRDefault="002946E2" w:rsidP="003273A4">
          <w:pPr>
            <w:pStyle w:val="Header"/>
            <w:jc w:val="left"/>
            <w:rPr>
              <w:noProof/>
            </w:rPr>
          </w:pPr>
          <w:r>
            <w:rPr>
              <w:noProof/>
            </w:rPr>
            <w:t xml:space="preserve">gDoc </w:t>
          </w:r>
          <w:r w:rsidR="00156661">
            <w:rPr>
              <w:noProof/>
            </w:rPr>
            <w:t>2600985</w:t>
          </w:r>
        </w:p>
      </w:tc>
      <w:tc>
        <w:tcPr>
          <w:tcW w:w="8261" w:type="dxa"/>
        </w:tcPr>
        <w:p w14:paraId="7DC21CB1" w14:textId="58F8ACB2"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85E5C">
            <w:rPr>
              <w:bCs/>
            </w:rPr>
            <w:t>6</w:t>
          </w:r>
          <w:r w:rsidRPr="00623AE3">
            <w:rPr>
              <w:bCs/>
            </w:rPr>
            <w:t>/</w:t>
          </w:r>
          <w:r w:rsidR="00156661">
            <w:rPr>
              <w:bCs/>
            </w:rPr>
            <w:t>92</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47346805"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66276325" w14:textId="77777777" w:rsidTr="00E31DCE">
      <w:trPr>
        <w:jc w:val="center"/>
      </w:trPr>
      <w:tc>
        <w:tcPr>
          <w:tcW w:w="1803" w:type="dxa"/>
          <w:vAlign w:val="center"/>
        </w:tcPr>
        <w:p w14:paraId="3F2223E6" w14:textId="77777777" w:rsidR="00F24B71" w:rsidRPr="002946E2" w:rsidRDefault="00F85E5C" w:rsidP="00F24B71">
          <w:pPr>
            <w:pStyle w:val="Header"/>
            <w:jc w:val="left"/>
            <w:rPr>
              <w:noProof/>
            </w:rPr>
          </w:pPr>
          <w:hyperlink r:id="rId1" w:anchor="/es" w:history="1">
            <w:r>
              <w:rPr>
                <w:rStyle w:val="Hyperlink"/>
                <w:noProof/>
              </w:rPr>
              <w:t>council.itu.int/2026</w:t>
            </w:r>
          </w:hyperlink>
          <w:r w:rsidR="002946E2" w:rsidRPr="002946E2">
            <w:rPr>
              <w:noProof/>
            </w:rPr>
            <w:t xml:space="preserve"> </w:t>
          </w:r>
        </w:p>
      </w:tc>
      <w:tc>
        <w:tcPr>
          <w:tcW w:w="8261" w:type="dxa"/>
        </w:tcPr>
        <w:p w14:paraId="1BC81702" w14:textId="1C5B939E"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85E5C">
            <w:rPr>
              <w:bCs/>
            </w:rPr>
            <w:t>6</w:t>
          </w:r>
          <w:r w:rsidRPr="00623AE3">
            <w:rPr>
              <w:bCs/>
            </w:rPr>
            <w:t>/</w:t>
          </w:r>
          <w:r w:rsidR="00156661">
            <w:rPr>
              <w:bCs/>
            </w:rPr>
            <w:t>92</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10135DDB"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3BB43" w14:textId="77777777" w:rsidR="00156661" w:rsidRDefault="00156661">
      <w:r>
        <w:t>____________________</w:t>
      </w:r>
    </w:p>
  </w:footnote>
  <w:footnote w:type="continuationSeparator" w:id="0">
    <w:p w14:paraId="4E92B570" w14:textId="77777777" w:rsidR="00156661" w:rsidRDefault="00156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D517D" w14:textId="77777777" w:rsidR="001559F5" w:rsidRPr="00B1560D" w:rsidRDefault="00B1560D" w:rsidP="00B1560D">
    <w:pPr>
      <w:pStyle w:val="Header"/>
    </w:pPr>
    <w:r>
      <w:rPr>
        <w:noProof/>
      </w:rPr>
      <w:drawing>
        <wp:inline distT="0" distB="0" distL="0" distR="0" wp14:anchorId="51ECF0F0" wp14:editId="7373E94A">
          <wp:extent cx="5760085" cy="840740"/>
          <wp:effectExtent l="0" t="0" r="0" b="0"/>
          <wp:docPr id="3978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B2EF7"/>
    <w:multiLevelType w:val="hybridMultilevel"/>
    <w:tmpl w:val="FF96E4AA"/>
    <w:lvl w:ilvl="0" w:tplc="F56020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8D4FEF"/>
    <w:multiLevelType w:val="hybridMultilevel"/>
    <w:tmpl w:val="9F82C1F6"/>
    <w:lvl w:ilvl="0" w:tplc="F560203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94645031">
    <w:abstractNumId w:val="1"/>
  </w:num>
  <w:num w:numId="2" w16cid:durableId="296956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661"/>
    <w:rsid w:val="000007D1"/>
    <w:rsid w:val="0006007D"/>
    <w:rsid w:val="00093EEB"/>
    <w:rsid w:val="000B0D00"/>
    <w:rsid w:val="000B7C15"/>
    <w:rsid w:val="000D1D0F"/>
    <w:rsid w:val="000E3F07"/>
    <w:rsid w:val="000F5290"/>
    <w:rsid w:val="000F5A95"/>
    <w:rsid w:val="0010165C"/>
    <w:rsid w:val="0010656D"/>
    <w:rsid w:val="00146BFB"/>
    <w:rsid w:val="001559F5"/>
    <w:rsid w:val="00156661"/>
    <w:rsid w:val="00157AC4"/>
    <w:rsid w:val="0016169C"/>
    <w:rsid w:val="001958F5"/>
    <w:rsid w:val="001B6E2B"/>
    <w:rsid w:val="001F14A2"/>
    <w:rsid w:val="00234F93"/>
    <w:rsid w:val="00266D59"/>
    <w:rsid w:val="00277DEA"/>
    <w:rsid w:val="002801AA"/>
    <w:rsid w:val="002946E2"/>
    <w:rsid w:val="002C3F32"/>
    <w:rsid w:val="002C4676"/>
    <w:rsid w:val="002C70B0"/>
    <w:rsid w:val="002F3CC4"/>
    <w:rsid w:val="003032E2"/>
    <w:rsid w:val="0031300A"/>
    <w:rsid w:val="003273A4"/>
    <w:rsid w:val="0034796E"/>
    <w:rsid w:val="004571B0"/>
    <w:rsid w:val="00465C35"/>
    <w:rsid w:val="00473962"/>
    <w:rsid w:val="004B5D49"/>
    <w:rsid w:val="004D3A3C"/>
    <w:rsid w:val="00513630"/>
    <w:rsid w:val="005304E3"/>
    <w:rsid w:val="005565F2"/>
    <w:rsid w:val="00560125"/>
    <w:rsid w:val="00585553"/>
    <w:rsid w:val="005B34D9"/>
    <w:rsid w:val="005D0CCF"/>
    <w:rsid w:val="005F0915"/>
    <w:rsid w:val="005F3BCB"/>
    <w:rsid w:val="005F410F"/>
    <w:rsid w:val="0060149A"/>
    <w:rsid w:val="00601924"/>
    <w:rsid w:val="006447EA"/>
    <w:rsid w:val="0064481D"/>
    <w:rsid w:val="0064731F"/>
    <w:rsid w:val="00664572"/>
    <w:rsid w:val="00666D09"/>
    <w:rsid w:val="00670579"/>
    <w:rsid w:val="006710F6"/>
    <w:rsid w:val="00677A97"/>
    <w:rsid w:val="00685762"/>
    <w:rsid w:val="006C1B56"/>
    <w:rsid w:val="006D4761"/>
    <w:rsid w:val="00726872"/>
    <w:rsid w:val="00760F1C"/>
    <w:rsid w:val="007657F0"/>
    <w:rsid w:val="0077110E"/>
    <w:rsid w:val="0077252D"/>
    <w:rsid w:val="007845FA"/>
    <w:rsid w:val="007955DA"/>
    <w:rsid w:val="007E02B6"/>
    <w:rsid w:val="007E5DD3"/>
    <w:rsid w:val="007F350B"/>
    <w:rsid w:val="00820BE4"/>
    <w:rsid w:val="008451E8"/>
    <w:rsid w:val="0084546D"/>
    <w:rsid w:val="008B6C09"/>
    <w:rsid w:val="008F6ABC"/>
    <w:rsid w:val="00913B9C"/>
    <w:rsid w:val="00927F93"/>
    <w:rsid w:val="00956E77"/>
    <w:rsid w:val="00962CCB"/>
    <w:rsid w:val="009A1242"/>
    <w:rsid w:val="009A338E"/>
    <w:rsid w:val="009A76A8"/>
    <w:rsid w:val="009F4811"/>
    <w:rsid w:val="00A01F4F"/>
    <w:rsid w:val="00A109AF"/>
    <w:rsid w:val="00A25436"/>
    <w:rsid w:val="00A94438"/>
    <w:rsid w:val="00AA390C"/>
    <w:rsid w:val="00AD5A4D"/>
    <w:rsid w:val="00AE29D5"/>
    <w:rsid w:val="00AF0EAC"/>
    <w:rsid w:val="00B0200A"/>
    <w:rsid w:val="00B060DF"/>
    <w:rsid w:val="00B12042"/>
    <w:rsid w:val="00B1560D"/>
    <w:rsid w:val="00B574DB"/>
    <w:rsid w:val="00B826C2"/>
    <w:rsid w:val="00B8298E"/>
    <w:rsid w:val="00BB6FD8"/>
    <w:rsid w:val="00BD0723"/>
    <w:rsid w:val="00BD2518"/>
    <w:rsid w:val="00BF1D1C"/>
    <w:rsid w:val="00C0599D"/>
    <w:rsid w:val="00C20C59"/>
    <w:rsid w:val="00C2727F"/>
    <w:rsid w:val="00C4421B"/>
    <w:rsid w:val="00C538FC"/>
    <w:rsid w:val="00C55B1F"/>
    <w:rsid w:val="00CC1FAF"/>
    <w:rsid w:val="00CF1A67"/>
    <w:rsid w:val="00D05317"/>
    <w:rsid w:val="00D2750E"/>
    <w:rsid w:val="00D375E0"/>
    <w:rsid w:val="00D50A36"/>
    <w:rsid w:val="00D62446"/>
    <w:rsid w:val="00D76756"/>
    <w:rsid w:val="00DA4EA2"/>
    <w:rsid w:val="00DC3D3E"/>
    <w:rsid w:val="00DE2C90"/>
    <w:rsid w:val="00DE3B24"/>
    <w:rsid w:val="00DE7376"/>
    <w:rsid w:val="00E06947"/>
    <w:rsid w:val="00E11319"/>
    <w:rsid w:val="00E21444"/>
    <w:rsid w:val="00E34072"/>
    <w:rsid w:val="00E3592D"/>
    <w:rsid w:val="00E50D76"/>
    <w:rsid w:val="00E8018B"/>
    <w:rsid w:val="00E92DE8"/>
    <w:rsid w:val="00EB1212"/>
    <w:rsid w:val="00ED65AB"/>
    <w:rsid w:val="00F12850"/>
    <w:rsid w:val="00F24B71"/>
    <w:rsid w:val="00F33BF4"/>
    <w:rsid w:val="00F62194"/>
    <w:rsid w:val="00F7105E"/>
    <w:rsid w:val="00F75F57"/>
    <w:rsid w:val="00F82FEE"/>
    <w:rsid w:val="00F85E5C"/>
    <w:rsid w:val="00F92BED"/>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75483B"/>
  <w15:docId w15:val="{3D4B5407-F2BC-465A-BB62-442D9E6B8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0F5A95"/>
    <w:pPr>
      <w:keepNext/>
      <w:keepLines/>
      <w:spacing w:before="360"/>
      <w:ind w:left="567" w:hanging="567"/>
      <w:outlineLvl w:val="0"/>
    </w:pPr>
    <w:rPr>
      <w:b/>
      <w:sz w:val="28"/>
    </w:rPr>
  </w:style>
  <w:style w:type="paragraph" w:styleId="Heading2">
    <w:name w:val="heading 2"/>
    <w:basedOn w:val="Heading1"/>
    <w:next w:val="Normal"/>
    <w:qFormat/>
    <w:rsid w:val="000F5A95"/>
    <w:pPr>
      <w:spacing w:before="200"/>
      <w:outlineLvl w:val="1"/>
    </w:pPr>
    <w:rPr>
      <w:sz w:val="24"/>
    </w:rPr>
  </w:style>
  <w:style w:type="paragraph" w:styleId="Heading3">
    <w:name w:val="heading 3"/>
    <w:basedOn w:val="Heading1"/>
    <w:next w:val="Normal"/>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F5A95"/>
    <w:rPr>
      <w:rFonts w:ascii="Calibri" w:hAnsi="Calibri"/>
      <w:position w:val="6"/>
      <w:sz w:val="16"/>
    </w:rPr>
  </w:style>
  <w:style w:type="paragraph" w:styleId="FootnoteText">
    <w:name w:val="footnote text"/>
    <w:basedOn w:val="Normal"/>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rsid w:val="000F5A95"/>
    <w:pPr>
      <w:keepNext/>
      <w:keepLines/>
      <w:spacing w:before="720"/>
      <w:jc w:val="center"/>
    </w:pPr>
    <w:rPr>
      <w:caps/>
      <w:sz w:val="28"/>
    </w:rPr>
  </w:style>
  <w:style w:type="paragraph" w:customStyle="1" w:styleId="Annextitle">
    <w:name w:val="Annex_title"/>
    <w:basedOn w:val="Normal"/>
    <w:next w:val="Normalaftertitle"/>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qFormat/>
    <w:rsid w:val="000F5A95"/>
    <w:pPr>
      <w:spacing w:before="80"/>
      <w:ind w:left="567" w:hanging="567"/>
    </w:pPr>
  </w:style>
  <w:style w:type="paragraph" w:customStyle="1" w:styleId="enumlev2">
    <w:name w:val="enumlev2"/>
    <w:basedOn w:val="enumlev1"/>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rsid w:val="000F5A95"/>
    <w:pPr>
      <w:spacing w:after="240"/>
      <w:jc w:val="center"/>
    </w:pPr>
  </w:style>
  <w:style w:type="paragraph" w:customStyle="1" w:styleId="Figuretitle">
    <w:name w:val="Figure_title"/>
    <w:basedOn w:val="Tabletitle"/>
    <w:next w:val="Normalaftertitle"/>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0F5A95"/>
    <w:pPr>
      <w:spacing w:before="840"/>
      <w:jc w:val="center"/>
    </w:pPr>
    <w:rPr>
      <w:b/>
      <w:sz w:val="28"/>
    </w:rPr>
  </w:style>
  <w:style w:type="paragraph" w:customStyle="1" w:styleId="Data">
    <w:name w:val="Data"/>
    <w:basedOn w:val="Subject"/>
    <w:next w:val="Subject"/>
    <w:rsid w:val="000F5A95"/>
  </w:style>
  <w:style w:type="character" w:styleId="Hyperlink">
    <w:name w:val="Hyperlink"/>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rsid w:val="000F5A95"/>
    <w:pPr>
      <w:keepNext/>
      <w:keepLines/>
      <w:spacing w:before="48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0F5A95"/>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3-CWGFHR16-C-0016/es" TargetMode="External"/><Relationship Id="rId13" Type="http://schemas.openxmlformats.org/officeDocument/2006/relationships/hyperlink" Target="https://www.itu.int/md/S23-CWGFHR16-C-0016/e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itu.int/md/S23-CL-C-0023/es" TargetMode="External"/><Relationship Id="rId12" Type="http://schemas.openxmlformats.org/officeDocument/2006/relationships/hyperlink" Target="https://www.itu.int/md/S23-CL-C-0023/en"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itu.int/md/S24-CWGFHR17-C-0017/e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md/S23-CL-C-0023/es" TargetMode="External"/><Relationship Id="rId5" Type="http://schemas.openxmlformats.org/officeDocument/2006/relationships/footnotes" Target="footnotes.xml"/><Relationship Id="rId15" Type="http://schemas.openxmlformats.org/officeDocument/2006/relationships/hyperlink" Target="https://www.itu.int/md/S24-CWGFHR17-C-0017/es" TargetMode="External"/><Relationship Id="rId10" Type="http://schemas.openxmlformats.org/officeDocument/2006/relationships/hyperlink" Target="https://www.itu.int/md/S24-CWGFHR17-C-0024/e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itu.int/md/S24-CWGFHR17-C-0017/es" TargetMode="External"/><Relationship Id="rId14" Type="http://schemas.openxmlformats.org/officeDocument/2006/relationships/hyperlink" Target="https://www.itu.int/md/S23-CWGFHR16-C-0016/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eda\AppData\Roaming\Microsoft\Templates\POOL%20S%20-%20ITU\GS\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PS_Council26</Template>
  <TotalTime>7</TotalTime>
  <Pages>4</Pages>
  <Words>1383</Words>
  <Characters>7893</Characters>
  <Application>Microsoft Office Word</Application>
  <DocSecurity>0</DocSecurity>
  <Lines>138</Lines>
  <Paragraphs>50</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Sobre la representación equitativa de las seis regiones en el Comité Asesor Independiente sobre la Gestión (CAIG)</vt:lpstr>
    </vt:vector>
  </TitlesOfParts>
  <Manager>Secretaría General - Pool</Manager>
  <Company>International Telecommunication Union</Company>
  <LinksUpToDate>false</LinksUpToDate>
  <CharactersWithSpaces>9226</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Sobre la representación equitativa de las seis regiones en el Comité Asesor Independiente sobre la Gestión (CAIG)</dc:title>
  <dc:subject>Consejo 2026 de la UIT</dc:subject>
  <dc:creator>Spanish</dc:creator>
  <cp:keywords>C26; C2026; Council 2026; PP26</cp:keywords>
  <dc:description/>
  <cp:lastModifiedBy>GBS</cp:lastModifiedBy>
  <cp:revision>8</cp:revision>
  <cp:lastPrinted>2006-03-24T09:51:00Z</cp:lastPrinted>
  <dcterms:created xsi:type="dcterms:W3CDTF">2026-04-29T18:16:00Z</dcterms:created>
  <dcterms:modified xsi:type="dcterms:W3CDTF">2026-04-30T18:34:00Z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