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0E5D7D" w14:paraId="33984A52" w14:textId="77777777" w:rsidTr="00954C49">
        <w:trPr>
          <w:cantSplit/>
          <w:trHeight w:val="23"/>
        </w:trPr>
        <w:tc>
          <w:tcPr>
            <w:tcW w:w="3969" w:type="dxa"/>
            <w:vMerge w:val="restart"/>
            <w:tcMar>
              <w:left w:w="0" w:type="dxa"/>
            </w:tcMar>
          </w:tcPr>
          <w:p w14:paraId="7B3EDC5A" w14:textId="1F723F99" w:rsidR="00AD3606" w:rsidRPr="000E5D7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0E5D7D">
              <w:rPr>
                <w:b/>
              </w:rPr>
              <w:t xml:space="preserve">Agenda item: </w:t>
            </w:r>
            <w:r w:rsidR="00EA4827" w:rsidRPr="000E5D7D">
              <w:rPr>
                <w:b/>
              </w:rPr>
              <w:t>ADM 2</w:t>
            </w:r>
          </w:p>
        </w:tc>
        <w:tc>
          <w:tcPr>
            <w:tcW w:w="5245" w:type="dxa"/>
          </w:tcPr>
          <w:p w14:paraId="35986CF2" w14:textId="151F5B33" w:rsidR="00AD3606" w:rsidRPr="000E5D7D" w:rsidRDefault="00AD3606" w:rsidP="00954C49">
            <w:pPr>
              <w:tabs>
                <w:tab w:val="left" w:pos="851"/>
              </w:tabs>
              <w:spacing w:before="0" w:line="240" w:lineRule="atLeast"/>
              <w:jc w:val="right"/>
              <w:rPr>
                <w:b/>
              </w:rPr>
            </w:pPr>
            <w:r w:rsidRPr="000E5D7D">
              <w:rPr>
                <w:b/>
              </w:rPr>
              <w:t>Document C2</w:t>
            </w:r>
            <w:r w:rsidR="00DE532B" w:rsidRPr="000E5D7D">
              <w:rPr>
                <w:b/>
              </w:rPr>
              <w:t>6</w:t>
            </w:r>
            <w:r w:rsidRPr="000E5D7D">
              <w:rPr>
                <w:b/>
              </w:rPr>
              <w:t>/</w:t>
            </w:r>
            <w:r w:rsidR="00EA4827" w:rsidRPr="000E5D7D">
              <w:rPr>
                <w:b/>
              </w:rPr>
              <w:t>92</w:t>
            </w:r>
            <w:r w:rsidRPr="000E5D7D">
              <w:rPr>
                <w:b/>
              </w:rPr>
              <w:t>-E</w:t>
            </w:r>
          </w:p>
        </w:tc>
      </w:tr>
      <w:tr w:rsidR="00AD3606" w:rsidRPr="000E5D7D" w14:paraId="3CF03AAD" w14:textId="77777777" w:rsidTr="00954C49">
        <w:trPr>
          <w:cantSplit/>
        </w:trPr>
        <w:tc>
          <w:tcPr>
            <w:tcW w:w="3969" w:type="dxa"/>
            <w:vMerge/>
          </w:tcPr>
          <w:p w14:paraId="7467ED6C" w14:textId="77777777" w:rsidR="00AD3606" w:rsidRPr="000E5D7D" w:rsidRDefault="00AD3606" w:rsidP="00954C49">
            <w:pPr>
              <w:tabs>
                <w:tab w:val="left" w:pos="851"/>
              </w:tabs>
              <w:spacing w:line="240" w:lineRule="atLeast"/>
              <w:rPr>
                <w:b/>
              </w:rPr>
            </w:pPr>
            <w:bookmarkStart w:id="6" w:name="ddate" w:colFirst="1" w:colLast="1"/>
            <w:bookmarkEnd w:id="0"/>
            <w:bookmarkEnd w:id="1"/>
          </w:p>
        </w:tc>
        <w:tc>
          <w:tcPr>
            <w:tcW w:w="5245" w:type="dxa"/>
          </w:tcPr>
          <w:p w14:paraId="520C4CEE" w14:textId="3F9A9312" w:rsidR="00AD3606" w:rsidRPr="000E5D7D" w:rsidRDefault="00EA4827" w:rsidP="00954C49">
            <w:pPr>
              <w:tabs>
                <w:tab w:val="left" w:pos="851"/>
              </w:tabs>
              <w:spacing w:before="0"/>
              <w:jc w:val="right"/>
              <w:rPr>
                <w:b/>
              </w:rPr>
            </w:pPr>
            <w:r w:rsidRPr="000E5D7D">
              <w:rPr>
                <w:b/>
              </w:rPr>
              <w:t>14 April 2026</w:t>
            </w:r>
          </w:p>
        </w:tc>
      </w:tr>
      <w:tr w:rsidR="00AD3606" w:rsidRPr="000E5D7D" w14:paraId="647F4C7A" w14:textId="77777777" w:rsidTr="00954C49">
        <w:trPr>
          <w:cantSplit/>
          <w:trHeight w:val="23"/>
        </w:trPr>
        <w:tc>
          <w:tcPr>
            <w:tcW w:w="3969" w:type="dxa"/>
            <w:vMerge/>
          </w:tcPr>
          <w:p w14:paraId="6707CE1F" w14:textId="77777777" w:rsidR="00AD3606" w:rsidRPr="000E5D7D" w:rsidRDefault="00AD3606" w:rsidP="00954C49">
            <w:pPr>
              <w:tabs>
                <w:tab w:val="left" w:pos="851"/>
              </w:tabs>
              <w:spacing w:line="240" w:lineRule="atLeast"/>
              <w:rPr>
                <w:b/>
              </w:rPr>
            </w:pPr>
            <w:bookmarkStart w:id="7" w:name="dorlang" w:colFirst="1" w:colLast="1"/>
            <w:bookmarkEnd w:id="6"/>
          </w:p>
        </w:tc>
        <w:tc>
          <w:tcPr>
            <w:tcW w:w="5245" w:type="dxa"/>
          </w:tcPr>
          <w:p w14:paraId="317B5BD8" w14:textId="77777777" w:rsidR="00AD3606" w:rsidRPr="000E5D7D" w:rsidRDefault="00AD3606" w:rsidP="00954C49">
            <w:pPr>
              <w:tabs>
                <w:tab w:val="left" w:pos="851"/>
              </w:tabs>
              <w:spacing w:before="0" w:line="240" w:lineRule="atLeast"/>
              <w:jc w:val="right"/>
              <w:rPr>
                <w:b/>
              </w:rPr>
            </w:pPr>
            <w:r w:rsidRPr="000E5D7D">
              <w:rPr>
                <w:b/>
              </w:rPr>
              <w:t>Original: English</w:t>
            </w:r>
          </w:p>
        </w:tc>
      </w:tr>
      <w:tr w:rsidR="00472BAD" w:rsidRPr="000E5D7D" w14:paraId="1A0DF624" w14:textId="77777777" w:rsidTr="00954C49">
        <w:trPr>
          <w:cantSplit/>
          <w:trHeight w:val="23"/>
        </w:trPr>
        <w:tc>
          <w:tcPr>
            <w:tcW w:w="3969" w:type="dxa"/>
          </w:tcPr>
          <w:p w14:paraId="02A5CA74" w14:textId="77777777" w:rsidR="00472BAD" w:rsidRPr="000E5D7D" w:rsidRDefault="00472BAD" w:rsidP="00954C49">
            <w:pPr>
              <w:tabs>
                <w:tab w:val="left" w:pos="851"/>
              </w:tabs>
              <w:spacing w:line="240" w:lineRule="atLeast"/>
              <w:rPr>
                <w:b/>
              </w:rPr>
            </w:pPr>
          </w:p>
        </w:tc>
        <w:tc>
          <w:tcPr>
            <w:tcW w:w="5245" w:type="dxa"/>
          </w:tcPr>
          <w:p w14:paraId="2D54675C" w14:textId="77777777" w:rsidR="00472BAD" w:rsidRPr="000E5D7D" w:rsidRDefault="00472BAD" w:rsidP="00954C49">
            <w:pPr>
              <w:tabs>
                <w:tab w:val="left" w:pos="851"/>
              </w:tabs>
              <w:spacing w:before="0" w:line="240" w:lineRule="atLeast"/>
              <w:jc w:val="right"/>
              <w:rPr>
                <w:b/>
              </w:rPr>
            </w:pPr>
          </w:p>
        </w:tc>
      </w:tr>
      <w:tr w:rsidR="00AD3606" w:rsidRPr="000E5D7D" w14:paraId="6D437DFB" w14:textId="77777777" w:rsidTr="00954C49">
        <w:trPr>
          <w:cantSplit/>
        </w:trPr>
        <w:tc>
          <w:tcPr>
            <w:tcW w:w="9214" w:type="dxa"/>
            <w:gridSpan w:val="2"/>
            <w:tcMar>
              <w:left w:w="0" w:type="dxa"/>
            </w:tcMar>
          </w:tcPr>
          <w:p w14:paraId="24A872A9" w14:textId="55BD5762" w:rsidR="00AD3606" w:rsidRPr="000E5D7D" w:rsidRDefault="000D4098" w:rsidP="00954C49">
            <w:pPr>
              <w:pStyle w:val="Source"/>
              <w:framePr w:hSpace="0" w:wrap="auto" w:vAnchor="margin" w:hAnchor="text" w:yAlign="inline"/>
            </w:pPr>
            <w:bookmarkStart w:id="8" w:name="dsource" w:colFirst="0" w:colLast="0"/>
            <w:bookmarkEnd w:id="7"/>
            <w:r w:rsidRPr="000E5D7D">
              <w:t>Contribution</w:t>
            </w:r>
            <w:r w:rsidRPr="000E5D7D">
              <w:rPr>
                <w:rStyle w:val="FootnoteReference"/>
              </w:rPr>
              <w:footnoteReference w:id="1"/>
            </w:r>
            <w:r w:rsidRPr="000E5D7D">
              <w:t xml:space="preserve"> </w:t>
            </w:r>
            <w:r w:rsidR="003845D3" w:rsidRPr="000E5D7D">
              <w:t xml:space="preserve">by </w:t>
            </w:r>
            <w:r w:rsidR="009253EE" w:rsidRPr="000E5D7D">
              <w:t>Armenia (Republic of)</w:t>
            </w:r>
            <w:r w:rsidR="00B171A1" w:rsidRPr="000E5D7D">
              <w:t xml:space="preserve">, </w:t>
            </w:r>
            <w:r w:rsidR="009253EE" w:rsidRPr="000E5D7D">
              <w:t>Belarus (Republic of)</w:t>
            </w:r>
            <w:r w:rsidR="00B171A1" w:rsidRPr="000E5D7D">
              <w:t xml:space="preserve">, </w:t>
            </w:r>
            <w:r w:rsidR="009253EE" w:rsidRPr="000E5D7D">
              <w:t>Russian Federation</w:t>
            </w:r>
            <w:r w:rsidR="009253EE" w:rsidRPr="000E5D7D">
              <w:t xml:space="preserve">, </w:t>
            </w:r>
            <w:r w:rsidR="009253EE" w:rsidRPr="000E5D7D">
              <w:t>Kazakhstan (Republic of)</w:t>
            </w:r>
            <w:r w:rsidR="00B171A1" w:rsidRPr="000E5D7D">
              <w:t xml:space="preserve">, </w:t>
            </w:r>
            <w:r w:rsidR="009253EE" w:rsidRPr="000E5D7D">
              <w:t>Uzbekistan (Republic of)</w:t>
            </w:r>
            <w:r w:rsidR="009253EE" w:rsidRPr="000E5D7D">
              <w:t xml:space="preserve">, </w:t>
            </w:r>
            <w:r w:rsidR="00B171A1" w:rsidRPr="000E5D7D">
              <w:t xml:space="preserve">Kyrgyz Republic, </w:t>
            </w:r>
            <w:r w:rsidR="009253EE" w:rsidRPr="00370CC5">
              <w:t>and</w:t>
            </w:r>
            <w:r w:rsidR="009253EE" w:rsidRPr="000E5D7D">
              <w:t xml:space="preserve"> </w:t>
            </w:r>
            <w:r w:rsidR="009253EE" w:rsidRPr="000E5D7D">
              <w:t>Tajikistan (Republic of)</w:t>
            </w:r>
          </w:p>
        </w:tc>
      </w:tr>
      <w:tr w:rsidR="00AD3606" w:rsidRPr="000E5D7D" w14:paraId="5DA031E7" w14:textId="77777777" w:rsidTr="00954C49">
        <w:trPr>
          <w:cantSplit/>
        </w:trPr>
        <w:tc>
          <w:tcPr>
            <w:tcW w:w="9214" w:type="dxa"/>
            <w:gridSpan w:val="2"/>
            <w:tcMar>
              <w:left w:w="0" w:type="dxa"/>
            </w:tcMar>
          </w:tcPr>
          <w:p w14:paraId="5144F60D" w14:textId="64AA00EB" w:rsidR="00AD3606" w:rsidRPr="000E5D7D" w:rsidRDefault="00B171A1" w:rsidP="00954C49">
            <w:pPr>
              <w:pStyle w:val="Subtitle"/>
              <w:framePr w:hSpace="0" w:wrap="auto" w:hAnchor="text" w:xAlign="left" w:yAlign="inline"/>
            </w:pPr>
            <w:bookmarkStart w:id="9" w:name="dtitle1" w:colFirst="0" w:colLast="0"/>
            <w:bookmarkEnd w:id="8"/>
            <w:r w:rsidRPr="000E5D7D">
              <w:t>ON THE EQUAL REPRESENTATION OF THE SIX REGIONS IN THE INDEPENDENT MANAGEMENT ADVISORY COMMITTEE (IMAC)</w:t>
            </w:r>
          </w:p>
        </w:tc>
      </w:tr>
      <w:tr w:rsidR="00AD3606" w:rsidRPr="000E5D7D" w14:paraId="0291B0EA" w14:textId="77777777" w:rsidTr="00954C49">
        <w:trPr>
          <w:cantSplit/>
        </w:trPr>
        <w:tc>
          <w:tcPr>
            <w:tcW w:w="9214" w:type="dxa"/>
            <w:gridSpan w:val="2"/>
            <w:tcBorders>
              <w:top w:val="single" w:sz="4" w:space="0" w:color="auto"/>
              <w:bottom w:val="single" w:sz="4" w:space="0" w:color="auto"/>
            </w:tcBorders>
            <w:tcMar>
              <w:left w:w="0" w:type="dxa"/>
            </w:tcMar>
          </w:tcPr>
          <w:p w14:paraId="65A75B4F" w14:textId="77777777" w:rsidR="00AD3606" w:rsidRPr="000E5D7D" w:rsidRDefault="00F16BAB" w:rsidP="00954C49">
            <w:pPr>
              <w:spacing w:before="160"/>
              <w:rPr>
                <w:b/>
                <w:bCs/>
                <w:sz w:val="26"/>
                <w:szCs w:val="26"/>
              </w:rPr>
            </w:pPr>
            <w:r w:rsidRPr="000E5D7D">
              <w:rPr>
                <w:b/>
                <w:bCs/>
                <w:sz w:val="26"/>
                <w:szCs w:val="26"/>
              </w:rPr>
              <w:t>Purpose</w:t>
            </w:r>
          </w:p>
          <w:p w14:paraId="6066D138" w14:textId="45EF7AE3" w:rsidR="00AD3606" w:rsidRPr="000E5D7D" w:rsidRDefault="00B171A1" w:rsidP="00B171A1">
            <w:pPr>
              <w:jc w:val="both"/>
            </w:pPr>
            <w:r w:rsidRPr="000E5D7D">
              <w:t xml:space="preserve">Taking into account the terms of reference of the ITU Council and the CWG-FHR relating to the Independent Management Advisory Committee (IMAC), the CWG-FHR is invited to prepare recommendation to the Council on the equal representation of the six regions in IMAC </w:t>
            </w:r>
            <w:r w:rsidRPr="000E5D7D">
              <w:rPr>
                <w:b/>
                <w:bCs/>
              </w:rPr>
              <w:t>aimed at increasing the transparency of the appointment of the IMAC members and improving the situation with the equal representation of the six regions in the IMAC</w:t>
            </w:r>
            <w:r w:rsidRPr="000E5D7D">
              <w:t>.</w:t>
            </w:r>
          </w:p>
          <w:p w14:paraId="63754448" w14:textId="77777777" w:rsidR="00AD3606" w:rsidRPr="000E5D7D" w:rsidRDefault="00AD3606" w:rsidP="00954C49">
            <w:pPr>
              <w:spacing w:before="160"/>
              <w:rPr>
                <w:b/>
                <w:bCs/>
                <w:sz w:val="26"/>
                <w:szCs w:val="26"/>
              </w:rPr>
            </w:pPr>
            <w:r w:rsidRPr="000E5D7D">
              <w:rPr>
                <w:b/>
                <w:bCs/>
                <w:sz w:val="26"/>
                <w:szCs w:val="26"/>
              </w:rPr>
              <w:t>Action required</w:t>
            </w:r>
            <w:r w:rsidR="00F16BAB" w:rsidRPr="000E5D7D">
              <w:rPr>
                <w:b/>
                <w:bCs/>
                <w:sz w:val="26"/>
                <w:szCs w:val="26"/>
              </w:rPr>
              <w:t xml:space="preserve"> by the Council</w:t>
            </w:r>
          </w:p>
          <w:p w14:paraId="24C9706D" w14:textId="2C4516D3" w:rsidR="00722551" w:rsidRPr="000E5D7D" w:rsidRDefault="00B171A1" w:rsidP="00954C49">
            <w:r w:rsidRPr="000E5D7D">
              <w:t xml:space="preserve">The Council is invited to </w:t>
            </w:r>
            <w:r w:rsidRPr="000E5D7D">
              <w:rPr>
                <w:b/>
                <w:bCs/>
              </w:rPr>
              <w:t>consider</w:t>
            </w:r>
            <w:r w:rsidRPr="000E5D7D">
              <w:t xml:space="preserve"> the document with the purpose of preparing recommendations and further submitting them to the ITU Plenipotentiary Conference 2026.</w:t>
            </w:r>
          </w:p>
          <w:p w14:paraId="08F2A353" w14:textId="7FBA1A54" w:rsidR="00C0458D" w:rsidRPr="000E5D7D" w:rsidRDefault="00B171A1" w:rsidP="00954C49">
            <w:r w:rsidRPr="000E5D7D">
              <w:t>___</w:t>
            </w:r>
            <w:r w:rsidR="00C0458D" w:rsidRPr="000E5D7D">
              <w:t>_________</w:t>
            </w:r>
          </w:p>
          <w:p w14:paraId="03220D04" w14:textId="77777777" w:rsidR="00AD3606" w:rsidRPr="000E5D7D" w:rsidRDefault="00AD3606" w:rsidP="00B171A1">
            <w:pPr>
              <w:spacing w:before="160"/>
              <w:rPr>
                <w:b/>
                <w:bCs/>
                <w:sz w:val="26"/>
                <w:szCs w:val="26"/>
              </w:rPr>
            </w:pPr>
            <w:r w:rsidRPr="000E5D7D">
              <w:rPr>
                <w:b/>
                <w:bCs/>
                <w:sz w:val="26"/>
                <w:szCs w:val="26"/>
              </w:rPr>
              <w:t>References</w:t>
            </w:r>
          </w:p>
          <w:p w14:paraId="73AB02A7" w14:textId="69C3736D" w:rsidR="00B171A1" w:rsidRPr="000E5D7D" w:rsidRDefault="00B171A1" w:rsidP="000E5D7D">
            <w:pPr>
              <w:spacing w:after="160"/>
              <w:jc w:val="both"/>
              <w:rPr>
                <w:sz w:val="22"/>
                <w:szCs w:val="22"/>
              </w:rPr>
            </w:pPr>
            <w:hyperlink r:id="rId8" w:history="1">
              <w:r w:rsidRPr="000E5D7D">
                <w:rPr>
                  <w:rStyle w:val="Hyperlink"/>
                  <w:i/>
                  <w:sz w:val="22"/>
                  <w:szCs w:val="22"/>
                </w:rPr>
                <w:t>Resolution 162</w:t>
              </w:r>
            </w:hyperlink>
            <w:r w:rsidRPr="000E5D7D">
              <w:rPr>
                <w:i/>
                <w:sz w:val="22"/>
                <w:szCs w:val="22"/>
              </w:rPr>
              <w:t xml:space="preserve"> (Rev. Bucharest, 2022) of Plenipotentiary conference; Note by the Secretary-General “Appointment of members of the Independent Management Advisory Committee(IMAC)” (</w:t>
            </w:r>
            <w:hyperlink r:id="rId9" w:history="1">
              <w:r w:rsidRPr="000E5D7D">
                <w:rPr>
                  <w:rStyle w:val="Hyperlink"/>
                  <w:i/>
                  <w:sz w:val="22"/>
                  <w:szCs w:val="22"/>
                </w:rPr>
                <w:t>C23/23</w:t>
              </w:r>
            </w:hyperlink>
            <w:r w:rsidRPr="000E5D7D">
              <w:rPr>
                <w:i/>
                <w:sz w:val="22"/>
                <w:szCs w:val="22"/>
              </w:rPr>
              <w:t>); Contribution by the People's Republic of China, the Republic of Armenia, the Republic of Belarus, the Republic of Kazakhstan, and the Russian Federation (</w:t>
            </w:r>
            <w:hyperlink r:id="rId10" w:history="1">
              <w:r w:rsidRPr="000E5D7D">
                <w:rPr>
                  <w:rStyle w:val="Hyperlink"/>
                  <w:i/>
                  <w:sz w:val="22"/>
                  <w:szCs w:val="22"/>
                </w:rPr>
                <w:t>CWG-FHR-16/16</w:t>
              </w:r>
            </w:hyperlink>
            <w:r w:rsidRPr="000E5D7D">
              <w:rPr>
                <w:i/>
                <w:sz w:val="22"/>
                <w:szCs w:val="22"/>
              </w:rPr>
              <w:t>), Contribution by the Republic of Armenia, the Republic of Belarus, the Kyrgyz Republic, the Russian Federation, the Republic of Tajikistan, and the Republic of Uzbekistan (</w:t>
            </w:r>
            <w:hyperlink r:id="rId11" w:history="1">
              <w:r w:rsidRPr="000E5D7D">
                <w:rPr>
                  <w:rStyle w:val="Hyperlink"/>
                  <w:i/>
                  <w:sz w:val="22"/>
                  <w:szCs w:val="22"/>
                </w:rPr>
                <w:t>CWG-FHR-17/17_Rev1</w:t>
              </w:r>
            </w:hyperlink>
            <w:r w:rsidRPr="000E5D7D">
              <w:rPr>
                <w:i/>
                <w:sz w:val="22"/>
                <w:szCs w:val="22"/>
              </w:rPr>
              <w:t xml:space="preserve">), 10b of the </w:t>
            </w:r>
            <w:r w:rsidR="000E5D7D" w:rsidRPr="000E5D7D">
              <w:rPr>
                <w:i/>
                <w:sz w:val="22"/>
                <w:szCs w:val="22"/>
              </w:rPr>
              <w:t xml:space="preserve">summary report of the seventeenth meeting of </w:t>
            </w:r>
            <w:r w:rsidRPr="000E5D7D">
              <w:rPr>
                <w:i/>
                <w:sz w:val="22"/>
                <w:szCs w:val="22"/>
              </w:rPr>
              <w:t>CWG-FHR (</w:t>
            </w:r>
            <w:hyperlink r:id="rId12" w:history="1">
              <w:r w:rsidRPr="000E5D7D">
                <w:rPr>
                  <w:rStyle w:val="Hyperlink"/>
                  <w:i/>
                  <w:sz w:val="22"/>
                  <w:szCs w:val="22"/>
                </w:rPr>
                <w:t>CWG-FHR-17/24</w:t>
              </w:r>
            </w:hyperlink>
            <w:r w:rsidRPr="000E5D7D">
              <w:rPr>
                <w:i/>
                <w:sz w:val="22"/>
                <w:szCs w:val="22"/>
              </w:rPr>
              <w:t>).</w:t>
            </w:r>
          </w:p>
        </w:tc>
      </w:tr>
    </w:tbl>
    <w:p w14:paraId="2A3CB862" w14:textId="77777777" w:rsidR="00E227F3" w:rsidRPr="000E5D7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767A43FE" w14:textId="77777777" w:rsidR="0090147A" w:rsidRPr="000E5D7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0E5D7D">
        <w:br w:type="page"/>
      </w:r>
    </w:p>
    <w:bookmarkEnd w:id="5"/>
    <w:bookmarkEnd w:id="10"/>
    <w:p w14:paraId="40FC9A9C" w14:textId="77777777" w:rsidR="000D4098" w:rsidRPr="000E5D7D" w:rsidRDefault="000D4098" w:rsidP="000E5D7D">
      <w:pPr>
        <w:tabs>
          <w:tab w:val="clear" w:pos="567"/>
          <w:tab w:val="clear" w:pos="1134"/>
          <w:tab w:val="clear" w:pos="1701"/>
          <w:tab w:val="clear" w:pos="2268"/>
          <w:tab w:val="clear" w:pos="2835"/>
        </w:tabs>
        <w:overflowPunct/>
        <w:autoSpaceDE/>
        <w:autoSpaceDN/>
        <w:adjustRightInd/>
        <w:spacing w:after="120"/>
        <w:textAlignment w:val="auto"/>
        <w:rPr>
          <w:rFonts w:eastAsia="SimSun"/>
          <w:b/>
          <w:sz w:val="26"/>
          <w:szCs w:val="26"/>
        </w:rPr>
      </w:pPr>
      <w:r w:rsidRPr="000E5D7D">
        <w:rPr>
          <w:rFonts w:eastAsia="SimSun"/>
          <w:b/>
          <w:sz w:val="26"/>
          <w:szCs w:val="26"/>
        </w:rPr>
        <w:lastRenderedPageBreak/>
        <w:t>I</w:t>
      </w:r>
      <w:r w:rsidRPr="000E5D7D">
        <w:rPr>
          <w:rFonts w:eastAsia="SimSun"/>
          <w:b/>
          <w:sz w:val="26"/>
          <w:szCs w:val="26"/>
        </w:rPr>
        <w:tab/>
        <w:t>Introduction</w:t>
      </w:r>
    </w:p>
    <w:p w14:paraId="35C41CC7" w14:textId="77777777" w:rsidR="000D4098" w:rsidRPr="000E5D7D" w:rsidRDefault="000D4098" w:rsidP="000E5D7D">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rPr>
      </w:pPr>
      <w:r w:rsidRPr="000E5D7D">
        <w:rPr>
          <w:rFonts w:eastAsia="SimSun"/>
        </w:rPr>
        <w:t>The Plenipotentiary Conference (PP) of the International Telecommunication Union (ITU), in its Resolution 162 “Independent Management Advisory Committee” (Rev. Bucharest, 2022), reaffirmed its commitment to efficient, accountable and transparent management of the Union and decided to establish an Independent management advisory committee management (IMAC) on an ongoing basis according to the terms of reference contained in the annex to the Resolution, and review and amend, if necessary, its terms of reference.</w:t>
      </w:r>
    </w:p>
    <w:p w14:paraId="3F90CA6C" w14:textId="77777777" w:rsidR="000D4098" w:rsidRPr="000E5D7D" w:rsidRDefault="000D4098" w:rsidP="000E5D7D">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rPr>
      </w:pPr>
      <w:r w:rsidRPr="000E5D7D">
        <w:rPr>
          <w:rFonts w:eastAsia="SimSun"/>
        </w:rPr>
        <w:t xml:space="preserve">The same Resolution instructed the ITU Council to appoint the six independent experts as members of IMAC according to its terms of reference, </w:t>
      </w:r>
      <w:proofErr w:type="gramStart"/>
      <w:r w:rsidRPr="000E5D7D">
        <w:rPr>
          <w:rFonts w:eastAsia="SimSun"/>
        </w:rPr>
        <w:t>taking into account</w:t>
      </w:r>
      <w:proofErr w:type="gramEnd"/>
      <w:r w:rsidRPr="000E5D7D">
        <w:rPr>
          <w:rFonts w:eastAsia="SimSun"/>
        </w:rPr>
        <w:t xml:space="preserve"> equitable representation of the six regions.</w:t>
      </w:r>
    </w:p>
    <w:p w14:paraId="30B259B1" w14:textId="77777777" w:rsidR="000D4098" w:rsidRPr="000E5D7D" w:rsidRDefault="000D4098" w:rsidP="000E5D7D">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rPr>
      </w:pPr>
      <w:r w:rsidRPr="000E5D7D">
        <w:rPr>
          <w:rFonts w:eastAsia="SimSun"/>
        </w:rPr>
        <w:t>According to IMAC's terms of reference, to the greatest extent possible, no more than one member of IMAC shall be from the same geographical region.</w:t>
      </w:r>
    </w:p>
    <w:p w14:paraId="4527A794" w14:textId="77777777" w:rsidR="000D4098" w:rsidRPr="000E5D7D" w:rsidRDefault="000D4098" w:rsidP="000E5D7D">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rPr>
      </w:pPr>
      <w:r w:rsidRPr="000E5D7D">
        <w:rPr>
          <w:rFonts w:eastAsia="SimSun"/>
        </w:rPr>
        <w:t>The selection process for IMAC members is set out in Appendix B to the IMAC Terms of Reference (</w:t>
      </w:r>
      <w:proofErr w:type="spellStart"/>
      <w:r w:rsidRPr="000E5D7D">
        <w:rPr>
          <w:rFonts w:eastAsia="SimSun"/>
        </w:rPr>
        <w:t>ToR</w:t>
      </w:r>
      <w:proofErr w:type="spellEnd"/>
      <w:r w:rsidRPr="000E5D7D">
        <w:rPr>
          <w:rFonts w:eastAsia="SimSun"/>
        </w:rPr>
        <w:t xml:space="preserve">) contained in PP Resolution 162 (Rev. Bucharest, 2022). The process shall involve a selection panel comprising representatives of the Council </w:t>
      </w:r>
      <w:proofErr w:type="gramStart"/>
      <w:r w:rsidRPr="000E5D7D">
        <w:rPr>
          <w:rFonts w:eastAsia="SimSun"/>
        </w:rPr>
        <w:t>on the basis of</w:t>
      </w:r>
      <w:proofErr w:type="gramEnd"/>
      <w:r w:rsidRPr="000E5D7D">
        <w:rPr>
          <w:rFonts w:eastAsia="SimSun"/>
        </w:rPr>
        <w:t xml:space="preserve"> equitable geographical distribution. The selection panel, that shall be formed comprising six ITU Council members representing the Americas, Europe, the Commonwealth of Independent States, Africa, Asia and Australasia and the Arab States, relays its recommendations to the Council. Members of IMAC shall be appointed by the Council.</w:t>
      </w:r>
    </w:p>
    <w:p w14:paraId="1D54AF29" w14:textId="77777777" w:rsidR="000D4098" w:rsidRPr="000E5D7D" w:rsidRDefault="000D4098" w:rsidP="000E5D7D">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rPr>
      </w:pPr>
      <w:r w:rsidRPr="000E5D7D">
        <w:rPr>
          <w:rFonts w:eastAsia="SimSun"/>
        </w:rPr>
        <w:t>PP Resolution 162 (Rev. Bucharest, 2022) also instructs the ITU Council to consider IMAC's annual reports and its recommendations and take appropriate action, and to review the status of implementation of the IMAC recommendations.</w:t>
      </w:r>
    </w:p>
    <w:p w14:paraId="54D07BEE" w14:textId="14EC7880" w:rsidR="000D4098" w:rsidRPr="000E5D7D" w:rsidRDefault="000D4098" w:rsidP="000E5D7D">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rPr>
      </w:pPr>
      <w:r w:rsidRPr="000E5D7D">
        <w:rPr>
          <w:rFonts w:eastAsia="SimSun"/>
        </w:rPr>
        <w:t xml:space="preserve">The </w:t>
      </w:r>
      <w:proofErr w:type="spellStart"/>
      <w:r w:rsidRPr="000E5D7D">
        <w:rPr>
          <w:rFonts w:eastAsia="SimSun"/>
        </w:rPr>
        <w:t>ToR</w:t>
      </w:r>
      <w:proofErr w:type="spellEnd"/>
      <w:r w:rsidRPr="000E5D7D">
        <w:rPr>
          <w:rFonts w:eastAsia="SimSun"/>
        </w:rPr>
        <w:t xml:space="preserve"> of the Council Working Group on </w:t>
      </w:r>
      <w:r w:rsidR="000E5D7D" w:rsidRPr="000E5D7D">
        <w:rPr>
          <w:rFonts w:eastAsia="SimSun"/>
        </w:rPr>
        <w:t xml:space="preserve">financial </w:t>
      </w:r>
      <w:r w:rsidRPr="000E5D7D">
        <w:rPr>
          <w:rFonts w:eastAsia="SimSun"/>
        </w:rPr>
        <w:t xml:space="preserve">and </w:t>
      </w:r>
      <w:r w:rsidR="000E5D7D" w:rsidRPr="000E5D7D">
        <w:rPr>
          <w:rFonts w:eastAsia="SimSun"/>
        </w:rPr>
        <w:t xml:space="preserve">human resources </w:t>
      </w:r>
      <w:r w:rsidRPr="000E5D7D">
        <w:rPr>
          <w:rFonts w:eastAsia="SimSun"/>
        </w:rPr>
        <w:t>(CWG-FHR), as defined by Council Decision 563 (Amended 2023), include the consideration and development of the proposals for consideration by Council in order to ensure that, among other things, relevant recommendations of the IMAC affecting financial and human resources management of the Union are taken into account.</w:t>
      </w:r>
    </w:p>
    <w:p w14:paraId="5D2F309A" w14:textId="77777777" w:rsidR="000D4098" w:rsidRPr="000E5D7D" w:rsidRDefault="000D4098" w:rsidP="000306F5">
      <w:pPr>
        <w:tabs>
          <w:tab w:val="clear" w:pos="567"/>
          <w:tab w:val="clear" w:pos="1134"/>
          <w:tab w:val="clear" w:pos="1701"/>
          <w:tab w:val="clear" w:pos="2268"/>
          <w:tab w:val="clear" w:pos="2835"/>
        </w:tabs>
        <w:overflowPunct/>
        <w:autoSpaceDE/>
        <w:autoSpaceDN/>
        <w:adjustRightInd/>
        <w:spacing w:before="240" w:after="120"/>
        <w:textAlignment w:val="auto"/>
        <w:rPr>
          <w:rFonts w:eastAsia="SimSun"/>
          <w:b/>
          <w:sz w:val="26"/>
          <w:szCs w:val="26"/>
        </w:rPr>
      </w:pPr>
      <w:r w:rsidRPr="000E5D7D">
        <w:rPr>
          <w:rFonts w:eastAsia="SimSun"/>
          <w:b/>
          <w:sz w:val="26"/>
          <w:szCs w:val="26"/>
        </w:rPr>
        <w:t>II</w:t>
      </w:r>
      <w:r w:rsidRPr="000E5D7D">
        <w:rPr>
          <w:rFonts w:eastAsia="SimSun"/>
          <w:b/>
          <w:sz w:val="26"/>
          <w:szCs w:val="26"/>
        </w:rPr>
        <w:tab/>
        <w:t>Rationale for the proposal</w:t>
      </w:r>
    </w:p>
    <w:p w14:paraId="7668674C" w14:textId="77777777" w:rsidR="000D4098" w:rsidRPr="000E5D7D" w:rsidRDefault="000D4098" w:rsidP="000E5D7D">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rPr>
      </w:pPr>
      <w:r w:rsidRPr="000E5D7D">
        <w:rPr>
          <w:rFonts w:eastAsia="SimSun"/>
        </w:rPr>
        <w:t>The 2023 Council Session considered the Secretary-General's report on the Appointment of Members of the Independent Management Advisory Committee (IMAC) (</w:t>
      </w:r>
      <w:hyperlink r:id="rId13" w:history="1">
        <w:r w:rsidRPr="000E5D7D">
          <w:rPr>
            <w:rFonts w:eastAsia="SimSun"/>
            <w:color w:val="0563C1"/>
            <w:u w:val="single"/>
          </w:rPr>
          <w:t>C23/23</w:t>
        </w:r>
      </w:hyperlink>
      <w:r w:rsidRPr="000E5D7D">
        <w:rPr>
          <w:rFonts w:eastAsia="SimSun"/>
        </w:rPr>
        <w:t>). The document provides an overview of the selection process conducted to identify candidates for members of IMAC and the recommendation of the Selection Panel for the appointment of candidates.</w:t>
      </w:r>
    </w:p>
    <w:p w14:paraId="1E4FC945" w14:textId="77777777" w:rsidR="000D4098" w:rsidRPr="000E5D7D" w:rsidRDefault="000D4098" w:rsidP="000E5D7D">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rPr>
      </w:pPr>
      <w:r w:rsidRPr="000E5D7D">
        <w:rPr>
          <w:rFonts w:eastAsia="SimSun"/>
        </w:rPr>
        <w:t>The document notes that a total of 46 applications were received, providing 45 eligible candidates, including the three current members of IMAC who were eligible for reappointment.</w:t>
      </w:r>
    </w:p>
    <w:p w14:paraId="75E91CE0" w14:textId="77777777" w:rsidR="000D4098" w:rsidRPr="000E5D7D" w:rsidRDefault="000D4098" w:rsidP="000E5D7D">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rPr>
      </w:pPr>
      <w:r w:rsidRPr="000E5D7D">
        <w:rPr>
          <w:rFonts w:asciiTheme="minorHAnsi" w:eastAsiaTheme="minorEastAsia" w:hAnsiTheme="minorHAnsi" w:cstheme="minorHAnsi"/>
          <w:color w:val="000000"/>
          <w:kern w:val="2"/>
          <w:szCs w:val="24"/>
          <w:lang w:eastAsia="zh-CN"/>
          <w14:ligatures w14:val="standardContextual"/>
        </w:rPr>
        <w:t xml:space="preserve">Based on its assessment of each candidate’s application and interviews, the selection panel identified the six candidates that it considered best met the requirements of the IMAC </w:t>
      </w:r>
      <w:proofErr w:type="spellStart"/>
      <w:r w:rsidRPr="000E5D7D">
        <w:rPr>
          <w:rFonts w:asciiTheme="minorHAnsi" w:eastAsiaTheme="minorEastAsia" w:hAnsiTheme="minorHAnsi" w:cstheme="minorHAnsi"/>
          <w:color w:val="000000"/>
          <w:kern w:val="2"/>
          <w:szCs w:val="24"/>
          <w:lang w:eastAsia="zh-CN"/>
          <w14:ligatures w14:val="standardContextual"/>
        </w:rPr>
        <w:t>ToR</w:t>
      </w:r>
      <w:proofErr w:type="spellEnd"/>
      <w:r w:rsidRPr="000E5D7D">
        <w:rPr>
          <w:rFonts w:eastAsia="SimSun"/>
        </w:rPr>
        <w:t>.</w:t>
      </w:r>
    </w:p>
    <w:p w14:paraId="0B05C227" w14:textId="77777777" w:rsidR="000D4098" w:rsidRPr="000E5D7D" w:rsidRDefault="000D4098" w:rsidP="000E5D7D">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rPr>
      </w:pPr>
      <w:r w:rsidRPr="000E5D7D">
        <w:rPr>
          <w:rFonts w:eastAsia="SimSun"/>
        </w:rPr>
        <w:t>One candidate was submitted by the CIS region – a current member of IMAC; his candidacy was not included in the list of the six candidates recommended to the Council for membership in IMAC. Thus, the seat in IMAC supposed to be given to a CIS representative turned out to be vacant. As part of an internal selection process, it was given to the Europe region.</w:t>
      </w:r>
    </w:p>
    <w:p w14:paraId="76F6008C" w14:textId="77777777" w:rsidR="000D4098" w:rsidRPr="000E5D7D" w:rsidRDefault="000D4098" w:rsidP="000E5D7D">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rPr>
      </w:pPr>
      <w:r w:rsidRPr="000E5D7D">
        <w:rPr>
          <w:rFonts w:eastAsia="SimSun"/>
        </w:rPr>
        <w:lastRenderedPageBreak/>
        <w:t>Thus, according to the list of candidates submitted by the selection panel, it failed to comply with the provisions of the PP Resolution 162 (Rev. Bucharest, 2022) on the need to ensure equal representation of the six regions and that, to the greatest extent possible, no more than one member of IMAC shall be from the same geographical region.</w:t>
      </w:r>
    </w:p>
    <w:p w14:paraId="567FE568" w14:textId="3AEB0371" w:rsidR="000D4098" w:rsidRPr="000E5D7D" w:rsidRDefault="000D4098" w:rsidP="000E5D7D">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rPr>
      </w:pPr>
      <w:r w:rsidRPr="000E5D7D">
        <w:rPr>
          <w:rFonts w:eastAsia="SimSun"/>
        </w:rPr>
        <w:t>The 16</w:t>
      </w:r>
      <w:r w:rsidRPr="000E5D7D">
        <w:rPr>
          <w:rFonts w:eastAsia="SimSun"/>
          <w:vertAlign w:val="superscript"/>
        </w:rPr>
        <w:t>th</w:t>
      </w:r>
      <w:r w:rsidRPr="000E5D7D">
        <w:rPr>
          <w:rFonts w:eastAsia="SimSun"/>
        </w:rPr>
        <w:t xml:space="preserve"> meeting of the CWG-FHR considered thematic contribution by People's Republic of China, Republic of Armenia and the Russian Federation (</w:t>
      </w:r>
      <w:hyperlink r:id="rId14" w:history="1">
        <w:r w:rsidRPr="000E5D7D">
          <w:rPr>
            <w:rStyle w:val="Hyperlink"/>
            <w:rFonts w:eastAsia="SimSun"/>
          </w:rPr>
          <w:t>CWG-FHR-16/16</w:t>
        </w:r>
      </w:hyperlink>
      <w:r w:rsidRPr="000E5D7D">
        <w:rPr>
          <w:rFonts w:eastAsia="SimSun"/>
        </w:rPr>
        <w:t xml:space="preserve">), and the need to </w:t>
      </w:r>
      <w:r w:rsidR="000E5D7D" w:rsidRPr="000E5D7D">
        <w:rPr>
          <w:rFonts w:eastAsia="SimSun"/>
        </w:rPr>
        <w:t>fulfil</w:t>
      </w:r>
      <w:r w:rsidRPr="000E5D7D">
        <w:rPr>
          <w:rFonts w:eastAsia="SimSun"/>
        </w:rPr>
        <w:t xml:space="preserve"> the provisions of the Resolution 162 was echoed by some ITU Member-States. This multi-country contribution was supported in general by CWG-FHR members and after discussion CWG-FHR recommended that work could be done to improve the reporting mechanism that the IMAC selection panel utilizes to communicate its methodology behind selections to the Council.</w:t>
      </w:r>
    </w:p>
    <w:p w14:paraId="0390AC03" w14:textId="77777777" w:rsidR="000D4098" w:rsidRPr="000E5D7D" w:rsidRDefault="000D4098" w:rsidP="000E5D7D">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rPr>
      </w:pPr>
      <w:r w:rsidRPr="000E5D7D">
        <w:rPr>
          <w:rFonts w:eastAsia="SimSun"/>
        </w:rPr>
        <w:t>Republic of Armenia, Republic of Belarus, Kyrgyz Republic, Russian Federation, Republic of Tajikistan, and Republic of Uzbekistan submitted a multi-country contribution to the next CWG-FHR meeting (</w:t>
      </w:r>
      <w:hyperlink r:id="rId15" w:history="1">
        <w:r w:rsidRPr="000E5D7D">
          <w:rPr>
            <w:rStyle w:val="Hyperlink"/>
            <w:rFonts w:eastAsia="SimSun"/>
          </w:rPr>
          <w:t>CWG-FHR-17/17</w:t>
        </w:r>
      </w:hyperlink>
      <w:r w:rsidRPr="000E5D7D">
        <w:rPr>
          <w:rFonts w:eastAsia="SimSun"/>
        </w:rPr>
        <w:t xml:space="preserve">) with a specific proposals on the equal representation of the regions in IMAC aimed at increasing the transparency of the appointment of the IMAC members and improving the situation with the equal representation of regions in the IMAC. </w:t>
      </w:r>
    </w:p>
    <w:p w14:paraId="6023B1C6" w14:textId="64EFDD31" w:rsidR="000D4098" w:rsidRPr="000E5D7D" w:rsidRDefault="000D4098" w:rsidP="000E5D7D">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rPr>
      </w:pPr>
      <w:r w:rsidRPr="000E5D7D">
        <w:rPr>
          <w:rFonts w:eastAsia="SimSun"/>
        </w:rPr>
        <w:t xml:space="preserve">During the discussions, was that there is path forward from this contribution where the consensus can be reached, an alternative being to work on the </w:t>
      </w:r>
      <w:proofErr w:type="spellStart"/>
      <w:r w:rsidRPr="000E5D7D">
        <w:rPr>
          <w:rFonts w:eastAsia="SimSun"/>
        </w:rPr>
        <w:t>ToR</w:t>
      </w:r>
      <w:proofErr w:type="spellEnd"/>
      <w:r w:rsidRPr="000E5D7D">
        <w:rPr>
          <w:rFonts w:eastAsia="SimSun"/>
        </w:rPr>
        <w:t xml:space="preserve"> for IMAC and Resolution 162 (Rev. Bucharest, 2022) to be discussed at the next Plenipotentiary conference 2026.</w:t>
      </w:r>
    </w:p>
    <w:p w14:paraId="5467EC18" w14:textId="77777777" w:rsidR="000D4098" w:rsidRPr="000E5D7D" w:rsidRDefault="000D4098" w:rsidP="000306F5">
      <w:pPr>
        <w:tabs>
          <w:tab w:val="clear" w:pos="567"/>
          <w:tab w:val="clear" w:pos="1134"/>
          <w:tab w:val="clear" w:pos="1701"/>
          <w:tab w:val="clear" w:pos="2268"/>
          <w:tab w:val="clear" w:pos="2835"/>
        </w:tabs>
        <w:overflowPunct/>
        <w:autoSpaceDE/>
        <w:autoSpaceDN/>
        <w:adjustRightInd/>
        <w:spacing w:before="240" w:after="120"/>
        <w:textAlignment w:val="auto"/>
        <w:rPr>
          <w:rFonts w:eastAsia="SimSun"/>
          <w:b/>
          <w:sz w:val="26"/>
          <w:szCs w:val="26"/>
        </w:rPr>
      </w:pPr>
      <w:r w:rsidRPr="000E5D7D">
        <w:rPr>
          <w:rFonts w:eastAsia="SimSun"/>
          <w:b/>
          <w:sz w:val="26"/>
          <w:szCs w:val="26"/>
        </w:rPr>
        <w:t>III</w:t>
      </w:r>
      <w:r w:rsidRPr="000E5D7D">
        <w:rPr>
          <w:rFonts w:eastAsia="SimSun"/>
          <w:b/>
          <w:sz w:val="26"/>
          <w:szCs w:val="26"/>
        </w:rPr>
        <w:tab/>
        <w:t>Proposal</w:t>
      </w:r>
    </w:p>
    <w:p w14:paraId="31D93587" w14:textId="77777777" w:rsidR="000D4098" w:rsidRPr="000E5D7D" w:rsidRDefault="000D4098" w:rsidP="000E5D7D">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rPr>
      </w:pPr>
      <w:r w:rsidRPr="000E5D7D">
        <w:rPr>
          <w:rFonts w:eastAsia="SimSun"/>
        </w:rPr>
        <w:t>The CWG-FHR is invited to consider following proposals on the equal representation of the six regions in the Independent Management Advisory Committee for further consideration by the Council.</w:t>
      </w:r>
    </w:p>
    <w:p w14:paraId="74E74997" w14:textId="77777777" w:rsidR="000D4098" w:rsidRPr="000E5D7D" w:rsidRDefault="000D4098" w:rsidP="000E5D7D">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rPr>
      </w:pPr>
      <w:r w:rsidRPr="000E5D7D">
        <w:rPr>
          <w:rFonts w:eastAsia="SimSun"/>
        </w:rPr>
        <w:t>Bearing in mind the need to ensure equal representation of the six regions in IMAC, and that, to the greatest extent possible, no more than one member of IMAC shall be from the same geographical region, will be recommended:</w:t>
      </w:r>
    </w:p>
    <w:p w14:paraId="67FF25FB" w14:textId="77777777" w:rsidR="000D4098" w:rsidRPr="000E5D7D" w:rsidRDefault="000D4098" w:rsidP="000E5D7D">
      <w:pPr>
        <w:tabs>
          <w:tab w:val="clear" w:pos="567"/>
          <w:tab w:val="clear" w:pos="1134"/>
          <w:tab w:val="clear" w:pos="1701"/>
          <w:tab w:val="clear" w:pos="2268"/>
          <w:tab w:val="clear" w:pos="2835"/>
        </w:tabs>
        <w:overflowPunct/>
        <w:autoSpaceDE/>
        <w:autoSpaceDN/>
        <w:adjustRightInd/>
        <w:spacing w:before="0" w:after="60"/>
        <w:jc w:val="both"/>
        <w:textAlignment w:val="auto"/>
        <w:rPr>
          <w:rFonts w:eastAsia="SimSun"/>
        </w:rPr>
      </w:pPr>
      <w:r w:rsidRPr="000E5D7D">
        <w:rPr>
          <w:rFonts w:eastAsia="SimSun"/>
        </w:rPr>
        <w:t>1</w:t>
      </w:r>
      <w:r w:rsidRPr="000E5D7D">
        <w:rPr>
          <w:rFonts w:eastAsia="SimSun"/>
        </w:rPr>
        <w:tab/>
        <w:t>the selection panel when preparing recommendations to the Council for the initial appointment of IMAC members to indicate in the recommendations:</w:t>
      </w:r>
    </w:p>
    <w:p w14:paraId="4260FF67" w14:textId="77777777" w:rsidR="000D4098" w:rsidRPr="000E5D7D" w:rsidRDefault="000D4098" w:rsidP="000E5D7D">
      <w:pPr>
        <w:pStyle w:val="enumlev1"/>
        <w:tabs>
          <w:tab w:val="clear" w:pos="567"/>
        </w:tabs>
        <w:spacing w:before="60"/>
        <w:ind w:left="284" w:hanging="284"/>
        <w:rPr>
          <w:rFonts w:eastAsia="SimSun"/>
        </w:rPr>
      </w:pPr>
      <w:r w:rsidRPr="000E5D7D">
        <w:rPr>
          <w:rFonts w:eastAsia="SimSun"/>
        </w:rPr>
        <w:t>-</w:t>
      </w:r>
      <w:r w:rsidRPr="000E5D7D">
        <w:rPr>
          <w:rFonts w:eastAsia="SimSun"/>
        </w:rPr>
        <w:tab/>
        <w:t xml:space="preserve">a list of candidates who have successfully completed the selection procedure, broken down by region, and recommended for </w:t>
      </w:r>
      <w:proofErr w:type="gramStart"/>
      <w:r w:rsidRPr="000E5D7D">
        <w:rPr>
          <w:rFonts w:eastAsia="SimSun"/>
        </w:rPr>
        <w:t>appointment;</w:t>
      </w:r>
      <w:proofErr w:type="gramEnd"/>
    </w:p>
    <w:p w14:paraId="1E32D781" w14:textId="77777777" w:rsidR="000D4098" w:rsidRPr="000E5D7D" w:rsidRDefault="000D4098" w:rsidP="000E5D7D">
      <w:pPr>
        <w:pStyle w:val="enumlev1"/>
        <w:tabs>
          <w:tab w:val="clear" w:pos="567"/>
        </w:tabs>
        <w:spacing w:before="40"/>
        <w:ind w:left="284" w:hanging="284"/>
        <w:rPr>
          <w:rFonts w:eastAsia="SimSun"/>
        </w:rPr>
      </w:pPr>
      <w:r w:rsidRPr="000E5D7D">
        <w:rPr>
          <w:rFonts w:eastAsia="SimSun"/>
        </w:rPr>
        <w:t>-</w:t>
      </w:r>
      <w:r w:rsidRPr="000E5D7D">
        <w:rPr>
          <w:rFonts w:eastAsia="SimSun"/>
        </w:rPr>
        <w:tab/>
        <w:t xml:space="preserve">regions from which no candidate has been recommended for appointment and for which, accordingly, positions are </w:t>
      </w:r>
      <w:proofErr w:type="gramStart"/>
      <w:r w:rsidRPr="000E5D7D">
        <w:rPr>
          <w:rFonts w:eastAsia="SimSun"/>
        </w:rPr>
        <w:t>vacant;</w:t>
      </w:r>
      <w:proofErr w:type="gramEnd"/>
    </w:p>
    <w:p w14:paraId="1F823579" w14:textId="77777777" w:rsidR="000D4098" w:rsidRPr="000E5D7D" w:rsidRDefault="000D4098" w:rsidP="000E5D7D">
      <w:pPr>
        <w:pStyle w:val="enumlev1"/>
        <w:tabs>
          <w:tab w:val="clear" w:pos="567"/>
        </w:tabs>
        <w:spacing w:before="40"/>
        <w:ind w:left="284" w:hanging="284"/>
        <w:rPr>
          <w:rFonts w:eastAsia="SimSun"/>
        </w:rPr>
      </w:pPr>
      <w:r w:rsidRPr="000E5D7D">
        <w:rPr>
          <w:rFonts w:eastAsia="SimSun"/>
        </w:rPr>
        <w:t>-</w:t>
      </w:r>
      <w:r w:rsidRPr="000E5D7D">
        <w:rPr>
          <w:rFonts w:eastAsia="SimSun"/>
        </w:rPr>
        <w:tab/>
        <w:t>a list of reserve candidates, broken down by region, who have also successfully completed the selection procedure and meet the criteria for appointment to vacant positions,</w:t>
      </w:r>
    </w:p>
    <w:p w14:paraId="614A32FB" w14:textId="77777777" w:rsidR="000D4098" w:rsidRPr="000E5D7D" w:rsidRDefault="000D4098" w:rsidP="000E5D7D">
      <w:pPr>
        <w:tabs>
          <w:tab w:val="clear" w:pos="567"/>
          <w:tab w:val="clear" w:pos="1134"/>
          <w:tab w:val="clear" w:pos="1701"/>
          <w:tab w:val="clear" w:pos="2268"/>
          <w:tab w:val="clear" w:pos="2835"/>
        </w:tabs>
        <w:overflowPunct/>
        <w:autoSpaceDE/>
        <w:autoSpaceDN/>
        <w:adjustRightInd/>
        <w:spacing w:after="60"/>
        <w:jc w:val="both"/>
        <w:textAlignment w:val="auto"/>
        <w:rPr>
          <w:rFonts w:eastAsia="SimSun"/>
        </w:rPr>
      </w:pPr>
      <w:r w:rsidRPr="000E5D7D">
        <w:rPr>
          <w:rFonts w:eastAsia="SimSun"/>
        </w:rPr>
        <w:t>2</w:t>
      </w:r>
      <w:r w:rsidRPr="000E5D7D">
        <w:rPr>
          <w:rFonts w:eastAsia="SimSun"/>
        </w:rPr>
        <w:tab/>
        <w:t>that, based on the recommendations submitted by the selection panel on the main and reserve candidates who meet the criteria for appointment, Council is to:</w:t>
      </w:r>
    </w:p>
    <w:p w14:paraId="7692A0B8" w14:textId="77777777" w:rsidR="000D4098" w:rsidRPr="000E5D7D" w:rsidRDefault="000D4098" w:rsidP="000E5D7D">
      <w:pPr>
        <w:pStyle w:val="enumlev1"/>
        <w:tabs>
          <w:tab w:val="clear" w:pos="567"/>
        </w:tabs>
        <w:spacing w:before="40"/>
        <w:ind w:left="284" w:hanging="284"/>
        <w:rPr>
          <w:rFonts w:eastAsia="SimSun"/>
        </w:rPr>
      </w:pPr>
      <w:r w:rsidRPr="000E5D7D">
        <w:rPr>
          <w:rFonts w:eastAsia="SimSun"/>
        </w:rPr>
        <w:t>-</w:t>
      </w:r>
      <w:r w:rsidRPr="000E5D7D">
        <w:rPr>
          <w:rFonts w:eastAsia="SimSun"/>
        </w:rPr>
        <w:tab/>
        <w:t xml:space="preserve">approve one recommended candidate from each of the regions that submitted their candidacy/s for membership in IMAC and successfully completed the selection </w:t>
      </w:r>
      <w:proofErr w:type="gramStart"/>
      <w:r w:rsidRPr="000E5D7D">
        <w:rPr>
          <w:rFonts w:eastAsia="SimSun"/>
        </w:rPr>
        <w:t>procedure;</w:t>
      </w:r>
      <w:proofErr w:type="gramEnd"/>
    </w:p>
    <w:p w14:paraId="722CB55E" w14:textId="77777777" w:rsidR="000D4098" w:rsidRPr="000E5D7D" w:rsidRDefault="000D4098" w:rsidP="000E5D7D">
      <w:pPr>
        <w:pStyle w:val="enumlev1"/>
        <w:tabs>
          <w:tab w:val="clear" w:pos="567"/>
        </w:tabs>
        <w:spacing w:before="40"/>
        <w:ind w:left="284" w:hanging="284"/>
        <w:rPr>
          <w:rFonts w:eastAsia="SimSun"/>
        </w:rPr>
      </w:pPr>
      <w:r w:rsidRPr="000E5D7D">
        <w:rPr>
          <w:rFonts w:eastAsia="SimSun"/>
        </w:rPr>
        <w:t>-</w:t>
      </w:r>
      <w:r w:rsidRPr="000E5D7D">
        <w:rPr>
          <w:rFonts w:eastAsia="SimSun"/>
        </w:rPr>
        <w:tab/>
        <w:t xml:space="preserve">select experts from the list of reserve candidates to fill vacant positions for other regions that have not submitted candidates or for which no candidates were selected by the selection </w:t>
      </w:r>
      <w:proofErr w:type="gramStart"/>
      <w:r w:rsidRPr="000E5D7D">
        <w:rPr>
          <w:rFonts w:eastAsia="SimSun"/>
        </w:rPr>
        <w:t>panel, and</w:t>
      </w:r>
      <w:proofErr w:type="gramEnd"/>
      <w:r w:rsidRPr="000E5D7D">
        <w:rPr>
          <w:rFonts w:eastAsia="SimSun"/>
        </w:rPr>
        <w:t xml:space="preserve"> approve them for appointment to vacant positions in IMAC.</w:t>
      </w:r>
    </w:p>
    <w:p w14:paraId="0D1E478F" w14:textId="77777777" w:rsidR="007A3FCD" w:rsidRPr="000306F5" w:rsidRDefault="007A3FCD" w:rsidP="000E5D7D">
      <w:pPr>
        <w:spacing w:before="0"/>
        <w:jc w:val="center"/>
        <w:rPr>
          <w:szCs w:val="24"/>
        </w:rPr>
      </w:pPr>
      <w:r w:rsidRPr="000306F5">
        <w:rPr>
          <w:szCs w:val="24"/>
        </w:rPr>
        <w:t>______________</w:t>
      </w:r>
    </w:p>
    <w:sectPr w:rsidR="007A3FCD" w:rsidRPr="000306F5" w:rsidSect="00AD3606">
      <w:footerReference w:type="default" r:id="rId16"/>
      <w:headerReference w:type="first" r:id="rId17"/>
      <w:footerReference w:type="first" r:id="rId1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518E" w14:textId="77777777" w:rsidR="00CA0DF1" w:rsidRPr="000E5D7D" w:rsidRDefault="00CA0DF1">
      <w:r w:rsidRPr="000E5D7D">
        <w:separator/>
      </w:r>
    </w:p>
  </w:endnote>
  <w:endnote w:type="continuationSeparator" w:id="0">
    <w:p w14:paraId="4356B913" w14:textId="77777777" w:rsidR="00CA0DF1" w:rsidRPr="000E5D7D" w:rsidRDefault="00CA0DF1">
      <w:r w:rsidRPr="000E5D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0E5D7D" w14:paraId="75102083" w14:textId="77777777" w:rsidTr="0042469C">
      <w:trPr>
        <w:jc w:val="center"/>
      </w:trPr>
      <w:tc>
        <w:tcPr>
          <w:tcW w:w="1803" w:type="dxa"/>
          <w:vAlign w:val="center"/>
        </w:tcPr>
        <w:p w14:paraId="3C16AE96" w14:textId="77777777" w:rsidR="00EE49E8" w:rsidRPr="000E5D7D" w:rsidRDefault="00C6520B" w:rsidP="00EE49E8">
          <w:pPr>
            <w:pStyle w:val="Header"/>
            <w:jc w:val="left"/>
          </w:pPr>
          <w:proofErr w:type="spellStart"/>
          <w:r w:rsidRPr="000E5D7D">
            <w:t>gDoc</w:t>
          </w:r>
          <w:proofErr w:type="spellEnd"/>
          <w:r w:rsidRPr="000E5D7D">
            <w:t xml:space="preserve"> #</w:t>
          </w:r>
        </w:p>
      </w:tc>
      <w:tc>
        <w:tcPr>
          <w:tcW w:w="8261" w:type="dxa"/>
        </w:tcPr>
        <w:p w14:paraId="4D34939F" w14:textId="4B397DE0" w:rsidR="00EE49E8" w:rsidRPr="000E5D7D" w:rsidRDefault="00EE49E8" w:rsidP="001F5569">
          <w:pPr>
            <w:pStyle w:val="Header"/>
            <w:tabs>
              <w:tab w:val="left" w:pos="6731"/>
              <w:tab w:val="right" w:pos="8505"/>
              <w:tab w:val="right" w:pos="9639"/>
            </w:tabs>
            <w:jc w:val="left"/>
            <w:rPr>
              <w:rFonts w:ascii="Arial" w:hAnsi="Arial" w:cs="Arial"/>
              <w:b/>
              <w:bCs/>
              <w:szCs w:val="18"/>
            </w:rPr>
          </w:pPr>
          <w:r w:rsidRPr="000E5D7D">
            <w:rPr>
              <w:bCs/>
            </w:rPr>
            <w:tab/>
            <w:t>C2</w:t>
          </w:r>
          <w:r w:rsidR="00DE532B" w:rsidRPr="000E5D7D">
            <w:rPr>
              <w:bCs/>
            </w:rPr>
            <w:t>6</w:t>
          </w:r>
          <w:r w:rsidRPr="000E5D7D">
            <w:rPr>
              <w:bCs/>
            </w:rPr>
            <w:t>/</w:t>
          </w:r>
          <w:r w:rsidR="00EA4827" w:rsidRPr="000E5D7D">
            <w:rPr>
              <w:bCs/>
            </w:rPr>
            <w:t>92</w:t>
          </w:r>
          <w:r w:rsidRPr="000E5D7D">
            <w:rPr>
              <w:bCs/>
            </w:rPr>
            <w:t>-E</w:t>
          </w:r>
          <w:r w:rsidRPr="000E5D7D">
            <w:rPr>
              <w:bCs/>
            </w:rPr>
            <w:tab/>
          </w:r>
          <w:r w:rsidRPr="000E5D7D">
            <w:fldChar w:fldCharType="begin"/>
          </w:r>
          <w:r w:rsidRPr="000E5D7D">
            <w:instrText>PAGE</w:instrText>
          </w:r>
          <w:r w:rsidRPr="000E5D7D">
            <w:fldChar w:fldCharType="separate"/>
          </w:r>
          <w:r w:rsidR="00ED0872" w:rsidRPr="000E5D7D">
            <w:t>3</w:t>
          </w:r>
          <w:r w:rsidRPr="000E5D7D">
            <w:fldChar w:fldCharType="end"/>
          </w:r>
        </w:p>
      </w:tc>
    </w:tr>
  </w:tbl>
  <w:p w14:paraId="06BC350F" w14:textId="77777777" w:rsidR="00EE49E8" w:rsidRPr="000E5D7D"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0E5D7D" w14:paraId="3706779C" w14:textId="77777777" w:rsidTr="006B77F1">
      <w:trPr>
        <w:jc w:val="center"/>
      </w:trPr>
      <w:tc>
        <w:tcPr>
          <w:tcW w:w="1803" w:type="dxa"/>
          <w:vAlign w:val="center"/>
        </w:tcPr>
        <w:p w14:paraId="21DBFDFB" w14:textId="77777777" w:rsidR="00EE49E8" w:rsidRPr="000E5D7D" w:rsidRDefault="00DE532B" w:rsidP="00EE49E8">
          <w:pPr>
            <w:pStyle w:val="Header"/>
            <w:jc w:val="left"/>
          </w:pPr>
          <w:hyperlink r:id="rId1" w:history="1">
            <w:r w:rsidRPr="000E5D7D">
              <w:rPr>
                <w:rStyle w:val="Hyperlink"/>
                <w:u w:val="none"/>
              </w:rPr>
              <w:t>council.itu.int/2026</w:t>
            </w:r>
          </w:hyperlink>
        </w:p>
      </w:tc>
      <w:tc>
        <w:tcPr>
          <w:tcW w:w="8261" w:type="dxa"/>
        </w:tcPr>
        <w:p w14:paraId="0FAB3B16" w14:textId="4689CD6E" w:rsidR="00EE49E8" w:rsidRPr="000E5D7D" w:rsidRDefault="00EE49E8" w:rsidP="001F5569">
          <w:pPr>
            <w:pStyle w:val="Header"/>
            <w:tabs>
              <w:tab w:val="left" w:pos="6731"/>
              <w:tab w:val="right" w:pos="8505"/>
              <w:tab w:val="right" w:pos="9639"/>
            </w:tabs>
            <w:jc w:val="left"/>
            <w:rPr>
              <w:rFonts w:ascii="Arial" w:hAnsi="Arial" w:cs="Arial"/>
              <w:b/>
              <w:bCs/>
              <w:szCs w:val="18"/>
            </w:rPr>
          </w:pPr>
          <w:r w:rsidRPr="000E5D7D">
            <w:rPr>
              <w:bCs/>
            </w:rPr>
            <w:tab/>
            <w:t>C2</w:t>
          </w:r>
          <w:r w:rsidR="00DE532B" w:rsidRPr="000E5D7D">
            <w:rPr>
              <w:bCs/>
            </w:rPr>
            <w:t>6</w:t>
          </w:r>
          <w:r w:rsidRPr="000E5D7D">
            <w:rPr>
              <w:bCs/>
            </w:rPr>
            <w:t>/</w:t>
          </w:r>
          <w:r w:rsidR="00EA4827" w:rsidRPr="000E5D7D">
            <w:rPr>
              <w:bCs/>
            </w:rPr>
            <w:t>92</w:t>
          </w:r>
          <w:r w:rsidRPr="000E5D7D">
            <w:rPr>
              <w:bCs/>
            </w:rPr>
            <w:t>-E</w:t>
          </w:r>
          <w:r w:rsidRPr="000E5D7D">
            <w:rPr>
              <w:bCs/>
            </w:rPr>
            <w:tab/>
          </w:r>
          <w:r w:rsidRPr="000E5D7D">
            <w:fldChar w:fldCharType="begin"/>
          </w:r>
          <w:r w:rsidRPr="000E5D7D">
            <w:instrText>PAGE</w:instrText>
          </w:r>
          <w:r w:rsidRPr="000E5D7D">
            <w:fldChar w:fldCharType="separate"/>
          </w:r>
          <w:r w:rsidR="000D4098" w:rsidRPr="000E5D7D">
            <w:t>1</w:t>
          </w:r>
          <w:r w:rsidRPr="000E5D7D">
            <w:fldChar w:fldCharType="end"/>
          </w:r>
        </w:p>
      </w:tc>
    </w:tr>
  </w:tbl>
  <w:p w14:paraId="0E27737E" w14:textId="77777777" w:rsidR="00A514A4" w:rsidRPr="000E5D7D"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8A52A" w14:textId="77777777" w:rsidR="00CA0DF1" w:rsidRPr="000E5D7D" w:rsidRDefault="00CA0DF1">
      <w:r w:rsidRPr="000E5D7D">
        <w:t>____________________</w:t>
      </w:r>
    </w:p>
  </w:footnote>
  <w:footnote w:type="continuationSeparator" w:id="0">
    <w:p w14:paraId="38B23688" w14:textId="77777777" w:rsidR="00CA0DF1" w:rsidRPr="000E5D7D" w:rsidRDefault="00CA0DF1">
      <w:r w:rsidRPr="000E5D7D">
        <w:continuationSeparator/>
      </w:r>
    </w:p>
  </w:footnote>
  <w:footnote w:id="1">
    <w:p w14:paraId="50F6C163" w14:textId="77777777" w:rsidR="000D4098" w:rsidRPr="00051310" w:rsidRDefault="000D4098" w:rsidP="000D4098">
      <w:pPr>
        <w:spacing w:before="60"/>
        <w:ind w:left="284" w:hanging="284"/>
        <w:jc w:val="both"/>
      </w:pPr>
      <w:r w:rsidRPr="000E5D7D">
        <w:rPr>
          <w:rStyle w:val="FootnoteReference"/>
        </w:rPr>
        <w:footnoteRef/>
      </w:r>
      <w:r w:rsidRPr="000E5D7D">
        <w:t xml:space="preserve"> </w:t>
      </w:r>
      <w:r w:rsidRPr="000E5D7D">
        <w:tab/>
      </w:r>
      <w:r w:rsidRPr="000E5D7D">
        <w:rPr>
          <w:sz w:val="20"/>
        </w:rPr>
        <w:t>This contribution was prepared based on the document CWG-FHR-16/16 by People's Republic of China, Republic of Armenia, Belarus, Kazakhstan, and the Russian Federation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A2B7" w14:textId="77777777" w:rsidR="00AD3606" w:rsidRPr="000E5D7D" w:rsidRDefault="00512087" w:rsidP="0049369C">
    <w:pPr>
      <w:pStyle w:val="Header"/>
    </w:pPr>
    <w:r w:rsidRPr="000E5D7D">
      <w:rPr>
        <w:lang w:eastAsia="ru-RU"/>
      </w:rPr>
      <w:drawing>
        <wp:inline distT="0" distB="0" distL="0" distR="0" wp14:anchorId="16AD69B0" wp14:editId="15BC3CB0">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2015834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212"/>
    <w:rsid w:val="000210D4"/>
    <w:rsid w:val="000306F5"/>
    <w:rsid w:val="0006007D"/>
    <w:rsid w:val="00063016"/>
    <w:rsid w:val="00066795"/>
    <w:rsid w:val="00076AF6"/>
    <w:rsid w:val="00085CF2"/>
    <w:rsid w:val="000B1705"/>
    <w:rsid w:val="000D4098"/>
    <w:rsid w:val="000D75B2"/>
    <w:rsid w:val="000E372C"/>
    <w:rsid w:val="000E5D7D"/>
    <w:rsid w:val="000F5DDB"/>
    <w:rsid w:val="001121F5"/>
    <w:rsid w:val="001400DC"/>
    <w:rsid w:val="00140CE1"/>
    <w:rsid w:val="0015189A"/>
    <w:rsid w:val="0017539C"/>
    <w:rsid w:val="00175AC2"/>
    <w:rsid w:val="0017609F"/>
    <w:rsid w:val="00176F47"/>
    <w:rsid w:val="001A3154"/>
    <w:rsid w:val="001A7D1D"/>
    <w:rsid w:val="001B51DD"/>
    <w:rsid w:val="001C628E"/>
    <w:rsid w:val="001E0F7B"/>
    <w:rsid w:val="001F5569"/>
    <w:rsid w:val="0020487B"/>
    <w:rsid w:val="002119FD"/>
    <w:rsid w:val="002130E0"/>
    <w:rsid w:val="00221F46"/>
    <w:rsid w:val="00264425"/>
    <w:rsid w:val="00265875"/>
    <w:rsid w:val="0027303B"/>
    <w:rsid w:val="00277DEA"/>
    <w:rsid w:val="0028109B"/>
    <w:rsid w:val="002916B4"/>
    <w:rsid w:val="002A0615"/>
    <w:rsid w:val="002A133E"/>
    <w:rsid w:val="002A2188"/>
    <w:rsid w:val="002B1F58"/>
    <w:rsid w:val="002C1C7A"/>
    <w:rsid w:val="002C3F32"/>
    <w:rsid w:val="002C54E2"/>
    <w:rsid w:val="0030160F"/>
    <w:rsid w:val="00320223"/>
    <w:rsid w:val="00322D0D"/>
    <w:rsid w:val="00361465"/>
    <w:rsid w:val="00370CC5"/>
    <w:rsid w:val="003845D3"/>
    <w:rsid w:val="003877F5"/>
    <w:rsid w:val="003936D3"/>
    <w:rsid w:val="003942D4"/>
    <w:rsid w:val="003958A8"/>
    <w:rsid w:val="003B29C2"/>
    <w:rsid w:val="003B4FAF"/>
    <w:rsid w:val="003C2533"/>
    <w:rsid w:val="003D5A7F"/>
    <w:rsid w:val="003F0228"/>
    <w:rsid w:val="0040435A"/>
    <w:rsid w:val="00416A24"/>
    <w:rsid w:val="00431D9E"/>
    <w:rsid w:val="00433CE8"/>
    <w:rsid w:val="00434A5C"/>
    <w:rsid w:val="00453079"/>
    <w:rsid w:val="004544D9"/>
    <w:rsid w:val="00465C35"/>
    <w:rsid w:val="00472BAD"/>
    <w:rsid w:val="00484009"/>
    <w:rsid w:val="00490E72"/>
    <w:rsid w:val="00491157"/>
    <w:rsid w:val="00491BA9"/>
    <w:rsid w:val="004921C8"/>
    <w:rsid w:val="0049369C"/>
    <w:rsid w:val="00495615"/>
    <w:rsid w:val="00495B0B"/>
    <w:rsid w:val="004A1B8B"/>
    <w:rsid w:val="004D1851"/>
    <w:rsid w:val="004D599D"/>
    <w:rsid w:val="004E2EA5"/>
    <w:rsid w:val="004E3AEB"/>
    <w:rsid w:val="0050223C"/>
    <w:rsid w:val="00512087"/>
    <w:rsid w:val="005243FF"/>
    <w:rsid w:val="00564FBC"/>
    <w:rsid w:val="005800BC"/>
    <w:rsid w:val="00582442"/>
    <w:rsid w:val="005F3269"/>
    <w:rsid w:val="0061071E"/>
    <w:rsid w:val="00623AE3"/>
    <w:rsid w:val="0064737F"/>
    <w:rsid w:val="006535F1"/>
    <w:rsid w:val="0065381B"/>
    <w:rsid w:val="0065557D"/>
    <w:rsid w:val="00660D50"/>
    <w:rsid w:val="00662984"/>
    <w:rsid w:val="006716BB"/>
    <w:rsid w:val="006A2F4B"/>
    <w:rsid w:val="006B1859"/>
    <w:rsid w:val="006B6680"/>
    <w:rsid w:val="006B6DCC"/>
    <w:rsid w:val="006B77F1"/>
    <w:rsid w:val="00702DEF"/>
    <w:rsid w:val="00706861"/>
    <w:rsid w:val="00722551"/>
    <w:rsid w:val="0075051B"/>
    <w:rsid w:val="00765C89"/>
    <w:rsid w:val="0077110E"/>
    <w:rsid w:val="00793188"/>
    <w:rsid w:val="00794D34"/>
    <w:rsid w:val="007A3FCD"/>
    <w:rsid w:val="007B19CF"/>
    <w:rsid w:val="007D01AF"/>
    <w:rsid w:val="007E37B6"/>
    <w:rsid w:val="00813E5E"/>
    <w:rsid w:val="0083581B"/>
    <w:rsid w:val="0084546D"/>
    <w:rsid w:val="00863874"/>
    <w:rsid w:val="00864AFF"/>
    <w:rsid w:val="00865925"/>
    <w:rsid w:val="008B4A6A"/>
    <w:rsid w:val="008C7E27"/>
    <w:rsid w:val="008F7448"/>
    <w:rsid w:val="0090147A"/>
    <w:rsid w:val="009173EF"/>
    <w:rsid w:val="009253EE"/>
    <w:rsid w:val="00932906"/>
    <w:rsid w:val="00954C49"/>
    <w:rsid w:val="00961B0B"/>
    <w:rsid w:val="00962D33"/>
    <w:rsid w:val="009842A1"/>
    <w:rsid w:val="009A76A8"/>
    <w:rsid w:val="009B38C3"/>
    <w:rsid w:val="009E17BD"/>
    <w:rsid w:val="009E485A"/>
    <w:rsid w:val="00A04CEC"/>
    <w:rsid w:val="00A109AF"/>
    <w:rsid w:val="00A27F92"/>
    <w:rsid w:val="00A32257"/>
    <w:rsid w:val="00A36D20"/>
    <w:rsid w:val="00A514A4"/>
    <w:rsid w:val="00A55622"/>
    <w:rsid w:val="00A83502"/>
    <w:rsid w:val="00A94BAB"/>
    <w:rsid w:val="00AD15B3"/>
    <w:rsid w:val="00AD3606"/>
    <w:rsid w:val="00AD4A3D"/>
    <w:rsid w:val="00AF6E49"/>
    <w:rsid w:val="00B04A67"/>
    <w:rsid w:val="00B0583C"/>
    <w:rsid w:val="00B171A1"/>
    <w:rsid w:val="00B40A81"/>
    <w:rsid w:val="00B44910"/>
    <w:rsid w:val="00B72267"/>
    <w:rsid w:val="00B76EB6"/>
    <w:rsid w:val="00B7737B"/>
    <w:rsid w:val="00B824C8"/>
    <w:rsid w:val="00B84B9D"/>
    <w:rsid w:val="00B9131F"/>
    <w:rsid w:val="00BB0646"/>
    <w:rsid w:val="00BC251A"/>
    <w:rsid w:val="00BC4A20"/>
    <w:rsid w:val="00BD032B"/>
    <w:rsid w:val="00BE01C6"/>
    <w:rsid w:val="00BE2640"/>
    <w:rsid w:val="00BF1FDE"/>
    <w:rsid w:val="00C01189"/>
    <w:rsid w:val="00C0458D"/>
    <w:rsid w:val="00C374DE"/>
    <w:rsid w:val="00C47AD4"/>
    <w:rsid w:val="00C52D81"/>
    <w:rsid w:val="00C55198"/>
    <w:rsid w:val="00C5605F"/>
    <w:rsid w:val="00C6520B"/>
    <w:rsid w:val="00CA0DF1"/>
    <w:rsid w:val="00CA6393"/>
    <w:rsid w:val="00CA7995"/>
    <w:rsid w:val="00CB18FF"/>
    <w:rsid w:val="00CD0C08"/>
    <w:rsid w:val="00CE03FB"/>
    <w:rsid w:val="00CE433C"/>
    <w:rsid w:val="00CF0161"/>
    <w:rsid w:val="00CF33F3"/>
    <w:rsid w:val="00CF4A2B"/>
    <w:rsid w:val="00D024CA"/>
    <w:rsid w:val="00D046DB"/>
    <w:rsid w:val="00D06183"/>
    <w:rsid w:val="00D22C42"/>
    <w:rsid w:val="00D65041"/>
    <w:rsid w:val="00DB1936"/>
    <w:rsid w:val="00DB384B"/>
    <w:rsid w:val="00DE532B"/>
    <w:rsid w:val="00DF0189"/>
    <w:rsid w:val="00E06FD5"/>
    <w:rsid w:val="00E10E80"/>
    <w:rsid w:val="00E124F0"/>
    <w:rsid w:val="00E227F3"/>
    <w:rsid w:val="00E545C6"/>
    <w:rsid w:val="00E60F04"/>
    <w:rsid w:val="00E65B24"/>
    <w:rsid w:val="00E854E4"/>
    <w:rsid w:val="00E86DBF"/>
    <w:rsid w:val="00E969AF"/>
    <w:rsid w:val="00EA4827"/>
    <w:rsid w:val="00EB0D6F"/>
    <w:rsid w:val="00EB2232"/>
    <w:rsid w:val="00EC5337"/>
    <w:rsid w:val="00ED0872"/>
    <w:rsid w:val="00EE49E8"/>
    <w:rsid w:val="00F16BAB"/>
    <w:rsid w:val="00F2150A"/>
    <w:rsid w:val="00F231D8"/>
    <w:rsid w:val="00F27212"/>
    <w:rsid w:val="00F44C00"/>
    <w:rsid w:val="00F45D2C"/>
    <w:rsid w:val="00F46C5F"/>
    <w:rsid w:val="00F632C0"/>
    <w:rsid w:val="00F641E1"/>
    <w:rsid w:val="00F94A63"/>
    <w:rsid w:val="00FA1C28"/>
    <w:rsid w:val="00FB1279"/>
    <w:rsid w:val="00FB6B76"/>
    <w:rsid w:val="00FB7596"/>
    <w:rsid w:val="00FE4077"/>
    <w:rsid w:val="00FE500D"/>
    <w:rsid w:val="00FE77D2"/>
    <w:rsid w:val="00FF3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06ADDF"/>
  <w15:docId w15:val="{71D14934-2434-46B7-90F1-46CABA0F5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customStyle="1" w:styleId="UnresolvedMention1">
    <w:name w:val="Unresolved Mention1"/>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162-E.pdf" TargetMode="External"/><Relationship Id="rId13" Type="http://schemas.openxmlformats.org/officeDocument/2006/relationships/hyperlink" Target="https://www.itu.int/md/S23-CL-C-0023/e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S24-CWGFHR17-C-0024/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4-CWGFHR17-C-0017/en" TargetMode="External"/><Relationship Id="rId5" Type="http://schemas.openxmlformats.org/officeDocument/2006/relationships/webSettings" Target="webSettings.xml"/><Relationship Id="rId15" Type="http://schemas.openxmlformats.org/officeDocument/2006/relationships/hyperlink" Target="https://www.itu.int/md/S24-CWGFHR17-C-0017/en" TargetMode="External"/><Relationship Id="rId10" Type="http://schemas.openxmlformats.org/officeDocument/2006/relationships/hyperlink" Target="https://www.itu.int/md/S23-CWGFHR16-C-0016/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md/S23-CL-C-0023/en" TargetMode="External"/><Relationship Id="rId14" Type="http://schemas.openxmlformats.org/officeDocument/2006/relationships/hyperlink" Target="https://www.itu.int/md/S23-CWGFHR16-C-0016/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D011B-10BE-4C60-8E20-B01812B9A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1216</Words>
  <Characters>7362</Characters>
  <Application>Microsoft Office Word</Application>
  <DocSecurity>0</DocSecurity>
  <Lines>129</Lines>
  <Paragraphs>49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General Secretariat</Manager>
  <Company>International Telecommunication Union (ITU)</Company>
  <LinksUpToDate>false</LinksUpToDate>
  <CharactersWithSpaces>8529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Multicountry contribution - On the equal representation of the six regions in the Independent Management Advisory Committee (IMAC)</dc:title>
  <dc:subject>ITU Council 2026</dc:subject>
  <dc:creator>GBS</dc:creator>
  <cp:keywords>C26; C2026; Council 2026; PP26</cp:keywords>
  <dc:description/>
  <cp:lastModifiedBy>GBS</cp:lastModifiedBy>
  <cp:revision>3</cp:revision>
  <cp:lastPrinted>2000-07-18T13:30:00Z</cp:lastPrinted>
  <dcterms:created xsi:type="dcterms:W3CDTF">2026-04-16T19:17:00Z</dcterms:created>
  <dcterms:modified xsi:type="dcterms:W3CDTF">2026-04-16T19:17:00Z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ies>
</file>