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21BC832" w14:textId="77777777" w:rsidTr="00555C29">
        <w:trPr>
          <w:cantSplit/>
          <w:trHeight w:val="23"/>
        </w:trPr>
        <w:tc>
          <w:tcPr>
            <w:tcW w:w="3969" w:type="dxa"/>
            <w:vMerge w:val="restart"/>
            <w:tcMar>
              <w:left w:w="0" w:type="dxa"/>
            </w:tcMar>
          </w:tcPr>
          <w:p w14:paraId="624BD3E8" w14:textId="4267ED32"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0A55EC">
              <w:rPr>
                <w:b/>
                <w:bCs/>
                <w:color w:val="000000"/>
                <w:lang w:val="zh-CN"/>
              </w:rPr>
              <w:t>ADM 2</w:t>
            </w:r>
          </w:p>
        </w:tc>
        <w:tc>
          <w:tcPr>
            <w:tcW w:w="5245" w:type="dxa"/>
          </w:tcPr>
          <w:p w14:paraId="120D44F9" w14:textId="5E925912"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000A55EC">
              <w:rPr>
                <w:b/>
                <w:bCs/>
                <w:color w:val="000000"/>
                <w:lang w:val="zh-CN"/>
              </w:rPr>
              <w:t>C26/92</w:t>
            </w:r>
            <w:r w:rsidRPr="00E24D59">
              <w:rPr>
                <w:b/>
                <w:lang w:val="fr-CH"/>
              </w:rPr>
              <w:t>-C</w:t>
            </w:r>
          </w:p>
        </w:tc>
      </w:tr>
      <w:tr w:rsidR="00E24D59" w:rsidRPr="00813E5E" w14:paraId="42178745" w14:textId="77777777" w:rsidTr="00555C29">
        <w:trPr>
          <w:cantSplit/>
        </w:trPr>
        <w:tc>
          <w:tcPr>
            <w:tcW w:w="3969" w:type="dxa"/>
            <w:vMerge/>
          </w:tcPr>
          <w:p w14:paraId="1EDBE16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4642CCC" w14:textId="2EECABD5" w:rsidR="00E24D59" w:rsidRPr="00E85629" w:rsidRDefault="00EC117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4C0279FE" w14:textId="77777777" w:rsidTr="00555C29">
        <w:trPr>
          <w:cantSplit/>
          <w:trHeight w:val="23"/>
        </w:trPr>
        <w:tc>
          <w:tcPr>
            <w:tcW w:w="3969" w:type="dxa"/>
            <w:vMerge/>
          </w:tcPr>
          <w:p w14:paraId="1BAD30F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E3C57D5" w14:textId="04043726"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0A55EC">
              <w:rPr>
                <w:rFonts w:cstheme="minorHAnsi" w:hint="eastAsia"/>
                <w:b/>
                <w:bCs/>
                <w:lang w:val="ru-RU" w:eastAsia="zh-CN"/>
              </w:rPr>
              <w:t>英文</w:t>
            </w:r>
          </w:p>
        </w:tc>
      </w:tr>
      <w:tr w:rsidR="00E24D59" w:rsidRPr="00813E5E" w14:paraId="0A18A273" w14:textId="77777777" w:rsidTr="00555C29">
        <w:trPr>
          <w:cantSplit/>
          <w:trHeight w:val="23"/>
        </w:trPr>
        <w:tc>
          <w:tcPr>
            <w:tcW w:w="3969" w:type="dxa"/>
          </w:tcPr>
          <w:p w14:paraId="160EE988" w14:textId="77777777" w:rsidR="00E24D59" w:rsidRPr="00813E5E" w:rsidRDefault="00E24D59" w:rsidP="00555C29">
            <w:pPr>
              <w:tabs>
                <w:tab w:val="left" w:pos="851"/>
              </w:tabs>
              <w:spacing w:line="240" w:lineRule="atLeast"/>
              <w:rPr>
                <w:b/>
              </w:rPr>
            </w:pPr>
          </w:p>
        </w:tc>
        <w:tc>
          <w:tcPr>
            <w:tcW w:w="5245" w:type="dxa"/>
          </w:tcPr>
          <w:p w14:paraId="5521BB3B" w14:textId="77777777" w:rsidR="00E24D59" w:rsidRDefault="00E24D59" w:rsidP="00555C29">
            <w:pPr>
              <w:tabs>
                <w:tab w:val="left" w:pos="851"/>
              </w:tabs>
              <w:spacing w:before="0" w:line="240" w:lineRule="atLeast"/>
              <w:jc w:val="right"/>
              <w:rPr>
                <w:b/>
              </w:rPr>
            </w:pPr>
          </w:p>
        </w:tc>
      </w:tr>
      <w:tr w:rsidR="00E24D59" w:rsidRPr="00813E5E" w14:paraId="61B210AA" w14:textId="77777777" w:rsidTr="00555C29">
        <w:trPr>
          <w:cantSplit/>
        </w:trPr>
        <w:tc>
          <w:tcPr>
            <w:tcW w:w="9214" w:type="dxa"/>
            <w:gridSpan w:val="2"/>
            <w:tcMar>
              <w:left w:w="0" w:type="dxa"/>
            </w:tcMar>
          </w:tcPr>
          <w:p w14:paraId="6E1CCB59" w14:textId="5DE75624" w:rsidR="00E24D59" w:rsidRPr="002E3B23" w:rsidRDefault="000A55EC" w:rsidP="00C24DAC">
            <w:pPr>
              <w:pStyle w:val="Source"/>
              <w:framePr w:hSpace="0" w:wrap="auto" w:vAnchor="margin" w:hAnchor="text" w:xAlign="left" w:yAlign="inline"/>
              <w:rPr>
                <w:lang w:val="en-GB"/>
              </w:rPr>
            </w:pPr>
            <w:bookmarkStart w:id="5" w:name="dsource" w:colFirst="0" w:colLast="0"/>
            <w:bookmarkEnd w:id="4"/>
            <w:r>
              <w:rPr>
                <w:bCs/>
                <w:color w:val="000000"/>
                <w:lang w:val="zh-CN"/>
              </w:rPr>
              <w:t>亚美尼亚（共和国）、白俄罗斯（共和国）、俄罗斯联邦、哈萨克斯坦（共和国）、乌兹别克斯坦（共和国）、吉尔吉斯共和国、塔吉克斯坦（共和国）</w:t>
            </w:r>
            <w:r w:rsidRPr="008A0067">
              <w:rPr>
                <w:bCs/>
                <w:color w:val="000000"/>
                <w:lang w:val="zh-CN"/>
              </w:rPr>
              <w:t>的文稿</w:t>
            </w:r>
            <w:r w:rsidRPr="000E5D7D">
              <w:rPr>
                <w:rStyle w:val="FootnoteReference"/>
                <w:color w:val="000000"/>
                <w:lang w:val="zh-CN"/>
              </w:rPr>
              <w:footnoteReference w:id="1"/>
            </w:r>
          </w:p>
        </w:tc>
      </w:tr>
      <w:tr w:rsidR="00E24D59" w:rsidRPr="00813E5E" w14:paraId="42E9774A" w14:textId="77777777" w:rsidTr="00555C29">
        <w:trPr>
          <w:cantSplit/>
        </w:trPr>
        <w:tc>
          <w:tcPr>
            <w:tcW w:w="9214" w:type="dxa"/>
            <w:gridSpan w:val="2"/>
            <w:tcMar>
              <w:left w:w="0" w:type="dxa"/>
            </w:tcMar>
          </w:tcPr>
          <w:p w14:paraId="07362300" w14:textId="6F6BB34F" w:rsidR="00E24D59" w:rsidRPr="002E3B23" w:rsidRDefault="005A6525" w:rsidP="00C24DAC">
            <w:pPr>
              <w:pStyle w:val="Subtitle"/>
              <w:framePr w:hSpace="0" w:wrap="auto" w:vAnchor="margin" w:hAnchor="text" w:xAlign="left" w:yAlign="inline"/>
              <w:rPr>
                <w:lang w:val="en-GB"/>
              </w:rPr>
            </w:pPr>
            <w:bookmarkStart w:id="6" w:name="dtitle1" w:colFirst="0" w:colLast="0"/>
            <w:bookmarkEnd w:id="5"/>
            <w:r>
              <w:rPr>
                <w:rFonts w:hint="eastAsia"/>
                <w:color w:val="000000"/>
                <w:lang w:val="zh-CN"/>
              </w:rPr>
              <w:t>独立管理顾问委员会</w:t>
            </w:r>
            <w:r w:rsidR="000A55EC">
              <w:rPr>
                <w:color w:val="000000"/>
                <w:lang w:val="zh-CN"/>
              </w:rPr>
              <w:t>（</w:t>
            </w:r>
            <w:r w:rsidR="000A55EC">
              <w:rPr>
                <w:color w:val="000000"/>
                <w:lang w:val="zh-CN"/>
              </w:rPr>
              <w:t>IMAC</w:t>
            </w:r>
            <w:r w:rsidR="000A55EC">
              <w:rPr>
                <w:color w:val="000000"/>
                <w:lang w:val="zh-CN"/>
              </w:rPr>
              <w:t>）六个区域的</w:t>
            </w:r>
            <w:r w:rsidR="00D81B27">
              <w:rPr>
                <w:color w:val="000000"/>
                <w:lang w:val="en-US"/>
              </w:rPr>
              <w:br/>
            </w:r>
            <w:r w:rsidR="000A55EC">
              <w:rPr>
                <w:color w:val="000000"/>
                <w:lang w:val="zh-CN"/>
              </w:rPr>
              <w:t>平</w:t>
            </w:r>
            <w:r w:rsidR="000A55EC">
              <w:rPr>
                <w:rFonts w:hint="eastAsia"/>
                <w:color w:val="000000"/>
                <w:lang w:val="zh-CN"/>
              </w:rPr>
              <w:t>等</w:t>
            </w:r>
            <w:r w:rsidR="000A55EC">
              <w:rPr>
                <w:color w:val="000000"/>
                <w:lang w:val="zh-CN"/>
              </w:rPr>
              <w:t>代表性问题</w:t>
            </w:r>
          </w:p>
        </w:tc>
      </w:tr>
      <w:tr w:rsidR="00E24D59" w:rsidRPr="00813E5E" w14:paraId="113E096C" w14:textId="77777777" w:rsidTr="00555C29">
        <w:trPr>
          <w:cantSplit/>
        </w:trPr>
        <w:tc>
          <w:tcPr>
            <w:tcW w:w="9214" w:type="dxa"/>
            <w:gridSpan w:val="2"/>
            <w:tcBorders>
              <w:top w:val="single" w:sz="4" w:space="0" w:color="auto"/>
              <w:bottom w:val="single" w:sz="4" w:space="0" w:color="auto"/>
            </w:tcBorders>
            <w:tcMar>
              <w:left w:w="0" w:type="dxa"/>
            </w:tcMar>
          </w:tcPr>
          <w:p w14:paraId="119225E1" w14:textId="2D3D1F66" w:rsidR="003F086E" w:rsidRPr="00477D57" w:rsidRDefault="003F086E" w:rsidP="00555C29">
            <w:pPr>
              <w:rPr>
                <w:b/>
                <w:bCs/>
                <w:lang w:eastAsia="zh-CN"/>
              </w:rPr>
            </w:pPr>
            <w:r w:rsidRPr="00477D57">
              <w:rPr>
                <w:b/>
                <w:bCs/>
                <w:lang w:eastAsia="zh-CN"/>
              </w:rPr>
              <w:t>目的</w:t>
            </w:r>
          </w:p>
          <w:p w14:paraId="2EC3F3F8" w14:textId="2AB0F2A9" w:rsidR="003F086E" w:rsidRPr="00EC117C" w:rsidRDefault="000A55EC" w:rsidP="00CD2E2E">
            <w:pPr>
              <w:ind w:firstLineChars="200" w:firstLine="480"/>
              <w:rPr>
                <w:rFonts w:cs="Calibri"/>
                <w:lang w:eastAsia="zh-CN"/>
              </w:rPr>
            </w:pPr>
            <w:r>
              <w:rPr>
                <w:color w:val="000000"/>
                <w:lang w:val="zh-CN" w:eastAsia="zh-CN"/>
              </w:rPr>
              <w:t>考虑到国际电联理事会和</w:t>
            </w:r>
            <w:r>
              <w:rPr>
                <w:color w:val="000000"/>
                <w:lang w:val="zh-CN" w:eastAsia="zh-CN"/>
              </w:rPr>
              <w:t>CWG-FHR</w:t>
            </w:r>
            <w:r>
              <w:rPr>
                <w:color w:val="000000"/>
                <w:lang w:val="zh-CN" w:eastAsia="zh-CN"/>
              </w:rPr>
              <w:t>有关独立管理顾问委员会（</w:t>
            </w:r>
            <w:r>
              <w:rPr>
                <w:color w:val="000000"/>
                <w:lang w:val="zh-CN" w:eastAsia="zh-CN"/>
              </w:rPr>
              <w:t>IMAC</w:t>
            </w:r>
            <w:r>
              <w:rPr>
                <w:color w:val="000000"/>
                <w:lang w:val="zh-CN" w:eastAsia="zh-CN"/>
              </w:rPr>
              <w:t>）的职责范围，请</w:t>
            </w:r>
            <w:r>
              <w:rPr>
                <w:color w:val="000000"/>
                <w:lang w:val="zh-CN" w:eastAsia="zh-CN"/>
              </w:rPr>
              <w:t>CWG-FHR</w:t>
            </w:r>
            <w:r>
              <w:rPr>
                <w:color w:val="000000"/>
                <w:lang w:val="zh-CN" w:eastAsia="zh-CN"/>
              </w:rPr>
              <w:t>就六个区域在</w:t>
            </w:r>
            <w:r>
              <w:rPr>
                <w:color w:val="000000"/>
                <w:lang w:val="zh-CN" w:eastAsia="zh-CN"/>
              </w:rPr>
              <w:t>IMAC</w:t>
            </w:r>
            <w:r>
              <w:rPr>
                <w:color w:val="000000"/>
                <w:lang w:val="zh-CN" w:eastAsia="zh-CN"/>
              </w:rPr>
              <w:t>中的平等代表</w:t>
            </w:r>
            <w:r>
              <w:rPr>
                <w:rFonts w:hint="eastAsia"/>
                <w:color w:val="000000"/>
                <w:lang w:val="zh-CN" w:eastAsia="zh-CN"/>
              </w:rPr>
              <w:t>性</w:t>
            </w:r>
            <w:r>
              <w:rPr>
                <w:color w:val="000000"/>
                <w:lang w:val="zh-CN" w:eastAsia="zh-CN"/>
              </w:rPr>
              <w:t>向理事会提出建议，</w:t>
            </w:r>
            <w:r w:rsidRPr="000A55EC">
              <w:rPr>
                <w:b/>
                <w:bCs/>
                <w:color w:val="000000"/>
                <w:lang w:val="zh-CN" w:eastAsia="zh-CN"/>
              </w:rPr>
              <w:t>旨在提高任命</w:t>
            </w:r>
            <w:r w:rsidRPr="000A55EC">
              <w:rPr>
                <w:b/>
                <w:bCs/>
                <w:color w:val="000000"/>
                <w:lang w:val="zh-CN" w:eastAsia="zh-CN"/>
              </w:rPr>
              <w:t>IMAC</w:t>
            </w:r>
            <w:r w:rsidRPr="000A55EC">
              <w:rPr>
                <w:b/>
                <w:bCs/>
                <w:color w:val="000000"/>
                <w:lang w:val="zh-CN" w:eastAsia="zh-CN"/>
              </w:rPr>
              <w:t>委员的透明度，并改善</w:t>
            </w:r>
            <w:r w:rsidRPr="000A55EC">
              <w:rPr>
                <w:b/>
                <w:bCs/>
                <w:color w:val="000000"/>
                <w:lang w:val="zh-CN" w:eastAsia="zh-CN"/>
              </w:rPr>
              <w:t>IMAC</w:t>
            </w:r>
            <w:r w:rsidRPr="000A55EC">
              <w:rPr>
                <w:b/>
                <w:bCs/>
                <w:color w:val="000000"/>
                <w:lang w:val="zh-CN" w:eastAsia="zh-CN"/>
              </w:rPr>
              <w:t>六个区域代表平等的状况</w:t>
            </w:r>
            <w:r w:rsidR="00EC117C" w:rsidRPr="00EC117C">
              <w:rPr>
                <w:rFonts w:cs="Calibri" w:hint="eastAsia"/>
                <w:lang w:eastAsia="zh-CN"/>
              </w:rPr>
              <w:t>。</w:t>
            </w:r>
          </w:p>
          <w:p w14:paraId="2E7332A8" w14:textId="77777777" w:rsidR="003F086E" w:rsidRPr="00477D57" w:rsidRDefault="003F086E" w:rsidP="00555C29">
            <w:pPr>
              <w:rPr>
                <w:b/>
                <w:bCs/>
                <w:lang w:eastAsia="zh-CN"/>
              </w:rPr>
            </w:pPr>
            <w:r w:rsidRPr="00477D57">
              <w:rPr>
                <w:b/>
                <w:bCs/>
                <w:lang w:eastAsia="zh-CN"/>
              </w:rPr>
              <w:t>理事会需采取的行动</w:t>
            </w:r>
          </w:p>
          <w:p w14:paraId="05252A95" w14:textId="0C0234E7" w:rsidR="008F64AD" w:rsidRPr="00477D57" w:rsidRDefault="000A55EC" w:rsidP="00CD2E2E">
            <w:pPr>
              <w:ind w:firstLineChars="200" w:firstLine="480"/>
              <w:rPr>
                <w:rFonts w:asciiTheme="majorEastAsia" w:eastAsiaTheme="majorEastAsia" w:hAnsiTheme="majorEastAsia"/>
                <w:lang w:eastAsia="zh-CN"/>
              </w:rPr>
            </w:pPr>
            <w:r>
              <w:rPr>
                <w:color w:val="000000"/>
                <w:lang w:val="zh-CN" w:eastAsia="zh-CN"/>
              </w:rPr>
              <w:t>请理事会</w:t>
            </w:r>
            <w:r w:rsidRPr="000A55EC">
              <w:rPr>
                <w:b/>
                <w:bCs/>
                <w:color w:val="000000"/>
                <w:lang w:val="zh-CN" w:eastAsia="zh-CN"/>
              </w:rPr>
              <w:t>审议</w:t>
            </w:r>
            <w:r>
              <w:rPr>
                <w:color w:val="000000"/>
                <w:lang w:val="zh-CN" w:eastAsia="zh-CN"/>
              </w:rPr>
              <w:t>本文件，以</w:t>
            </w:r>
            <w:r>
              <w:rPr>
                <w:rFonts w:hint="eastAsia"/>
                <w:color w:val="000000"/>
                <w:lang w:val="zh-CN" w:eastAsia="zh-CN"/>
              </w:rPr>
              <w:t>起草相关</w:t>
            </w:r>
            <w:r>
              <w:rPr>
                <w:color w:val="000000"/>
                <w:lang w:val="zh-CN" w:eastAsia="zh-CN"/>
              </w:rPr>
              <w:t>建议并进一步将其提交国际电联</w:t>
            </w:r>
            <w:r>
              <w:rPr>
                <w:color w:val="000000"/>
                <w:lang w:val="zh-CN" w:eastAsia="zh-CN"/>
              </w:rPr>
              <w:t>2026</w:t>
            </w:r>
            <w:r>
              <w:rPr>
                <w:color w:val="000000"/>
                <w:lang w:val="zh-CN" w:eastAsia="zh-CN"/>
              </w:rPr>
              <w:t>年全权代表大会</w:t>
            </w:r>
            <w:r w:rsidR="00EC117C" w:rsidRPr="00EC117C">
              <w:rPr>
                <w:rFonts w:asciiTheme="majorEastAsia" w:eastAsiaTheme="majorEastAsia" w:hAnsiTheme="majorEastAsia" w:hint="eastAsia"/>
                <w:lang w:eastAsia="zh-CN"/>
              </w:rPr>
              <w:t>。</w:t>
            </w:r>
          </w:p>
          <w:p w14:paraId="7DDF578A" w14:textId="77777777" w:rsidR="00E24D59" w:rsidRPr="00DA2D30" w:rsidRDefault="00DA2D30" w:rsidP="00DA2D30">
            <w:pPr>
              <w:rPr>
                <w:lang w:eastAsia="zh-CN"/>
              </w:rPr>
            </w:pPr>
            <w:r>
              <w:rPr>
                <w:lang w:eastAsia="zh-CN"/>
              </w:rPr>
              <w:t>_______________</w:t>
            </w:r>
          </w:p>
          <w:p w14:paraId="7C2E38EC" w14:textId="77777777" w:rsidR="00E24D59" w:rsidRPr="00477D57" w:rsidRDefault="00E24D59" w:rsidP="00555C29">
            <w:pPr>
              <w:rPr>
                <w:b/>
                <w:bCs/>
                <w:lang w:eastAsia="zh-CN"/>
              </w:rPr>
            </w:pPr>
            <w:r w:rsidRPr="00477D57">
              <w:rPr>
                <w:rFonts w:hint="eastAsia"/>
                <w:b/>
                <w:bCs/>
                <w:lang w:eastAsia="zh-CN"/>
              </w:rPr>
              <w:t>参考文件</w:t>
            </w:r>
          </w:p>
          <w:p w14:paraId="144AB63D" w14:textId="4DACC3D0" w:rsidR="00E24D59" w:rsidRPr="00477D57" w:rsidRDefault="000A55EC" w:rsidP="008447BA">
            <w:pPr>
              <w:spacing w:after="120"/>
              <w:ind w:firstLineChars="200" w:firstLine="440"/>
              <w:rPr>
                <w:rFonts w:asciiTheme="majorEastAsia" w:eastAsiaTheme="majorEastAsia" w:hAnsiTheme="majorEastAsia"/>
                <w:i/>
                <w:iCs/>
                <w:sz w:val="22"/>
                <w:szCs w:val="22"/>
                <w:lang w:eastAsia="zh-CN"/>
              </w:rPr>
            </w:pPr>
            <w:r w:rsidRPr="000A55EC">
              <w:rPr>
                <w:rFonts w:eastAsia="STKaiti"/>
                <w:sz w:val="22"/>
                <w:szCs w:val="22"/>
                <w:lang w:eastAsia="zh-CN"/>
              </w:rPr>
              <w:t>全权代表大会</w:t>
            </w:r>
            <w:hyperlink r:id="rId8" w:history="1">
              <w:r w:rsidRPr="00A43CE2">
                <w:rPr>
                  <w:rStyle w:val="Hyperlink"/>
                  <w:rFonts w:eastAsia="STKaiti"/>
                  <w:sz w:val="22"/>
                  <w:u w:val="single"/>
                  <w:lang w:eastAsia="zh-CN"/>
                </w:rPr>
                <w:t>第</w:t>
              </w:r>
              <w:r w:rsidRPr="00A43CE2">
                <w:rPr>
                  <w:rStyle w:val="Hyperlink"/>
                  <w:rFonts w:eastAsia="STKaiti"/>
                  <w:sz w:val="22"/>
                  <w:u w:val="single"/>
                  <w:lang w:eastAsia="zh-CN"/>
                </w:rPr>
                <w:t>162</w:t>
              </w:r>
              <w:r w:rsidRPr="00A43CE2">
                <w:rPr>
                  <w:rStyle w:val="Hyperlink"/>
                  <w:rFonts w:eastAsia="STKaiti"/>
                  <w:sz w:val="22"/>
                  <w:u w:val="single"/>
                  <w:lang w:eastAsia="zh-CN"/>
                </w:rPr>
                <w:t>号决议</w:t>
              </w:r>
            </w:hyperlink>
            <w:r w:rsidRPr="000A55EC">
              <w:rPr>
                <w:rFonts w:eastAsia="STKaiti"/>
                <w:sz w:val="22"/>
                <w:szCs w:val="22"/>
                <w:lang w:eastAsia="zh-CN"/>
              </w:rPr>
              <w:t>（</w:t>
            </w:r>
            <w:r w:rsidRPr="000A55EC">
              <w:rPr>
                <w:rFonts w:eastAsia="STKaiti"/>
                <w:sz w:val="22"/>
                <w:szCs w:val="22"/>
                <w:lang w:eastAsia="zh-CN"/>
              </w:rPr>
              <w:t>2022</w:t>
            </w:r>
            <w:r w:rsidRPr="000A55EC">
              <w:rPr>
                <w:rFonts w:eastAsia="STKaiti"/>
                <w:sz w:val="22"/>
                <w:szCs w:val="22"/>
                <w:lang w:eastAsia="zh-CN"/>
              </w:rPr>
              <w:t>年，布加勒斯特，修订版）</w:t>
            </w:r>
            <w:r>
              <w:rPr>
                <w:rFonts w:eastAsia="STKaiti" w:hint="eastAsia"/>
                <w:sz w:val="22"/>
                <w:szCs w:val="22"/>
                <w:lang w:eastAsia="zh-CN"/>
              </w:rPr>
              <w:t>；</w:t>
            </w:r>
            <w:r w:rsidRPr="000A55EC">
              <w:rPr>
                <w:rFonts w:eastAsia="STKaiti"/>
                <w:sz w:val="22"/>
                <w:szCs w:val="22"/>
                <w:lang w:eastAsia="zh-CN"/>
              </w:rPr>
              <w:t>秘书长的说明</w:t>
            </w:r>
            <w:r>
              <w:rPr>
                <w:rFonts w:eastAsia="STKaiti" w:hint="eastAsia"/>
                <w:sz w:val="22"/>
                <w:szCs w:val="22"/>
                <w:lang w:eastAsia="zh-CN"/>
              </w:rPr>
              <w:t>“</w:t>
            </w:r>
            <w:r w:rsidRPr="000A55EC">
              <w:rPr>
                <w:rFonts w:eastAsia="STKaiti"/>
                <w:sz w:val="22"/>
                <w:szCs w:val="22"/>
                <w:lang w:eastAsia="zh-CN"/>
              </w:rPr>
              <w:t>任命独立管理顾问委员会（</w:t>
            </w:r>
            <w:r w:rsidRPr="000A55EC">
              <w:rPr>
                <w:rFonts w:eastAsia="STKaiti"/>
                <w:sz w:val="22"/>
                <w:szCs w:val="22"/>
                <w:lang w:eastAsia="zh-CN"/>
              </w:rPr>
              <w:t>IMAC</w:t>
            </w:r>
            <w:r w:rsidRPr="000A55EC">
              <w:rPr>
                <w:rFonts w:eastAsia="STKaiti"/>
                <w:sz w:val="22"/>
                <w:szCs w:val="22"/>
                <w:lang w:eastAsia="zh-CN"/>
              </w:rPr>
              <w:t>）委员</w:t>
            </w:r>
            <w:r>
              <w:rPr>
                <w:rFonts w:eastAsia="STKaiti" w:hint="eastAsia"/>
                <w:sz w:val="22"/>
                <w:szCs w:val="22"/>
                <w:lang w:eastAsia="zh-CN"/>
              </w:rPr>
              <w:t>”</w:t>
            </w:r>
            <w:r w:rsidRPr="000A55EC">
              <w:rPr>
                <w:rFonts w:eastAsia="STKaiti"/>
                <w:sz w:val="22"/>
                <w:szCs w:val="22"/>
                <w:lang w:eastAsia="zh-CN"/>
              </w:rPr>
              <w:t>（</w:t>
            </w:r>
            <w:hyperlink r:id="rId9" w:history="1">
              <w:r w:rsidRPr="00A43CE2">
                <w:rPr>
                  <w:rStyle w:val="Hyperlink"/>
                  <w:rFonts w:eastAsia="SimSun"/>
                  <w:sz w:val="22"/>
                  <w:szCs w:val="22"/>
                  <w:u w:val="single"/>
                  <w:lang w:eastAsia="zh-CN"/>
                </w:rPr>
                <w:t>C23/23</w:t>
              </w:r>
            </w:hyperlink>
            <w:r>
              <w:rPr>
                <w:rFonts w:eastAsia="STKaiti" w:hint="eastAsia"/>
                <w:sz w:val="22"/>
                <w:szCs w:val="22"/>
                <w:lang w:eastAsia="zh-CN"/>
              </w:rPr>
              <w:t>号文件</w:t>
            </w:r>
            <w:r w:rsidRPr="000A55EC">
              <w:rPr>
                <w:rFonts w:eastAsia="STKaiti"/>
                <w:sz w:val="22"/>
                <w:szCs w:val="22"/>
                <w:lang w:eastAsia="zh-CN"/>
              </w:rPr>
              <w:t>）</w:t>
            </w:r>
            <w:r>
              <w:rPr>
                <w:rFonts w:eastAsia="STKaiti" w:hint="eastAsia"/>
                <w:sz w:val="22"/>
                <w:szCs w:val="22"/>
                <w:lang w:eastAsia="zh-CN"/>
              </w:rPr>
              <w:t>；</w:t>
            </w:r>
            <w:r w:rsidRPr="000A55EC">
              <w:rPr>
                <w:rFonts w:eastAsia="STKaiti"/>
                <w:sz w:val="22"/>
                <w:szCs w:val="22"/>
                <w:lang w:eastAsia="zh-CN"/>
              </w:rPr>
              <w:t>中华人民共和国、亚美尼亚共和国、白俄罗斯共和国、哈萨克斯坦共和国和俄罗斯联邦的文稿（</w:t>
            </w:r>
            <w:hyperlink r:id="rId10" w:history="1">
              <w:r w:rsidRPr="00DB5B7C">
                <w:rPr>
                  <w:rStyle w:val="Hyperlink"/>
                  <w:rFonts w:eastAsia="SimSun"/>
                  <w:sz w:val="22"/>
                  <w:szCs w:val="22"/>
                  <w:u w:val="single"/>
                  <w:lang w:eastAsia="zh-CN"/>
                </w:rPr>
                <w:t>CWG-FHR-16/16</w:t>
              </w:r>
            </w:hyperlink>
            <w:r w:rsidRPr="000A55EC">
              <w:rPr>
                <w:rFonts w:eastAsia="STKaiti"/>
                <w:sz w:val="22"/>
                <w:szCs w:val="22"/>
                <w:lang w:eastAsia="zh-CN"/>
              </w:rPr>
              <w:t>号文件）、亚美尼亚共和国、白俄罗斯共和国、吉尔吉斯共和国、俄罗斯联邦、塔吉克斯坦共和国和乌兹别克斯坦共和国的文稿（</w:t>
            </w:r>
            <w:hyperlink r:id="rId11" w:history="1">
              <w:r w:rsidRPr="00DB5B7C">
                <w:rPr>
                  <w:rStyle w:val="Hyperlink"/>
                  <w:rFonts w:eastAsia="SimSun"/>
                  <w:sz w:val="22"/>
                  <w:szCs w:val="22"/>
                  <w:u w:val="single"/>
                  <w:lang w:eastAsia="zh-CN"/>
                </w:rPr>
                <w:t>CWG-FHR-17/17_Rev1</w:t>
              </w:r>
            </w:hyperlink>
            <w:r>
              <w:rPr>
                <w:rFonts w:eastAsia="STKaiti" w:hint="eastAsia"/>
                <w:sz w:val="22"/>
                <w:szCs w:val="22"/>
                <w:lang w:eastAsia="zh-CN"/>
              </w:rPr>
              <w:t>号文件</w:t>
            </w:r>
            <w:r w:rsidRPr="000A55EC">
              <w:rPr>
                <w:rFonts w:eastAsia="STKaiti"/>
                <w:sz w:val="22"/>
                <w:szCs w:val="22"/>
                <w:lang w:eastAsia="zh-CN"/>
              </w:rPr>
              <w:t>）、</w:t>
            </w:r>
            <w:r w:rsidRPr="000A55EC">
              <w:rPr>
                <w:rFonts w:eastAsia="STKaiti"/>
                <w:sz w:val="22"/>
                <w:szCs w:val="22"/>
                <w:lang w:eastAsia="zh-CN"/>
              </w:rPr>
              <w:t>CWG-FHR</w:t>
            </w:r>
            <w:r w:rsidRPr="000A55EC">
              <w:rPr>
                <w:rFonts w:eastAsia="STKaiti"/>
                <w:sz w:val="22"/>
                <w:szCs w:val="22"/>
                <w:lang w:eastAsia="zh-CN"/>
              </w:rPr>
              <w:t>第十七次会议摘要报告（</w:t>
            </w:r>
            <w:hyperlink r:id="rId12" w:history="1">
              <w:r w:rsidRPr="00DB5B7C">
                <w:rPr>
                  <w:rStyle w:val="Hyperlink"/>
                  <w:rFonts w:eastAsia="SimSun"/>
                  <w:sz w:val="22"/>
                  <w:szCs w:val="22"/>
                  <w:u w:val="single"/>
                  <w:lang w:eastAsia="zh-CN"/>
                </w:rPr>
                <w:t>CWG-FHR-17/24</w:t>
              </w:r>
            </w:hyperlink>
            <w:r w:rsidRPr="00DB5B7C">
              <w:rPr>
                <w:rFonts w:eastAsia="STKaiti" w:hint="eastAsia"/>
                <w:sz w:val="22"/>
                <w:szCs w:val="22"/>
                <w:u w:val="single"/>
                <w:lang w:eastAsia="zh-CN"/>
              </w:rPr>
              <w:t>号</w:t>
            </w:r>
            <w:r>
              <w:rPr>
                <w:rFonts w:eastAsia="STKaiti" w:hint="eastAsia"/>
                <w:sz w:val="22"/>
                <w:szCs w:val="22"/>
                <w:lang w:eastAsia="zh-CN"/>
              </w:rPr>
              <w:t>文件</w:t>
            </w:r>
            <w:r w:rsidRPr="000A55EC">
              <w:rPr>
                <w:rFonts w:eastAsia="STKaiti"/>
                <w:sz w:val="22"/>
                <w:szCs w:val="22"/>
                <w:lang w:eastAsia="zh-CN"/>
              </w:rPr>
              <w:t>）的</w:t>
            </w:r>
            <w:r w:rsidRPr="000A55EC">
              <w:rPr>
                <w:rFonts w:eastAsia="STKaiti"/>
                <w:sz w:val="22"/>
                <w:szCs w:val="22"/>
                <w:lang w:eastAsia="zh-CN"/>
              </w:rPr>
              <w:t>10b</w:t>
            </w:r>
            <w:r w:rsidR="00494B79">
              <w:rPr>
                <w:rFonts w:eastAsia="STKaiti" w:hint="eastAsia"/>
                <w:sz w:val="22"/>
                <w:szCs w:val="22"/>
                <w:lang w:eastAsia="zh-CN"/>
              </w:rPr>
              <w:t>节</w:t>
            </w:r>
          </w:p>
        </w:tc>
      </w:tr>
      <w:bookmarkEnd w:id="2"/>
      <w:bookmarkEnd w:id="6"/>
    </w:tbl>
    <w:p w14:paraId="13FC1DBF"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4A0DF3F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7EC0B6F" w14:textId="007E47CB" w:rsidR="000A55EC" w:rsidRPr="000E5D7D" w:rsidRDefault="00494B79" w:rsidP="002415BD">
      <w:pPr>
        <w:pStyle w:val="Heading1"/>
        <w:rPr>
          <w:sz w:val="26"/>
          <w:szCs w:val="26"/>
          <w:lang w:eastAsia="zh-CN"/>
        </w:rPr>
      </w:pPr>
      <w:r>
        <w:rPr>
          <w:rFonts w:hint="eastAsia"/>
          <w:lang w:val="zh-CN" w:eastAsia="zh-CN"/>
        </w:rPr>
        <w:lastRenderedPageBreak/>
        <w:t>一</w:t>
      </w:r>
      <w:r w:rsidR="0043691D">
        <w:rPr>
          <w:lang w:val="zh-CN" w:eastAsia="zh-CN"/>
        </w:rPr>
        <w:tab/>
      </w:r>
      <w:r>
        <w:rPr>
          <w:rFonts w:hint="eastAsia"/>
          <w:lang w:val="zh-CN" w:eastAsia="zh-CN"/>
        </w:rPr>
        <w:t>引言</w:t>
      </w:r>
    </w:p>
    <w:p w14:paraId="157F940B" w14:textId="61521B63" w:rsidR="000A55EC" w:rsidRPr="000E5D7D" w:rsidRDefault="000A55EC" w:rsidP="002415BD">
      <w:pPr>
        <w:overflowPunct/>
        <w:autoSpaceDE/>
        <w:autoSpaceDN/>
        <w:adjustRightInd/>
        <w:ind w:firstLineChars="200" w:firstLine="480"/>
        <w:textAlignment w:val="auto"/>
        <w:rPr>
          <w:lang w:eastAsia="zh-CN"/>
        </w:rPr>
      </w:pPr>
      <w:r>
        <w:rPr>
          <w:lang w:val="zh-CN" w:eastAsia="zh-CN"/>
        </w:rPr>
        <w:t>国际电信联盟（</w:t>
      </w:r>
      <w:r w:rsidR="00494B79">
        <w:rPr>
          <w:rFonts w:hint="eastAsia"/>
          <w:lang w:val="zh-CN" w:eastAsia="zh-CN"/>
        </w:rPr>
        <w:t>国际电联</w:t>
      </w:r>
      <w:r>
        <w:rPr>
          <w:lang w:val="zh-CN" w:eastAsia="zh-CN"/>
        </w:rPr>
        <w:t>）全权代表大会（</w:t>
      </w:r>
      <w:r>
        <w:rPr>
          <w:lang w:val="zh-CN" w:eastAsia="zh-CN"/>
        </w:rPr>
        <w:t>PP</w:t>
      </w:r>
      <w:r>
        <w:rPr>
          <w:lang w:val="zh-CN" w:eastAsia="zh-CN"/>
        </w:rPr>
        <w:t>）在其第</w:t>
      </w:r>
      <w:r>
        <w:rPr>
          <w:lang w:val="zh-CN" w:eastAsia="zh-CN"/>
        </w:rPr>
        <w:t>162</w:t>
      </w:r>
      <w:r>
        <w:rPr>
          <w:lang w:val="zh-CN" w:eastAsia="zh-CN"/>
        </w:rPr>
        <w:t>号决议</w:t>
      </w:r>
      <w:r w:rsidR="00494B79">
        <w:rPr>
          <w:rFonts w:hint="eastAsia"/>
          <w:lang w:val="zh-CN" w:eastAsia="zh-CN"/>
        </w:rPr>
        <w:t>“</w:t>
      </w:r>
      <w:r>
        <w:rPr>
          <w:lang w:val="zh-CN" w:eastAsia="zh-CN"/>
        </w:rPr>
        <w:t>独立管理顾问委员会</w:t>
      </w:r>
      <w:r w:rsidR="00494B79">
        <w:rPr>
          <w:rFonts w:hint="eastAsia"/>
          <w:lang w:val="zh-CN" w:eastAsia="zh-CN"/>
        </w:rPr>
        <w:t>”</w:t>
      </w:r>
      <w:r>
        <w:rPr>
          <w:lang w:val="zh-CN" w:eastAsia="zh-CN"/>
        </w:rPr>
        <w:t>（</w:t>
      </w:r>
      <w:r>
        <w:rPr>
          <w:lang w:val="zh-CN" w:eastAsia="zh-CN"/>
        </w:rPr>
        <w:t>2022</w:t>
      </w:r>
      <w:r>
        <w:rPr>
          <w:lang w:val="zh-CN" w:eastAsia="zh-CN"/>
        </w:rPr>
        <w:t>年，布加勒斯特，修订版）中重申了对国际电联高效、负责和透明管理的承诺，并决定根据该决议附件所载职责范围持续成立独立管理顾问委员会（</w:t>
      </w:r>
      <w:r>
        <w:rPr>
          <w:lang w:val="zh-CN" w:eastAsia="zh-CN"/>
        </w:rPr>
        <w:t>IMAC</w:t>
      </w:r>
      <w:r>
        <w:rPr>
          <w:lang w:val="zh-CN" w:eastAsia="zh-CN"/>
        </w:rPr>
        <w:t>），并在必要时</w:t>
      </w:r>
      <w:r w:rsidR="00494B79">
        <w:rPr>
          <w:lang w:val="zh-CN" w:eastAsia="zh-CN"/>
        </w:rPr>
        <w:t>审议</w:t>
      </w:r>
      <w:r w:rsidR="00494B79">
        <w:rPr>
          <w:rFonts w:hint="eastAsia"/>
          <w:lang w:val="zh-CN" w:eastAsia="zh-CN"/>
        </w:rPr>
        <w:t>和</w:t>
      </w:r>
      <w:r>
        <w:rPr>
          <w:lang w:val="zh-CN" w:eastAsia="zh-CN"/>
        </w:rPr>
        <w:t>修正其职责范围。</w:t>
      </w:r>
    </w:p>
    <w:p w14:paraId="5A5F20FE"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该决议还责成国际电联理事会在考虑到六个区域公平代表性的情况下，根据</w:t>
      </w:r>
      <w:r>
        <w:rPr>
          <w:lang w:val="zh-CN" w:eastAsia="zh-CN"/>
        </w:rPr>
        <w:t>IMAC</w:t>
      </w:r>
      <w:r>
        <w:rPr>
          <w:lang w:val="zh-CN" w:eastAsia="zh-CN"/>
        </w:rPr>
        <w:t>的职责范围，任命六位独立专家担任委员。</w:t>
      </w:r>
    </w:p>
    <w:p w14:paraId="0E81968E"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根据</w:t>
      </w:r>
      <w:r>
        <w:rPr>
          <w:lang w:val="zh-CN" w:eastAsia="zh-CN"/>
        </w:rPr>
        <w:t>IMAC</w:t>
      </w:r>
      <w:r>
        <w:rPr>
          <w:lang w:val="zh-CN" w:eastAsia="zh-CN"/>
        </w:rPr>
        <w:t>的职责范围，来自同一地理区域的</w:t>
      </w:r>
      <w:r>
        <w:rPr>
          <w:lang w:val="zh-CN" w:eastAsia="zh-CN"/>
        </w:rPr>
        <w:t>IMAC</w:t>
      </w:r>
      <w:r>
        <w:rPr>
          <w:lang w:val="zh-CN" w:eastAsia="zh-CN"/>
        </w:rPr>
        <w:t>委员不得超过一位。</w:t>
      </w:r>
    </w:p>
    <w:p w14:paraId="1C7976BE" w14:textId="66B688BC" w:rsidR="000A55EC" w:rsidRPr="000E5D7D" w:rsidRDefault="000A55EC" w:rsidP="002415BD">
      <w:pPr>
        <w:overflowPunct/>
        <w:autoSpaceDE/>
        <w:autoSpaceDN/>
        <w:adjustRightInd/>
        <w:ind w:firstLineChars="200" w:firstLine="480"/>
        <w:textAlignment w:val="auto"/>
        <w:rPr>
          <w:lang w:eastAsia="zh-CN"/>
        </w:rPr>
      </w:pPr>
      <w:r>
        <w:rPr>
          <w:lang w:val="zh-CN" w:eastAsia="zh-CN"/>
        </w:rPr>
        <w:t>IMAC</w:t>
      </w:r>
      <w:r>
        <w:rPr>
          <w:lang w:val="zh-CN" w:eastAsia="zh-CN"/>
        </w:rPr>
        <w:t>委员的遴选程序载于全权代表大会第</w:t>
      </w:r>
      <w:r>
        <w:rPr>
          <w:lang w:val="zh-CN" w:eastAsia="zh-CN"/>
        </w:rPr>
        <w:t>162</w:t>
      </w:r>
      <w:r>
        <w:rPr>
          <w:lang w:val="zh-CN" w:eastAsia="zh-CN"/>
        </w:rPr>
        <w:t>号决议（</w:t>
      </w:r>
      <w:r>
        <w:rPr>
          <w:lang w:val="zh-CN" w:eastAsia="zh-CN"/>
        </w:rPr>
        <w:t>2022</w:t>
      </w:r>
      <w:r>
        <w:rPr>
          <w:lang w:val="zh-CN" w:eastAsia="zh-CN"/>
        </w:rPr>
        <w:t>年，布加勒斯特，修订版）所含</w:t>
      </w:r>
      <w:r>
        <w:rPr>
          <w:lang w:val="zh-CN" w:eastAsia="zh-CN"/>
        </w:rPr>
        <w:t>IMAC</w:t>
      </w:r>
      <w:r>
        <w:rPr>
          <w:lang w:val="zh-CN" w:eastAsia="zh-CN"/>
        </w:rPr>
        <w:t>职责范围（</w:t>
      </w:r>
      <w:r>
        <w:rPr>
          <w:lang w:val="zh-CN" w:eastAsia="zh-CN"/>
        </w:rPr>
        <w:t>ToR</w:t>
      </w:r>
      <w:r>
        <w:rPr>
          <w:lang w:val="zh-CN" w:eastAsia="zh-CN"/>
        </w:rPr>
        <w:t>）附录</w:t>
      </w:r>
      <w:r>
        <w:rPr>
          <w:lang w:val="zh-CN" w:eastAsia="zh-CN"/>
        </w:rPr>
        <w:t>B</w:t>
      </w:r>
      <w:r>
        <w:rPr>
          <w:lang w:val="zh-CN" w:eastAsia="zh-CN"/>
        </w:rPr>
        <w:t>。遴选过程须由一个遴选小组参与，该小组在公平地域分配的基础上由理事会代表组成。须由分别代表美洲、欧洲、独立国家联合体、非洲、</w:t>
      </w:r>
      <w:r w:rsidR="00494B79" w:rsidRPr="00494B79">
        <w:rPr>
          <w:rFonts w:hint="eastAsia"/>
          <w:lang w:val="zh-CN" w:eastAsia="zh-CN"/>
        </w:rPr>
        <w:t>亚洲</w:t>
      </w:r>
      <w:r w:rsidR="00494B79">
        <w:rPr>
          <w:rFonts w:hint="eastAsia"/>
          <w:lang w:val="zh-CN" w:eastAsia="zh-CN"/>
        </w:rPr>
        <w:t>和</w:t>
      </w:r>
      <w:r w:rsidR="00494B79" w:rsidRPr="00494B79">
        <w:rPr>
          <w:rFonts w:hint="eastAsia"/>
          <w:lang w:val="zh-CN" w:eastAsia="zh-CN"/>
        </w:rPr>
        <w:t>澳大拉西亚</w:t>
      </w:r>
      <w:r>
        <w:rPr>
          <w:lang w:val="zh-CN" w:eastAsia="zh-CN"/>
        </w:rPr>
        <w:t>以及阿拉伯国家的六个国际电联理事国组成的遴选委员会将其建议转呈理事会。独立管理顾问委员会委员须由理事会任命。</w:t>
      </w:r>
    </w:p>
    <w:p w14:paraId="7ACD107D"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全权代表大会第</w:t>
      </w:r>
      <w:r>
        <w:rPr>
          <w:lang w:val="zh-CN" w:eastAsia="zh-CN"/>
        </w:rPr>
        <w:t>162</w:t>
      </w:r>
      <w:r>
        <w:rPr>
          <w:lang w:val="zh-CN" w:eastAsia="zh-CN"/>
        </w:rPr>
        <w:t>号决议（</w:t>
      </w:r>
      <w:r>
        <w:rPr>
          <w:lang w:val="zh-CN" w:eastAsia="zh-CN"/>
        </w:rPr>
        <w:t>2022</w:t>
      </w:r>
      <w:r>
        <w:rPr>
          <w:lang w:val="zh-CN" w:eastAsia="zh-CN"/>
        </w:rPr>
        <w:t>年，布加勒斯特，修订版）还责成国际电联理事会审议</w:t>
      </w:r>
      <w:r>
        <w:rPr>
          <w:lang w:val="zh-CN" w:eastAsia="zh-CN"/>
        </w:rPr>
        <w:t>IMAC</w:t>
      </w:r>
      <w:r>
        <w:rPr>
          <w:lang w:val="zh-CN" w:eastAsia="zh-CN"/>
        </w:rPr>
        <w:t>的年度报告及其建议，并采取适当行动，审查</w:t>
      </w:r>
      <w:r>
        <w:rPr>
          <w:lang w:val="zh-CN" w:eastAsia="zh-CN"/>
        </w:rPr>
        <w:t>IMAC</w:t>
      </w:r>
      <w:r>
        <w:rPr>
          <w:lang w:val="zh-CN" w:eastAsia="zh-CN"/>
        </w:rPr>
        <w:t>建议的落实情况。</w:t>
      </w:r>
    </w:p>
    <w:p w14:paraId="27FE97D4"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如理事会第</w:t>
      </w:r>
      <w:r>
        <w:rPr>
          <w:lang w:val="zh-CN" w:eastAsia="zh-CN"/>
        </w:rPr>
        <w:t>563</w:t>
      </w:r>
      <w:r>
        <w:rPr>
          <w:lang w:val="zh-CN" w:eastAsia="zh-CN"/>
        </w:rPr>
        <w:t>号决定（</w:t>
      </w:r>
      <w:r>
        <w:rPr>
          <w:lang w:val="zh-CN" w:eastAsia="zh-CN"/>
        </w:rPr>
        <w:t>2023</w:t>
      </w:r>
      <w:r>
        <w:rPr>
          <w:lang w:val="zh-CN" w:eastAsia="zh-CN"/>
        </w:rPr>
        <w:t>年修订）所确定，理事会财务和人力资源工作组（</w:t>
      </w:r>
      <w:r>
        <w:rPr>
          <w:lang w:val="zh-CN" w:eastAsia="zh-CN"/>
        </w:rPr>
        <w:t>CWG-FHR</w:t>
      </w:r>
      <w:r>
        <w:rPr>
          <w:lang w:val="zh-CN" w:eastAsia="zh-CN"/>
        </w:rPr>
        <w:t>）的职责范围包括审议和制定供理事会审议的提案，以确保</w:t>
      </w:r>
      <w:r>
        <w:rPr>
          <w:lang w:val="zh-CN" w:eastAsia="zh-CN"/>
        </w:rPr>
        <w:t>IMAC</w:t>
      </w:r>
      <w:r>
        <w:rPr>
          <w:lang w:val="zh-CN" w:eastAsia="zh-CN"/>
        </w:rPr>
        <w:t>影响国际电联财务和人力资源管理的相关建议等得到考虑。</w:t>
      </w:r>
    </w:p>
    <w:p w14:paraId="6D1362C6" w14:textId="0A85E7FE" w:rsidR="000A55EC" w:rsidRPr="000E5D7D" w:rsidRDefault="000A55EC" w:rsidP="002415BD">
      <w:pPr>
        <w:pStyle w:val="Heading1"/>
        <w:rPr>
          <w:sz w:val="26"/>
          <w:szCs w:val="26"/>
          <w:lang w:eastAsia="zh-CN"/>
        </w:rPr>
      </w:pPr>
      <w:r>
        <w:rPr>
          <w:lang w:val="zh-CN" w:eastAsia="zh-CN"/>
        </w:rPr>
        <w:t>二</w:t>
      </w:r>
      <w:r w:rsidR="0043691D">
        <w:rPr>
          <w:lang w:val="zh-CN" w:eastAsia="zh-CN"/>
        </w:rPr>
        <w:tab/>
      </w:r>
      <w:r>
        <w:rPr>
          <w:lang w:val="zh-CN" w:eastAsia="zh-CN"/>
        </w:rPr>
        <w:t>提案的理由</w:t>
      </w:r>
    </w:p>
    <w:p w14:paraId="1BC14011" w14:textId="1A7F8A04" w:rsidR="000A55EC" w:rsidRPr="000E5D7D" w:rsidRDefault="000A55EC" w:rsidP="002415BD">
      <w:pPr>
        <w:overflowPunct/>
        <w:autoSpaceDE/>
        <w:autoSpaceDN/>
        <w:adjustRightInd/>
        <w:ind w:firstLineChars="200" w:firstLine="480"/>
        <w:textAlignment w:val="auto"/>
        <w:rPr>
          <w:lang w:eastAsia="zh-CN"/>
        </w:rPr>
      </w:pPr>
      <w:r>
        <w:rPr>
          <w:lang w:val="zh-CN" w:eastAsia="zh-CN"/>
        </w:rPr>
        <w:t>理事会</w:t>
      </w:r>
      <w:r>
        <w:rPr>
          <w:lang w:val="zh-CN" w:eastAsia="zh-CN"/>
        </w:rPr>
        <w:t>2023</w:t>
      </w:r>
      <w:r>
        <w:rPr>
          <w:lang w:val="zh-CN" w:eastAsia="zh-CN"/>
        </w:rPr>
        <w:t>年会议审议了秘书长关于任命独立管理顾问委员会（</w:t>
      </w:r>
      <w:r>
        <w:rPr>
          <w:lang w:val="zh-CN" w:eastAsia="zh-CN"/>
        </w:rPr>
        <w:t>IMAC</w:t>
      </w:r>
      <w:r>
        <w:rPr>
          <w:lang w:val="zh-CN" w:eastAsia="zh-CN"/>
        </w:rPr>
        <w:t>）委员的报告（</w:t>
      </w:r>
      <w:hyperlink r:id="rId13" w:history="1">
        <w:r w:rsidR="0043691D" w:rsidRPr="000E5D7D">
          <w:rPr>
            <w:color w:val="0563C1"/>
            <w:u w:val="single"/>
            <w:lang w:eastAsia="zh-CN"/>
          </w:rPr>
          <w:t>C23/23</w:t>
        </w:r>
      </w:hyperlink>
      <w:r w:rsidR="0043691D">
        <w:rPr>
          <w:rFonts w:hint="eastAsia"/>
          <w:lang w:val="zh-CN" w:eastAsia="zh-CN"/>
        </w:rPr>
        <w:t>号文件</w:t>
      </w:r>
      <w:r>
        <w:rPr>
          <w:lang w:val="zh-CN" w:eastAsia="zh-CN"/>
        </w:rPr>
        <w:t>）。该文件概述了为确定独立管理顾问委员会委员候选人而进行的遴选程序以及遴选专委会对候选人任命的建议。</w:t>
      </w:r>
      <w:hyperlink r:id="rId14" w:history="1"/>
    </w:p>
    <w:p w14:paraId="5FC382A6"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该文件指出，共收到</w:t>
      </w:r>
      <w:r>
        <w:rPr>
          <w:lang w:val="zh-CN" w:eastAsia="zh-CN"/>
        </w:rPr>
        <w:t>46</w:t>
      </w:r>
      <w:r>
        <w:rPr>
          <w:lang w:val="zh-CN" w:eastAsia="zh-CN"/>
        </w:rPr>
        <w:t>份申请，提供了</w:t>
      </w:r>
      <w:r>
        <w:rPr>
          <w:lang w:val="zh-CN" w:eastAsia="zh-CN"/>
        </w:rPr>
        <w:t>45</w:t>
      </w:r>
      <w:r>
        <w:rPr>
          <w:lang w:val="zh-CN" w:eastAsia="zh-CN"/>
        </w:rPr>
        <w:t>位合格候选人，其中包括有资格连任的三位现任</w:t>
      </w:r>
      <w:r>
        <w:rPr>
          <w:lang w:val="zh-CN" w:eastAsia="zh-CN"/>
        </w:rPr>
        <w:t>IMAC</w:t>
      </w:r>
      <w:r>
        <w:rPr>
          <w:lang w:val="zh-CN" w:eastAsia="zh-CN"/>
        </w:rPr>
        <w:t>委员。</w:t>
      </w:r>
    </w:p>
    <w:p w14:paraId="6A77F62A" w14:textId="77777777" w:rsidR="000A55EC" w:rsidRPr="000E5D7D" w:rsidRDefault="000A55EC" w:rsidP="002415BD">
      <w:pPr>
        <w:overflowPunct/>
        <w:autoSpaceDE/>
        <w:autoSpaceDN/>
        <w:adjustRightInd/>
        <w:ind w:firstLineChars="200" w:firstLine="480"/>
        <w:textAlignment w:val="auto"/>
        <w:rPr>
          <w:lang w:eastAsia="zh-CN"/>
        </w:rPr>
      </w:pPr>
      <w:r>
        <w:rPr>
          <w:lang w:val="zh-CN" w:eastAsia="zh-CN"/>
        </w:rPr>
        <w:t>基于对每位候选人的申请和面试的评估，遴选专委会确定了六位最符合</w:t>
      </w:r>
      <w:r>
        <w:rPr>
          <w:lang w:val="zh-CN" w:eastAsia="zh-CN"/>
        </w:rPr>
        <w:t>IMAC</w:t>
      </w:r>
      <w:r>
        <w:rPr>
          <w:lang w:val="zh-CN" w:eastAsia="zh-CN"/>
        </w:rPr>
        <w:t>职责范围要求的候选人。</w:t>
      </w:r>
    </w:p>
    <w:p w14:paraId="172B9DA0" w14:textId="26FC1F7D" w:rsidR="000A55EC" w:rsidRPr="000E5D7D" w:rsidRDefault="000A55EC" w:rsidP="002415BD">
      <w:pPr>
        <w:overflowPunct/>
        <w:autoSpaceDE/>
        <w:autoSpaceDN/>
        <w:adjustRightInd/>
        <w:ind w:firstLineChars="200" w:firstLine="480"/>
        <w:textAlignment w:val="auto"/>
        <w:rPr>
          <w:lang w:eastAsia="zh-CN"/>
        </w:rPr>
      </w:pPr>
      <w:r>
        <w:rPr>
          <w:lang w:val="zh-CN" w:eastAsia="zh-CN"/>
        </w:rPr>
        <w:t>独联体区域提</w:t>
      </w:r>
      <w:r w:rsidR="0043691D">
        <w:rPr>
          <w:rFonts w:hint="eastAsia"/>
          <w:lang w:val="zh-CN" w:eastAsia="zh-CN"/>
        </w:rPr>
        <w:t>名</w:t>
      </w:r>
      <w:r>
        <w:rPr>
          <w:lang w:val="zh-CN" w:eastAsia="zh-CN"/>
        </w:rPr>
        <w:t>了一</w:t>
      </w:r>
      <w:r w:rsidR="0043691D">
        <w:rPr>
          <w:rFonts w:hint="eastAsia"/>
          <w:lang w:val="zh-CN" w:eastAsia="zh-CN"/>
        </w:rPr>
        <w:t>位</w:t>
      </w:r>
      <w:r>
        <w:rPr>
          <w:lang w:val="zh-CN" w:eastAsia="zh-CN"/>
        </w:rPr>
        <w:t>候选人</w:t>
      </w:r>
      <w:r>
        <w:rPr>
          <w:lang w:val="zh-CN" w:eastAsia="zh-CN"/>
        </w:rPr>
        <w:t xml:space="preserve"> – </w:t>
      </w:r>
      <w:r w:rsidR="0043691D">
        <w:rPr>
          <w:rFonts w:hint="eastAsia"/>
          <w:lang w:val="zh-CN" w:eastAsia="zh-CN"/>
        </w:rPr>
        <w:t>一位</w:t>
      </w:r>
      <w:r>
        <w:rPr>
          <w:lang w:val="zh-CN" w:eastAsia="zh-CN"/>
        </w:rPr>
        <w:t>现任</w:t>
      </w:r>
      <w:r>
        <w:rPr>
          <w:lang w:val="zh-CN" w:eastAsia="zh-CN"/>
        </w:rPr>
        <w:t>IMAC</w:t>
      </w:r>
      <w:r>
        <w:rPr>
          <w:lang w:val="zh-CN" w:eastAsia="zh-CN"/>
        </w:rPr>
        <w:t>委员</w:t>
      </w:r>
      <w:r w:rsidR="0043691D">
        <w:rPr>
          <w:rFonts w:hint="eastAsia"/>
          <w:lang w:val="zh-CN" w:eastAsia="zh-CN"/>
        </w:rPr>
        <w:t>；</w:t>
      </w:r>
      <w:r>
        <w:rPr>
          <w:lang w:val="zh-CN" w:eastAsia="zh-CN"/>
        </w:rPr>
        <w:t>他的候选人资料未包括在向理事会推荐的</w:t>
      </w:r>
      <w:r>
        <w:rPr>
          <w:lang w:val="zh-CN" w:eastAsia="zh-CN"/>
        </w:rPr>
        <w:t>IMAC</w:t>
      </w:r>
      <w:r>
        <w:rPr>
          <w:lang w:val="zh-CN" w:eastAsia="zh-CN"/>
        </w:rPr>
        <w:t>委员候选人名单中。因此，本应由独联体国家代表担任的</w:t>
      </w:r>
      <w:r>
        <w:rPr>
          <w:lang w:val="zh-CN" w:eastAsia="zh-CN"/>
        </w:rPr>
        <w:t>IMAC</w:t>
      </w:r>
      <w:r>
        <w:rPr>
          <w:lang w:val="zh-CN" w:eastAsia="zh-CN"/>
        </w:rPr>
        <w:t>席位出现空缺。作为内部遴选程序的一部分，该</w:t>
      </w:r>
      <w:r w:rsidR="0043691D">
        <w:rPr>
          <w:rFonts w:hint="eastAsia"/>
          <w:lang w:val="zh-CN" w:eastAsia="zh-CN"/>
        </w:rPr>
        <w:t>位置被授予</w:t>
      </w:r>
      <w:r>
        <w:rPr>
          <w:lang w:val="zh-CN" w:eastAsia="zh-CN"/>
        </w:rPr>
        <w:t>了欧洲区域。</w:t>
      </w:r>
    </w:p>
    <w:p w14:paraId="7F4AB9F8" w14:textId="27F02CDC" w:rsidR="000A55EC" w:rsidRPr="000E5D7D" w:rsidRDefault="000A55EC" w:rsidP="002415BD">
      <w:pPr>
        <w:overflowPunct/>
        <w:autoSpaceDE/>
        <w:autoSpaceDN/>
        <w:adjustRightInd/>
        <w:ind w:firstLineChars="200" w:firstLine="480"/>
        <w:textAlignment w:val="auto"/>
        <w:rPr>
          <w:lang w:eastAsia="zh-CN"/>
        </w:rPr>
      </w:pPr>
      <w:r>
        <w:rPr>
          <w:lang w:val="zh-CN" w:eastAsia="zh-CN"/>
        </w:rPr>
        <w:t>因此，根据遴选专委会提交的候选人名单，遴选专委会未能遵守全权代表大会</w:t>
      </w:r>
      <w:r w:rsidR="0043691D">
        <w:rPr>
          <w:lang w:val="zh-CN" w:eastAsia="zh-CN"/>
        </w:rPr>
        <w:t>第</w:t>
      </w:r>
      <w:r w:rsidR="0043691D">
        <w:rPr>
          <w:lang w:val="zh-CN" w:eastAsia="zh-CN"/>
        </w:rPr>
        <w:t>162</w:t>
      </w:r>
      <w:r w:rsidR="0043691D">
        <w:rPr>
          <w:lang w:val="zh-CN" w:eastAsia="zh-CN"/>
        </w:rPr>
        <w:t>号决议（</w:t>
      </w:r>
      <w:r w:rsidR="0043691D">
        <w:rPr>
          <w:lang w:val="zh-CN" w:eastAsia="zh-CN"/>
        </w:rPr>
        <w:t>2022</w:t>
      </w:r>
      <w:r w:rsidR="0043691D">
        <w:rPr>
          <w:lang w:val="zh-CN" w:eastAsia="zh-CN"/>
        </w:rPr>
        <w:t>年，布加勒斯特，修订版）</w:t>
      </w:r>
      <w:r w:rsidR="0043691D">
        <w:rPr>
          <w:rFonts w:hint="eastAsia"/>
          <w:lang w:val="zh-CN" w:eastAsia="zh-CN"/>
        </w:rPr>
        <w:t>中</w:t>
      </w:r>
      <w:r>
        <w:rPr>
          <w:lang w:val="zh-CN" w:eastAsia="zh-CN"/>
        </w:rPr>
        <w:t>需要确保六个区域平等代表性以及</w:t>
      </w:r>
      <w:r>
        <w:rPr>
          <w:lang w:val="zh-CN" w:eastAsia="zh-CN"/>
        </w:rPr>
        <w:t>IMAC</w:t>
      </w:r>
      <w:r>
        <w:rPr>
          <w:lang w:val="zh-CN" w:eastAsia="zh-CN"/>
        </w:rPr>
        <w:t>中来自同一地理区域不</w:t>
      </w:r>
      <w:r w:rsidR="0043691D">
        <w:rPr>
          <w:rFonts w:hint="eastAsia"/>
          <w:lang w:val="zh-CN" w:eastAsia="zh-CN"/>
        </w:rPr>
        <w:t>得</w:t>
      </w:r>
      <w:r>
        <w:rPr>
          <w:lang w:val="zh-CN" w:eastAsia="zh-CN"/>
        </w:rPr>
        <w:t>超过一位委员的规定。</w:t>
      </w:r>
    </w:p>
    <w:p w14:paraId="70CD5DCB" w14:textId="4F4FA7CA" w:rsidR="000A55EC" w:rsidRPr="000E5D7D" w:rsidRDefault="000A55EC" w:rsidP="002415BD">
      <w:pPr>
        <w:overflowPunct/>
        <w:autoSpaceDE/>
        <w:autoSpaceDN/>
        <w:adjustRightInd/>
        <w:ind w:firstLineChars="200" w:firstLine="480"/>
        <w:textAlignment w:val="auto"/>
        <w:rPr>
          <w:lang w:eastAsia="zh-CN"/>
        </w:rPr>
      </w:pPr>
      <w:r>
        <w:rPr>
          <w:lang w:val="zh-CN" w:eastAsia="zh-CN"/>
        </w:rPr>
        <w:t>CWG-FHR</w:t>
      </w:r>
      <w:r>
        <w:rPr>
          <w:lang w:val="zh-CN" w:eastAsia="zh-CN"/>
        </w:rPr>
        <w:t>第</w:t>
      </w:r>
      <w:r>
        <w:rPr>
          <w:lang w:val="zh-CN" w:eastAsia="zh-CN"/>
        </w:rPr>
        <w:t>16</w:t>
      </w:r>
      <w:r>
        <w:rPr>
          <w:lang w:val="zh-CN" w:eastAsia="zh-CN"/>
        </w:rPr>
        <w:t>次会议审议了中华人民共和国、亚美尼亚共和国和俄罗斯联邦提交的</w:t>
      </w:r>
      <w:r w:rsidR="0043691D">
        <w:rPr>
          <w:rFonts w:hint="eastAsia"/>
          <w:lang w:val="zh-CN" w:eastAsia="zh-CN"/>
        </w:rPr>
        <w:t>专题</w:t>
      </w:r>
      <w:r>
        <w:rPr>
          <w:lang w:val="zh-CN" w:eastAsia="zh-CN"/>
        </w:rPr>
        <w:t>文稿（</w:t>
      </w:r>
      <w:hyperlink r:id="rId15" w:history="1">
        <w:r w:rsidR="0043691D" w:rsidRPr="008F1342">
          <w:rPr>
            <w:rStyle w:val="Hyperlink"/>
            <w:rFonts w:eastAsia="SimSun"/>
            <w:u w:val="single"/>
            <w:lang w:eastAsia="zh-CN"/>
          </w:rPr>
          <w:t>CWG-FHR-16/16</w:t>
        </w:r>
      </w:hyperlink>
      <w:r>
        <w:rPr>
          <w:lang w:val="zh-CN" w:eastAsia="zh-CN"/>
        </w:rPr>
        <w:t>号文件），一些国际电联成员国也赞同需要履行第</w:t>
      </w:r>
      <w:r>
        <w:rPr>
          <w:lang w:val="zh-CN" w:eastAsia="zh-CN"/>
        </w:rPr>
        <w:t>162</w:t>
      </w:r>
      <w:r>
        <w:rPr>
          <w:lang w:val="zh-CN" w:eastAsia="zh-CN"/>
        </w:rPr>
        <w:t>号决议的规定。这份多国文稿得到了</w:t>
      </w:r>
      <w:r>
        <w:rPr>
          <w:lang w:val="zh-CN" w:eastAsia="zh-CN"/>
        </w:rPr>
        <w:t>CWG-FHR</w:t>
      </w:r>
      <w:r>
        <w:rPr>
          <w:lang w:val="zh-CN" w:eastAsia="zh-CN"/>
        </w:rPr>
        <w:t>成员的普遍支持</w:t>
      </w:r>
      <w:r w:rsidR="0043691D">
        <w:rPr>
          <w:rFonts w:hint="eastAsia"/>
          <w:lang w:val="zh-CN" w:eastAsia="zh-CN"/>
        </w:rPr>
        <w:t>。</w:t>
      </w:r>
      <w:r>
        <w:rPr>
          <w:lang w:val="zh-CN" w:eastAsia="zh-CN"/>
        </w:rPr>
        <w:t>经过讨论，</w:t>
      </w:r>
      <w:r>
        <w:rPr>
          <w:lang w:val="zh-CN" w:eastAsia="zh-CN"/>
        </w:rPr>
        <w:t>CWG-FHR</w:t>
      </w:r>
      <w:r>
        <w:rPr>
          <w:lang w:val="zh-CN" w:eastAsia="zh-CN"/>
        </w:rPr>
        <w:t>建议开展工作，改进</w:t>
      </w:r>
      <w:r>
        <w:rPr>
          <w:lang w:val="zh-CN" w:eastAsia="zh-CN"/>
        </w:rPr>
        <w:t>IMAC</w:t>
      </w:r>
      <w:r>
        <w:rPr>
          <w:lang w:val="zh-CN" w:eastAsia="zh-CN"/>
        </w:rPr>
        <w:t>遴选专委会用来向理事会通报其遴选方法的报告机制。</w:t>
      </w:r>
      <w:hyperlink r:id="rId16" w:history="1"/>
    </w:p>
    <w:p w14:paraId="11943AF2" w14:textId="50F95D8B" w:rsidR="000A55EC" w:rsidRPr="000E5D7D" w:rsidRDefault="000A55EC" w:rsidP="002415BD">
      <w:pPr>
        <w:overflowPunct/>
        <w:autoSpaceDE/>
        <w:autoSpaceDN/>
        <w:adjustRightInd/>
        <w:ind w:firstLineChars="200" w:firstLine="480"/>
        <w:textAlignment w:val="auto"/>
        <w:rPr>
          <w:lang w:eastAsia="zh-CN"/>
        </w:rPr>
      </w:pPr>
      <w:r>
        <w:rPr>
          <w:lang w:val="zh-CN" w:eastAsia="zh-CN"/>
        </w:rPr>
        <w:t>亚美尼亚共和国、白俄罗斯共和国、吉尔吉斯共和国、俄罗斯联邦、塔吉克斯坦共和国和乌兹别克斯坦共和国向</w:t>
      </w:r>
      <w:r>
        <w:rPr>
          <w:lang w:val="zh-CN" w:eastAsia="zh-CN"/>
        </w:rPr>
        <w:t>CWG-FHR</w:t>
      </w:r>
      <w:r>
        <w:rPr>
          <w:lang w:val="zh-CN" w:eastAsia="zh-CN"/>
        </w:rPr>
        <w:t>下次会议提交了一份多国文稿（</w:t>
      </w:r>
      <w:hyperlink r:id="rId17" w:history="1">
        <w:r w:rsidR="0043691D" w:rsidRPr="008F1342">
          <w:rPr>
            <w:rStyle w:val="Hyperlink"/>
            <w:rFonts w:eastAsia="SimSun"/>
            <w:u w:val="single"/>
            <w:lang w:eastAsia="zh-CN"/>
          </w:rPr>
          <w:t>CWG-FHR-</w:t>
        </w:r>
        <w:r w:rsidR="0043691D" w:rsidRPr="008F1342">
          <w:rPr>
            <w:rStyle w:val="Hyperlink"/>
            <w:rFonts w:eastAsia="SimSun"/>
            <w:u w:val="single"/>
            <w:lang w:eastAsia="zh-CN"/>
          </w:rPr>
          <w:lastRenderedPageBreak/>
          <w:t>17/17</w:t>
        </w:r>
      </w:hyperlink>
      <w:r w:rsidR="0043691D">
        <w:rPr>
          <w:rFonts w:hint="eastAsia"/>
          <w:lang w:val="zh-CN" w:eastAsia="zh-CN"/>
        </w:rPr>
        <w:t>号文件</w:t>
      </w:r>
      <w:r>
        <w:rPr>
          <w:lang w:val="zh-CN" w:eastAsia="zh-CN"/>
        </w:rPr>
        <w:t>），其中提出了关于各区域在</w:t>
      </w:r>
      <w:r>
        <w:rPr>
          <w:lang w:val="zh-CN" w:eastAsia="zh-CN"/>
        </w:rPr>
        <w:t>IMAC</w:t>
      </w:r>
      <w:r>
        <w:rPr>
          <w:lang w:val="zh-CN" w:eastAsia="zh-CN"/>
        </w:rPr>
        <w:t>中平等代表性的具体提案，旨在提高任命</w:t>
      </w:r>
      <w:r>
        <w:rPr>
          <w:lang w:val="zh-CN" w:eastAsia="zh-CN"/>
        </w:rPr>
        <w:t>IMAC</w:t>
      </w:r>
      <w:r>
        <w:rPr>
          <w:lang w:val="zh-CN" w:eastAsia="zh-CN"/>
        </w:rPr>
        <w:t>委员的透明度，并改善各区域在</w:t>
      </w:r>
      <w:r>
        <w:rPr>
          <w:lang w:val="zh-CN" w:eastAsia="zh-CN"/>
        </w:rPr>
        <w:t>IMAC</w:t>
      </w:r>
      <w:r>
        <w:rPr>
          <w:lang w:val="zh-CN" w:eastAsia="zh-CN"/>
        </w:rPr>
        <w:t>中代表平等的状况。</w:t>
      </w:r>
      <w:hyperlink r:id="rId18" w:history="1"/>
    </w:p>
    <w:p w14:paraId="7EA615AD" w14:textId="77777777" w:rsidR="000A55EC" w:rsidRPr="000E5D7D" w:rsidRDefault="000A55EC" w:rsidP="008F1342">
      <w:pPr>
        <w:overflowPunct/>
        <w:autoSpaceDE/>
        <w:autoSpaceDN/>
        <w:adjustRightInd/>
        <w:ind w:firstLineChars="200" w:firstLine="480"/>
        <w:textAlignment w:val="auto"/>
        <w:rPr>
          <w:lang w:eastAsia="zh-CN"/>
        </w:rPr>
      </w:pPr>
      <w:r>
        <w:rPr>
          <w:lang w:val="zh-CN" w:eastAsia="zh-CN"/>
        </w:rPr>
        <w:t>在讨论期间，有人认为，该文稿有一条可以达成共识的前进道路，另一种方法是就</w:t>
      </w:r>
      <w:r>
        <w:rPr>
          <w:lang w:val="zh-CN" w:eastAsia="zh-CN"/>
        </w:rPr>
        <w:t>IMAC</w:t>
      </w:r>
      <w:r>
        <w:rPr>
          <w:lang w:val="zh-CN" w:eastAsia="zh-CN"/>
        </w:rPr>
        <w:t>的职责范围和第</w:t>
      </w:r>
      <w:r>
        <w:rPr>
          <w:lang w:val="zh-CN" w:eastAsia="zh-CN"/>
        </w:rPr>
        <w:t>162</w:t>
      </w:r>
      <w:r>
        <w:rPr>
          <w:lang w:val="zh-CN" w:eastAsia="zh-CN"/>
        </w:rPr>
        <w:t>号决议（</w:t>
      </w:r>
      <w:r>
        <w:rPr>
          <w:lang w:val="zh-CN" w:eastAsia="zh-CN"/>
        </w:rPr>
        <w:t>2022</w:t>
      </w:r>
      <w:r>
        <w:rPr>
          <w:lang w:val="zh-CN" w:eastAsia="zh-CN"/>
        </w:rPr>
        <w:t>年，布加勒斯特，修订版）开展工作，以便在</w:t>
      </w:r>
      <w:r>
        <w:rPr>
          <w:lang w:val="zh-CN" w:eastAsia="zh-CN"/>
        </w:rPr>
        <w:t>2026</w:t>
      </w:r>
      <w:r>
        <w:rPr>
          <w:lang w:val="zh-CN" w:eastAsia="zh-CN"/>
        </w:rPr>
        <w:t>年的下届全权代表大会上进行讨论。</w:t>
      </w:r>
    </w:p>
    <w:p w14:paraId="449A7DCA" w14:textId="62DE9B28" w:rsidR="000A55EC" w:rsidRPr="000E5D7D" w:rsidRDefault="000A55EC" w:rsidP="00954548">
      <w:pPr>
        <w:pStyle w:val="Heading1"/>
        <w:rPr>
          <w:sz w:val="26"/>
          <w:szCs w:val="26"/>
          <w:lang w:eastAsia="zh-CN"/>
        </w:rPr>
      </w:pPr>
      <w:r>
        <w:rPr>
          <w:lang w:val="zh-CN" w:eastAsia="zh-CN"/>
        </w:rPr>
        <w:t>三</w:t>
      </w:r>
      <w:r w:rsidR="0043691D">
        <w:rPr>
          <w:lang w:val="zh-CN" w:eastAsia="zh-CN"/>
        </w:rPr>
        <w:tab/>
      </w:r>
      <w:r w:rsidR="0043691D">
        <w:rPr>
          <w:rFonts w:hint="eastAsia"/>
          <w:lang w:val="zh-CN" w:eastAsia="zh-CN"/>
        </w:rPr>
        <w:t>提案</w:t>
      </w:r>
    </w:p>
    <w:p w14:paraId="75D8969B" w14:textId="77777777" w:rsidR="000A55EC" w:rsidRPr="000E5D7D" w:rsidRDefault="000A55EC" w:rsidP="00954548">
      <w:pPr>
        <w:overflowPunct/>
        <w:autoSpaceDE/>
        <w:autoSpaceDN/>
        <w:adjustRightInd/>
        <w:ind w:firstLineChars="200" w:firstLine="480"/>
        <w:textAlignment w:val="auto"/>
        <w:rPr>
          <w:lang w:eastAsia="zh-CN"/>
        </w:rPr>
      </w:pPr>
      <w:r>
        <w:rPr>
          <w:lang w:val="zh-CN" w:eastAsia="zh-CN"/>
        </w:rPr>
        <w:t>请</w:t>
      </w:r>
      <w:r>
        <w:rPr>
          <w:lang w:val="zh-CN" w:eastAsia="zh-CN"/>
        </w:rPr>
        <w:t>CWG-FHR</w:t>
      </w:r>
      <w:r>
        <w:rPr>
          <w:lang w:val="zh-CN" w:eastAsia="zh-CN"/>
        </w:rPr>
        <w:t>审议以下关于独立管理顾问委员会六个区域平等代表权的提案，供理事会进一步审议。</w:t>
      </w:r>
    </w:p>
    <w:p w14:paraId="1116AB8D" w14:textId="1ED16141" w:rsidR="000A55EC" w:rsidRPr="000E5D7D" w:rsidRDefault="000A55EC" w:rsidP="00954548">
      <w:pPr>
        <w:overflowPunct/>
        <w:autoSpaceDE/>
        <w:autoSpaceDN/>
        <w:adjustRightInd/>
        <w:ind w:firstLineChars="200" w:firstLine="480"/>
        <w:textAlignment w:val="auto"/>
        <w:rPr>
          <w:lang w:eastAsia="zh-CN"/>
        </w:rPr>
      </w:pPr>
      <w:r>
        <w:rPr>
          <w:lang w:val="zh-CN" w:eastAsia="zh-CN"/>
        </w:rPr>
        <w:t>在铭记</w:t>
      </w:r>
      <w:r w:rsidR="0043691D">
        <w:rPr>
          <w:rFonts w:hint="eastAsia"/>
          <w:lang w:val="zh-CN" w:eastAsia="zh-CN"/>
        </w:rPr>
        <w:t>有必要</w:t>
      </w:r>
      <w:r>
        <w:rPr>
          <w:lang w:val="zh-CN" w:eastAsia="zh-CN"/>
        </w:rPr>
        <w:t>确保六个区域在</w:t>
      </w:r>
      <w:r>
        <w:rPr>
          <w:lang w:val="zh-CN" w:eastAsia="zh-CN"/>
        </w:rPr>
        <w:t>IMAC</w:t>
      </w:r>
      <w:r>
        <w:rPr>
          <w:lang w:val="zh-CN" w:eastAsia="zh-CN"/>
        </w:rPr>
        <w:t>中均有平等代表性，以及</w:t>
      </w:r>
      <w:r>
        <w:rPr>
          <w:lang w:val="zh-CN" w:eastAsia="zh-CN"/>
        </w:rPr>
        <w:t>IMAC</w:t>
      </w:r>
      <w:r>
        <w:rPr>
          <w:lang w:val="zh-CN" w:eastAsia="zh-CN"/>
        </w:rPr>
        <w:t>中来自同一地理区域的委员不得超过一位的前提下，将建议：</w:t>
      </w:r>
    </w:p>
    <w:p w14:paraId="2DC001C9" w14:textId="618CBCB3" w:rsidR="000A55EC" w:rsidRPr="000E5D7D" w:rsidRDefault="000A55EC" w:rsidP="00954548">
      <w:pPr>
        <w:pStyle w:val="enumlev1"/>
        <w:rPr>
          <w:lang w:eastAsia="zh-CN"/>
        </w:rPr>
      </w:pPr>
      <w:r>
        <w:rPr>
          <w:lang w:val="zh-CN" w:eastAsia="zh-CN"/>
        </w:rPr>
        <w:t>1</w:t>
      </w:r>
      <w:r w:rsidR="0043691D">
        <w:rPr>
          <w:lang w:val="zh-CN" w:eastAsia="zh-CN"/>
        </w:rPr>
        <w:tab/>
      </w:r>
      <w:r>
        <w:rPr>
          <w:lang w:val="zh-CN" w:eastAsia="zh-CN"/>
        </w:rPr>
        <w:t>遴选专委会在起草向理事会提出的关于最初任命</w:t>
      </w:r>
      <w:r>
        <w:rPr>
          <w:lang w:val="zh-CN" w:eastAsia="zh-CN"/>
        </w:rPr>
        <w:t>IMAC</w:t>
      </w:r>
      <w:r>
        <w:rPr>
          <w:lang w:val="zh-CN" w:eastAsia="zh-CN"/>
        </w:rPr>
        <w:t>委员的建议时，在建议中注明：</w:t>
      </w:r>
    </w:p>
    <w:p w14:paraId="3A115363" w14:textId="1AB7533D" w:rsidR="000A55EC" w:rsidRPr="000E5D7D" w:rsidRDefault="00954548" w:rsidP="00954548">
      <w:pPr>
        <w:pStyle w:val="enumlev2"/>
        <w:rPr>
          <w:lang w:eastAsia="zh-CN"/>
        </w:rPr>
      </w:pPr>
      <w:r>
        <w:rPr>
          <w:lang w:eastAsia="zh-CN"/>
        </w:rPr>
        <w:t>–</w:t>
      </w:r>
      <w:r w:rsidR="0043691D" w:rsidRPr="000E5D7D">
        <w:rPr>
          <w:lang w:eastAsia="zh-CN"/>
        </w:rPr>
        <w:tab/>
      </w:r>
      <w:r w:rsidR="000A55EC">
        <w:rPr>
          <w:lang w:val="zh-CN" w:eastAsia="zh-CN"/>
        </w:rPr>
        <w:t>一份按区域</w:t>
      </w:r>
      <w:r w:rsidR="0043691D">
        <w:rPr>
          <w:rFonts w:hint="eastAsia"/>
          <w:lang w:val="zh-CN" w:eastAsia="zh-CN"/>
        </w:rPr>
        <w:t>列出</w:t>
      </w:r>
      <w:r w:rsidR="000A55EC">
        <w:rPr>
          <w:lang w:val="zh-CN" w:eastAsia="zh-CN"/>
        </w:rPr>
        <w:t>的成功完成遴选程序并推荐任命的候选人名单</w:t>
      </w:r>
      <w:r w:rsidR="0043691D">
        <w:rPr>
          <w:rFonts w:hint="eastAsia"/>
          <w:lang w:val="zh-CN" w:eastAsia="zh-CN"/>
        </w:rPr>
        <w:t>；</w:t>
      </w:r>
    </w:p>
    <w:p w14:paraId="45B8CEDD" w14:textId="6E74ED8D" w:rsidR="000A55EC" w:rsidRPr="000E5D7D" w:rsidRDefault="00954548" w:rsidP="00954548">
      <w:pPr>
        <w:pStyle w:val="enumlev2"/>
        <w:rPr>
          <w:lang w:eastAsia="zh-CN"/>
        </w:rPr>
      </w:pPr>
      <w:r>
        <w:rPr>
          <w:lang w:eastAsia="zh-CN"/>
        </w:rPr>
        <w:t>–</w:t>
      </w:r>
      <w:r w:rsidR="0043691D" w:rsidRPr="000E5D7D">
        <w:rPr>
          <w:lang w:eastAsia="zh-CN"/>
        </w:rPr>
        <w:tab/>
      </w:r>
      <w:r w:rsidR="000A55EC">
        <w:rPr>
          <w:lang w:val="zh-CN" w:eastAsia="zh-CN"/>
        </w:rPr>
        <w:t>未推荐任命候选人的地区，因此职位空缺</w:t>
      </w:r>
      <w:r w:rsidR="0043691D">
        <w:rPr>
          <w:rFonts w:hint="eastAsia"/>
          <w:lang w:val="zh-CN" w:eastAsia="zh-CN"/>
        </w:rPr>
        <w:t>；</w:t>
      </w:r>
    </w:p>
    <w:p w14:paraId="5DE4BC37" w14:textId="62818F59" w:rsidR="000A55EC" w:rsidRPr="000E5D7D" w:rsidRDefault="00954548" w:rsidP="00954548">
      <w:pPr>
        <w:pStyle w:val="enumlev2"/>
        <w:rPr>
          <w:lang w:eastAsia="zh-CN"/>
        </w:rPr>
      </w:pPr>
      <w:r>
        <w:rPr>
          <w:lang w:eastAsia="zh-CN"/>
        </w:rPr>
        <w:t>–</w:t>
      </w:r>
      <w:r w:rsidR="0043691D" w:rsidRPr="000E5D7D">
        <w:rPr>
          <w:lang w:eastAsia="zh-CN"/>
        </w:rPr>
        <w:tab/>
      </w:r>
      <w:r w:rsidR="000A55EC">
        <w:rPr>
          <w:lang w:val="zh-CN" w:eastAsia="zh-CN"/>
        </w:rPr>
        <w:t>一份按区域分列的、成功完成遴选程序并符合任命空缺职位标准的后备候选人名单，</w:t>
      </w:r>
    </w:p>
    <w:p w14:paraId="2B157235" w14:textId="3FA2A7C7" w:rsidR="000A55EC" w:rsidRPr="000E5D7D" w:rsidRDefault="000A55EC" w:rsidP="00954548">
      <w:pPr>
        <w:pStyle w:val="enumlev1"/>
        <w:rPr>
          <w:lang w:eastAsia="zh-CN"/>
        </w:rPr>
      </w:pPr>
      <w:r>
        <w:rPr>
          <w:lang w:val="zh-CN" w:eastAsia="zh-CN"/>
        </w:rPr>
        <w:t>2</w:t>
      </w:r>
      <w:r w:rsidR="0043691D">
        <w:rPr>
          <w:lang w:val="zh-CN" w:eastAsia="zh-CN"/>
        </w:rPr>
        <w:tab/>
      </w:r>
      <w:r>
        <w:rPr>
          <w:lang w:val="zh-CN" w:eastAsia="zh-CN"/>
        </w:rPr>
        <w:t>根据遴选专委会提交的有关符合任命标准的主要和后备候选人的建议，理事会将：</w:t>
      </w:r>
    </w:p>
    <w:p w14:paraId="70CB2821" w14:textId="0792B565" w:rsidR="000A55EC" w:rsidRPr="000E5D7D" w:rsidRDefault="00954548" w:rsidP="00954548">
      <w:pPr>
        <w:pStyle w:val="enumlev2"/>
        <w:rPr>
          <w:lang w:eastAsia="zh-CN"/>
        </w:rPr>
      </w:pPr>
      <w:r>
        <w:rPr>
          <w:lang w:eastAsia="zh-CN"/>
        </w:rPr>
        <w:t>–</w:t>
      </w:r>
      <w:r w:rsidRPr="000E5D7D">
        <w:rPr>
          <w:lang w:eastAsia="zh-CN"/>
        </w:rPr>
        <w:tab/>
      </w:r>
      <w:r w:rsidR="000A55EC">
        <w:rPr>
          <w:lang w:val="zh-CN" w:eastAsia="zh-CN"/>
        </w:rPr>
        <w:t>从每个提交了</w:t>
      </w:r>
      <w:r w:rsidR="000A55EC">
        <w:rPr>
          <w:lang w:val="zh-CN" w:eastAsia="zh-CN"/>
        </w:rPr>
        <w:t>IMAC</w:t>
      </w:r>
      <w:r w:rsidR="000A55EC">
        <w:rPr>
          <w:lang w:val="zh-CN" w:eastAsia="zh-CN"/>
        </w:rPr>
        <w:t>委员候选人资料并成功完成遴选程序的区域中，批准一位推荐的候选人</w:t>
      </w:r>
      <w:r w:rsidR="0043691D">
        <w:rPr>
          <w:rFonts w:hint="eastAsia"/>
          <w:lang w:val="zh-CN" w:eastAsia="zh-CN"/>
        </w:rPr>
        <w:t>；</w:t>
      </w:r>
    </w:p>
    <w:p w14:paraId="3CCF61C4" w14:textId="60D0F4CB" w:rsidR="000A55EC" w:rsidRPr="000E5D7D" w:rsidRDefault="00954548" w:rsidP="00954548">
      <w:pPr>
        <w:pStyle w:val="enumlev2"/>
        <w:rPr>
          <w:lang w:eastAsia="zh-CN"/>
        </w:rPr>
      </w:pPr>
      <w:r>
        <w:rPr>
          <w:lang w:eastAsia="zh-CN"/>
        </w:rPr>
        <w:t>–</w:t>
      </w:r>
      <w:r w:rsidRPr="000E5D7D">
        <w:rPr>
          <w:lang w:eastAsia="zh-CN"/>
        </w:rPr>
        <w:tab/>
      </w:r>
      <w:r w:rsidR="000A55EC">
        <w:rPr>
          <w:lang w:val="zh-CN" w:eastAsia="zh-CN"/>
        </w:rPr>
        <w:t>从后备候选人名单中选出专家，填补其他区域尚未提交候选人或遴选专委会未选定候选人的空缺职位，并批准将其任命为</w:t>
      </w:r>
      <w:r w:rsidR="000A55EC">
        <w:rPr>
          <w:lang w:val="zh-CN" w:eastAsia="zh-CN"/>
        </w:rPr>
        <w:t>IMAC</w:t>
      </w:r>
      <w:r w:rsidR="000A55EC">
        <w:rPr>
          <w:lang w:val="zh-CN" w:eastAsia="zh-CN"/>
        </w:rPr>
        <w:t>的空缺职位。</w:t>
      </w:r>
    </w:p>
    <w:p w14:paraId="21899DF1" w14:textId="3DC986E7" w:rsidR="00E323D0" w:rsidRPr="00E323D0" w:rsidRDefault="00FA2687" w:rsidP="00FA2687">
      <w:pPr>
        <w:jc w:val="center"/>
      </w:pPr>
      <w:r>
        <w:t>______________</w:t>
      </w:r>
    </w:p>
    <w:sectPr w:rsidR="00E323D0" w:rsidRPr="00E323D0" w:rsidSect="00E24D59">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50AD" w14:textId="77777777" w:rsidR="001328B7" w:rsidRDefault="001328B7">
      <w:r>
        <w:separator/>
      </w:r>
    </w:p>
  </w:endnote>
  <w:endnote w:type="continuationSeparator" w:id="0">
    <w:p w14:paraId="72D3A406" w14:textId="77777777" w:rsidR="001328B7" w:rsidRDefault="0013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2022125" w14:textId="77777777" w:rsidTr="00E31DCE">
      <w:trPr>
        <w:jc w:val="center"/>
      </w:trPr>
      <w:tc>
        <w:tcPr>
          <w:tcW w:w="1803" w:type="dxa"/>
          <w:vAlign w:val="center"/>
        </w:tcPr>
        <w:p w14:paraId="2B591C4F" w14:textId="4EF88745" w:rsidR="00E24D59" w:rsidRPr="00E6118E"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E6118E">
            <w:rPr>
              <w:rFonts w:eastAsiaTheme="minorEastAsia" w:hint="eastAsia"/>
              <w:noProof/>
              <w:color w:val="808080" w:themeColor="background1" w:themeShade="80"/>
              <w:lang w:eastAsia="zh-CN"/>
            </w:rPr>
            <w:t xml:space="preserve"> </w:t>
          </w:r>
          <w:r w:rsidR="00E6118E" w:rsidRPr="00E6118E">
            <w:rPr>
              <w:rFonts w:eastAsiaTheme="minorEastAsia"/>
              <w:noProof/>
              <w:color w:val="808080" w:themeColor="background1" w:themeShade="80"/>
              <w:lang w:eastAsia="zh-CN"/>
            </w:rPr>
            <w:t>2600985</w:t>
          </w:r>
        </w:p>
      </w:tc>
      <w:tc>
        <w:tcPr>
          <w:tcW w:w="8261" w:type="dxa"/>
        </w:tcPr>
        <w:p w14:paraId="149FD02E" w14:textId="35AA772E" w:rsidR="00E24D59" w:rsidRPr="00A13406" w:rsidRDefault="00E24D59" w:rsidP="00D24ED4">
          <w:pPr>
            <w:pStyle w:val="Header"/>
            <w:tabs>
              <w:tab w:val="left" w:pos="6589"/>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544B87">
            <w:rPr>
              <w:rFonts w:eastAsiaTheme="minorEastAsia" w:hint="eastAsia"/>
              <w:bCs/>
              <w:color w:val="808080" w:themeColor="background1" w:themeShade="80"/>
              <w:lang w:eastAsia="zh-CN"/>
            </w:rPr>
            <w:t>92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6BE574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6C2CA92" w14:textId="77777777" w:rsidTr="00E31DCE">
      <w:trPr>
        <w:jc w:val="center"/>
      </w:trPr>
      <w:tc>
        <w:tcPr>
          <w:tcW w:w="1803" w:type="dxa"/>
          <w:vAlign w:val="center"/>
        </w:tcPr>
        <w:p w14:paraId="49F1D83D" w14:textId="30320168"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E01666A" w14:textId="6E5C371D" w:rsidR="00E24D59" w:rsidRPr="00A13406" w:rsidRDefault="00E24D59" w:rsidP="00D24ED4">
          <w:pPr>
            <w:pStyle w:val="Header"/>
            <w:tabs>
              <w:tab w:val="left" w:pos="6589"/>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70145F">
            <w:rPr>
              <w:rFonts w:eastAsiaTheme="minorEastAsia" w:hint="eastAsia"/>
              <w:bCs/>
              <w:color w:val="808080" w:themeColor="background1" w:themeShade="80"/>
              <w:lang w:eastAsia="zh-CN"/>
            </w:rPr>
            <w:t>92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29E2299E"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DCA1" w14:textId="77777777" w:rsidR="001328B7" w:rsidRDefault="001328B7">
      <w:r>
        <w:t>____________________</w:t>
      </w:r>
    </w:p>
  </w:footnote>
  <w:footnote w:type="continuationSeparator" w:id="0">
    <w:p w14:paraId="1E816722" w14:textId="77777777" w:rsidR="001328B7" w:rsidRDefault="001328B7">
      <w:r>
        <w:continuationSeparator/>
      </w:r>
    </w:p>
  </w:footnote>
  <w:footnote w:id="1">
    <w:p w14:paraId="4C9AD9F9" w14:textId="0BE011AE" w:rsidR="000A55EC" w:rsidRPr="00051310" w:rsidRDefault="000A55EC" w:rsidP="000A55EC">
      <w:pPr>
        <w:spacing w:before="60"/>
        <w:ind w:left="284" w:hanging="284"/>
        <w:rPr>
          <w:lang w:eastAsia="zh-CN"/>
        </w:rPr>
      </w:pPr>
      <w:r w:rsidRPr="000E5D7D">
        <w:rPr>
          <w:rStyle w:val="FootnoteReference"/>
          <w:lang w:val="zh-CN"/>
        </w:rPr>
        <w:footnoteRef/>
      </w:r>
      <w:r>
        <w:rPr>
          <w:lang w:val="zh-CN" w:eastAsia="zh-CN"/>
        </w:rPr>
        <w:tab/>
      </w:r>
      <w:r w:rsidRPr="00F747BB">
        <w:rPr>
          <w:sz w:val="20"/>
          <w:lang w:val="zh-CN" w:eastAsia="zh-CN"/>
        </w:rPr>
        <w:t>本文稿是根据中华人民共和国、亚美尼亚共和国、白俄罗斯、哈萨克斯坦和俄罗斯联邦提交的</w:t>
      </w:r>
      <w:r w:rsidRPr="00F747BB">
        <w:rPr>
          <w:sz w:val="20"/>
          <w:lang w:val="zh-CN" w:eastAsia="zh-CN"/>
        </w:rPr>
        <w:t>CWG-FHR-16/16</w:t>
      </w:r>
      <w:r w:rsidRPr="00F747BB">
        <w:rPr>
          <w:sz w:val="20"/>
          <w:lang w:val="zh-CN" w:eastAsia="zh-CN"/>
        </w:rPr>
        <w:t>号文件</w:t>
      </w:r>
      <w:r w:rsidR="004B5656" w:rsidRPr="00F747BB">
        <w:rPr>
          <w:rFonts w:hint="eastAsia"/>
          <w:sz w:val="20"/>
          <w:lang w:val="zh-CN" w:eastAsia="zh-CN"/>
        </w:rPr>
        <w:t>起草</w:t>
      </w:r>
      <w:r w:rsidRPr="00F747BB">
        <w:rPr>
          <w:sz w:val="20"/>
          <w:lang w:val="zh-CN" w:eastAsia="zh-CN"/>
        </w:rPr>
        <w:t>的</w:t>
      </w:r>
      <w:r w:rsidR="00494B79" w:rsidRPr="00F747BB">
        <w:rPr>
          <w:rFonts w:hint="eastAsia"/>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117A" w14:textId="77777777" w:rsidR="00E24D59" w:rsidRPr="00602842" w:rsidRDefault="00602842" w:rsidP="00602842">
    <w:pPr>
      <w:pStyle w:val="Header"/>
    </w:pPr>
    <w:r>
      <w:rPr>
        <w:noProof/>
      </w:rPr>
      <w:drawing>
        <wp:inline distT="0" distB="0" distL="0" distR="0" wp14:anchorId="468E405B" wp14:editId="5A47BE52">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8"/>
    <w:rsid w:val="00001B77"/>
    <w:rsid w:val="0000517A"/>
    <w:rsid w:val="0000538F"/>
    <w:rsid w:val="00031E72"/>
    <w:rsid w:val="000404D2"/>
    <w:rsid w:val="000646BD"/>
    <w:rsid w:val="000853C0"/>
    <w:rsid w:val="00093DD9"/>
    <w:rsid w:val="0009409E"/>
    <w:rsid w:val="000A1C21"/>
    <w:rsid w:val="000A55EC"/>
    <w:rsid w:val="000C0BC5"/>
    <w:rsid w:val="000D15EA"/>
    <w:rsid w:val="000D1D36"/>
    <w:rsid w:val="000D7012"/>
    <w:rsid w:val="000E0C52"/>
    <w:rsid w:val="00100D84"/>
    <w:rsid w:val="00103680"/>
    <w:rsid w:val="00124C9D"/>
    <w:rsid w:val="001305DE"/>
    <w:rsid w:val="001328B7"/>
    <w:rsid w:val="00141C10"/>
    <w:rsid w:val="0015333E"/>
    <w:rsid w:val="00157773"/>
    <w:rsid w:val="00165179"/>
    <w:rsid w:val="0018251A"/>
    <w:rsid w:val="00190272"/>
    <w:rsid w:val="00193244"/>
    <w:rsid w:val="00195C6C"/>
    <w:rsid w:val="00195FED"/>
    <w:rsid w:val="001A4BD6"/>
    <w:rsid w:val="001B6E2B"/>
    <w:rsid w:val="001C3832"/>
    <w:rsid w:val="001D5A18"/>
    <w:rsid w:val="00215132"/>
    <w:rsid w:val="00220C45"/>
    <w:rsid w:val="00224449"/>
    <w:rsid w:val="002415BD"/>
    <w:rsid w:val="00277DEA"/>
    <w:rsid w:val="00280EB8"/>
    <w:rsid w:val="002916B4"/>
    <w:rsid w:val="002A1D39"/>
    <w:rsid w:val="002A6670"/>
    <w:rsid w:val="002C3F32"/>
    <w:rsid w:val="002E3B23"/>
    <w:rsid w:val="00303502"/>
    <w:rsid w:val="0030377B"/>
    <w:rsid w:val="00317457"/>
    <w:rsid w:val="00325C25"/>
    <w:rsid w:val="00372C8F"/>
    <w:rsid w:val="00380ECE"/>
    <w:rsid w:val="00384EFB"/>
    <w:rsid w:val="00393DDF"/>
    <w:rsid w:val="00397F55"/>
    <w:rsid w:val="003B4454"/>
    <w:rsid w:val="003C2724"/>
    <w:rsid w:val="003C2E37"/>
    <w:rsid w:val="003E30B6"/>
    <w:rsid w:val="003F086E"/>
    <w:rsid w:val="003F1415"/>
    <w:rsid w:val="0040144C"/>
    <w:rsid w:val="00403EB7"/>
    <w:rsid w:val="004141A8"/>
    <w:rsid w:val="004178E6"/>
    <w:rsid w:val="00430BF0"/>
    <w:rsid w:val="004333C0"/>
    <w:rsid w:val="0043691D"/>
    <w:rsid w:val="00465C35"/>
    <w:rsid w:val="004672E6"/>
    <w:rsid w:val="00474ED1"/>
    <w:rsid w:val="00477D57"/>
    <w:rsid w:val="00491BA9"/>
    <w:rsid w:val="00493085"/>
    <w:rsid w:val="00494B79"/>
    <w:rsid w:val="004A36EC"/>
    <w:rsid w:val="004B5656"/>
    <w:rsid w:val="004D163F"/>
    <w:rsid w:val="004E4BFF"/>
    <w:rsid w:val="004F2598"/>
    <w:rsid w:val="005403F7"/>
    <w:rsid w:val="00540632"/>
    <w:rsid w:val="00541CF4"/>
    <w:rsid w:val="00544B87"/>
    <w:rsid w:val="005451E8"/>
    <w:rsid w:val="005507F2"/>
    <w:rsid w:val="00555C29"/>
    <w:rsid w:val="0057116E"/>
    <w:rsid w:val="005759CC"/>
    <w:rsid w:val="00576C08"/>
    <w:rsid w:val="00590100"/>
    <w:rsid w:val="005A6525"/>
    <w:rsid w:val="005A72E1"/>
    <w:rsid w:val="005C6632"/>
    <w:rsid w:val="005D1C9E"/>
    <w:rsid w:val="00602842"/>
    <w:rsid w:val="00630DD5"/>
    <w:rsid w:val="00637584"/>
    <w:rsid w:val="00637839"/>
    <w:rsid w:val="006509F3"/>
    <w:rsid w:val="00654257"/>
    <w:rsid w:val="0065435A"/>
    <w:rsid w:val="00662FE1"/>
    <w:rsid w:val="00670D8A"/>
    <w:rsid w:val="0069473D"/>
    <w:rsid w:val="006A28DC"/>
    <w:rsid w:val="006A2DD3"/>
    <w:rsid w:val="006A5113"/>
    <w:rsid w:val="006A5AF8"/>
    <w:rsid w:val="006B0E48"/>
    <w:rsid w:val="006C36CD"/>
    <w:rsid w:val="006E1223"/>
    <w:rsid w:val="006F19DF"/>
    <w:rsid w:val="00700D1F"/>
    <w:rsid w:val="0070145F"/>
    <w:rsid w:val="007205CB"/>
    <w:rsid w:val="0072138B"/>
    <w:rsid w:val="00726073"/>
    <w:rsid w:val="00734FE8"/>
    <w:rsid w:val="007360CE"/>
    <w:rsid w:val="0077110E"/>
    <w:rsid w:val="00772315"/>
    <w:rsid w:val="00775157"/>
    <w:rsid w:val="007813AE"/>
    <w:rsid w:val="007A37DB"/>
    <w:rsid w:val="007B4782"/>
    <w:rsid w:val="007C0FC5"/>
    <w:rsid w:val="007D4278"/>
    <w:rsid w:val="007E189D"/>
    <w:rsid w:val="007F0210"/>
    <w:rsid w:val="00801F42"/>
    <w:rsid w:val="00806E3F"/>
    <w:rsid w:val="00811259"/>
    <w:rsid w:val="00813AA2"/>
    <w:rsid w:val="008173A3"/>
    <w:rsid w:val="008418F5"/>
    <w:rsid w:val="008447BA"/>
    <w:rsid w:val="0084546D"/>
    <w:rsid w:val="0086059C"/>
    <w:rsid w:val="00864589"/>
    <w:rsid w:val="00874C82"/>
    <w:rsid w:val="00890AFB"/>
    <w:rsid w:val="00890FC4"/>
    <w:rsid w:val="00895905"/>
    <w:rsid w:val="008A0067"/>
    <w:rsid w:val="008F1342"/>
    <w:rsid w:val="008F64AD"/>
    <w:rsid w:val="00911230"/>
    <w:rsid w:val="00911867"/>
    <w:rsid w:val="009164A9"/>
    <w:rsid w:val="009258CB"/>
    <w:rsid w:val="0093362E"/>
    <w:rsid w:val="00940B75"/>
    <w:rsid w:val="00943381"/>
    <w:rsid w:val="00944563"/>
    <w:rsid w:val="00953160"/>
    <w:rsid w:val="00954548"/>
    <w:rsid w:val="009625D8"/>
    <w:rsid w:val="00967ED4"/>
    <w:rsid w:val="00983878"/>
    <w:rsid w:val="0098459B"/>
    <w:rsid w:val="00997185"/>
    <w:rsid w:val="009A1242"/>
    <w:rsid w:val="009A3456"/>
    <w:rsid w:val="009A76A8"/>
    <w:rsid w:val="009C2458"/>
    <w:rsid w:val="009C4A7B"/>
    <w:rsid w:val="009C6123"/>
    <w:rsid w:val="009F1E3E"/>
    <w:rsid w:val="009F29E4"/>
    <w:rsid w:val="009F2A42"/>
    <w:rsid w:val="00A01F4F"/>
    <w:rsid w:val="00A109AF"/>
    <w:rsid w:val="00A1213C"/>
    <w:rsid w:val="00A13406"/>
    <w:rsid w:val="00A272FF"/>
    <w:rsid w:val="00A42BBD"/>
    <w:rsid w:val="00A43CE2"/>
    <w:rsid w:val="00A5354B"/>
    <w:rsid w:val="00A7025A"/>
    <w:rsid w:val="00A71B57"/>
    <w:rsid w:val="00AA26EF"/>
    <w:rsid w:val="00AA2E08"/>
    <w:rsid w:val="00AA5BDA"/>
    <w:rsid w:val="00AB42C1"/>
    <w:rsid w:val="00AC2A7A"/>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E62A6"/>
    <w:rsid w:val="00BF416B"/>
    <w:rsid w:val="00C04C4C"/>
    <w:rsid w:val="00C0599D"/>
    <w:rsid w:val="00C24DAC"/>
    <w:rsid w:val="00C45EB2"/>
    <w:rsid w:val="00C63BAC"/>
    <w:rsid w:val="00C64E4E"/>
    <w:rsid w:val="00C66E64"/>
    <w:rsid w:val="00C761A0"/>
    <w:rsid w:val="00C85F7E"/>
    <w:rsid w:val="00C90D53"/>
    <w:rsid w:val="00CA0B2E"/>
    <w:rsid w:val="00CA260A"/>
    <w:rsid w:val="00CA6EF7"/>
    <w:rsid w:val="00CD2E2E"/>
    <w:rsid w:val="00CD47F0"/>
    <w:rsid w:val="00CD5566"/>
    <w:rsid w:val="00CD64D7"/>
    <w:rsid w:val="00CE0947"/>
    <w:rsid w:val="00CE6F22"/>
    <w:rsid w:val="00CF41F6"/>
    <w:rsid w:val="00CF7D3E"/>
    <w:rsid w:val="00D02B4E"/>
    <w:rsid w:val="00D1410C"/>
    <w:rsid w:val="00D21F11"/>
    <w:rsid w:val="00D24ED4"/>
    <w:rsid w:val="00D36817"/>
    <w:rsid w:val="00D453EE"/>
    <w:rsid w:val="00D5666C"/>
    <w:rsid w:val="00D666BC"/>
    <w:rsid w:val="00D81B27"/>
    <w:rsid w:val="00D83542"/>
    <w:rsid w:val="00D87C3A"/>
    <w:rsid w:val="00D92F45"/>
    <w:rsid w:val="00D94637"/>
    <w:rsid w:val="00D9725C"/>
    <w:rsid w:val="00DA0E66"/>
    <w:rsid w:val="00DA2D30"/>
    <w:rsid w:val="00DA7006"/>
    <w:rsid w:val="00DB3621"/>
    <w:rsid w:val="00DB5B7C"/>
    <w:rsid w:val="00DC6427"/>
    <w:rsid w:val="00DD62F5"/>
    <w:rsid w:val="00DD66A1"/>
    <w:rsid w:val="00DE196D"/>
    <w:rsid w:val="00DF6B49"/>
    <w:rsid w:val="00E067C5"/>
    <w:rsid w:val="00E24D59"/>
    <w:rsid w:val="00E265BF"/>
    <w:rsid w:val="00E323D0"/>
    <w:rsid w:val="00E34C96"/>
    <w:rsid w:val="00E378D8"/>
    <w:rsid w:val="00E43A12"/>
    <w:rsid w:val="00E45907"/>
    <w:rsid w:val="00E6118E"/>
    <w:rsid w:val="00E67C67"/>
    <w:rsid w:val="00E77476"/>
    <w:rsid w:val="00E8228B"/>
    <w:rsid w:val="00E86F1A"/>
    <w:rsid w:val="00E9332E"/>
    <w:rsid w:val="00EC117C"/>
    <w:rsid w:val="00EE5706"/>
    <w:rsid w:val="00EF373D"/>
    <w:rsid w:val="00F11595"/>
    <w:rsid w:val="00F12CB3"/>
    <w:rsid w:val="00F13BC9"/>
    <w:rsid w:val="00F357B2"/>
    <w:rsid w:val="00F36556"/>
    <w:rsid w:val="00F6736A"/>
    <w:rsid w:val="00F705DF"/>
    <w:rsid w:val="00F70622"/>
    <w:rsid w:val="00F747BB"/>
    <w:rsid w:val="00F85624"/>
    <w:rsid w:val="00F87C05"/>
    <w:rsid w:val="00F93191"/>
    <w:rsid w:val="00F93A17"/>
    <w:rsid w:val="00FA268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8762"/>
  <w15:docId w15:val="{F0FF993C-DE30-44CE-8900-E93D802B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enumlev1Char">
    <w:name w:val="enumlev1 Char"/>
    <w:basedOn w:val="DefaultParagraphFont"/>
    <w:link w:val="enumlev1"/>
    <w:locked/>
    <w:rsid w:val="006F19DF"/>
    <w:rPr>
      <w:rFonts w:ascii="Calibri" w:hAnsi="Calibri"/>
      <w:sz w:val="24"/>
      <w:lang w:val="en-GB" w:eastAsia="en-US"/>
    </w:rPr>
  </w:style>
  <w:style w:type="character" w:customStyle="1" w:styleId="RestitleChar">
    <w:name w:val="Res_title Char"/>
    <w:basedOn w:val="DefaultParagraphFont"/>
    <w:link w:val="Restitle"/>
    <w:locked/>
    <w:rsid w:val="006F19DF"/>
    <w:rPr>
      <w:rFonts w:ascii="Calibri" w:hAnsi="Calibri"/>
      <w:b/>
      <w:sz w:val="28"/>
      <w:lang w:val="en-GB" w:eastAsia="en-US"/>
    </w:rPr>
  </w:style>
  <w:style w:type="character" w:customStyle="1" w:styleId="ResNoChar">
    <w:name w:val="Res_No Char"/>
    <w:basedOn w:val="DefaultParagraphFont"/>
    <w:link w:val="ResNo"/>
    <w:rsid w:val="006F19DF"/>
    <w:rPr>
      <w:rFonts w:ascii="Calibri" w:hAnsi="Calibri"/>
      <w:caps/>
      <w:sz w:val="28"/>
      <w:lang w:val="en-GB" w:eastAsia="en-US"/>
    </w:rPr>
  </w:style>
  <w:style w:type="character" w:customStyle="1" w:styleId="href">
    <w:name w:val="href"/>
    <w:basedOn w:val="DefaultParagraphFont"/>
    <w:qFormat/>
    <w:rsid w:val="006F19DF"/>
    <w:rPr>
      <w:rFonts w:ascii="Calibri" w:hAnsi="Calibri"/>
      <w:color w:val="auto"/>
    </w:rPr>
  </w:style>
  <w:style w:type="character" w:customStyle="1" w:styleId="Italic">
    <w:name w:val="Italic"/>
    <w:rsid w:val="006F19DF"/>
    <w:rPr>
      <w:rFonts w:ascii="STKaiti" w:hAnsi="STKaiti"/>
      <w:i/>
      <w:lang w:eastAsia="en-US"/>
    </w:rPr>
  </w:style>
  <w:style w:type="character" w:customStyle="1" w:styleId="ItalicEnglish">
    <w:name w:val="Italic_English"/>
    <w:rsid w:val="006F19DF"/>
    <w:rPr>
      <w:i/>
      <w:lang w:eastAsia="en-US"/>
    </w:rPr>
  </w:style>
  <w:style w:type="paragraph" w:styleId="Revision">
    <w:name w:val="Revision"/>
    <w:hidden/>
    <w:uiPriority w:val="99"/>
    <w:semiHidden/>
    <w:rsid w:val="006F19D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897663623">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516069877">
      <w:bodyDiv w:val="1"/>
      <w:marLeft w:val="0"/>
      <w:marRight w:val="0"/>
      <w:marTop w:val="0"/>
      <w:marBottom w:val="0"/>
      <w:divBdr>
        <w:top w:val="none" w:sz="0" w:space="0" w:color="auto"/>
        <w:left w:val="none" w:sz="0" w:space="0" w:color="auto"/>
        <w:bottom w:val="none" w:sz="0" w:space="0" w:color="auto"/>
        <w:right w:val="none" w:sz="0" w:space="0" w:color="auto"/>
      </w:divBdr>
    </w:div>
    <w:div w:id="152674872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C.pdf" TargetMode="External"/><Relationship Id="rId13" Type="http://schemas.openxmlformats.org/officeDocument/2006/relationships/hyperlink" Target="https://www.itu.int/md/S23-CL-C-0023/en" TargetMode="External"/><Relationship Id="rId18" Type="http://schemas.openxmlformats.org/officeDocument/2006/relationships/hyperlink" Target="https://www.itu.int/md/S24-CWGFHR17-C-0017/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WGFHR17-C-0024/en" TargetMode="External"/><Relationship Id="rId17" Type="http://schemas.openxmlformats.org/officeDocument/2006/relationships/hyperlink" Target="https://www.itu.int/md/S24-CWGFHR17-C-0017/en" TargetMode="External"/><Relationship Id="rId2" Type="http://schemas.openxmlformats.org/officeDocument/2006/relationships/numbering" Target="numbering.xml"/><Relationship Id="rId16" Type="http://schemas.openxmlformats.org/officeDocument/2006/relationships/hyperlink" Target="https://www.itu.int/md/S23-CWGFHR16-C-0016/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WGFHR17-C-0017/en" TargetMode="External"/><Relationship Id="rId5" Type="http://schemas.openxmlformats.org/officeDocument/2006/relationships/webSettings" Target="webSettings.xml"/><Relationship Id="rId15" Type="http://schemas.openxmlformats.org/officeDocument/2006/relationships/hyperlink" Target="https://www.itu.int/md/S23-CWGFHR16-C-0016/en" TargetMode="External"/><Relationship Id="rId23" Type="http://schemas.openxmlformats.org/officeDocument/2006/relationships/theme" Target="theme/theme1.xml"/><Relationship Id="rId10" Type="http://schemas.openxmlformats.org/officeDocument/2006/relationships/hyperlink" Target="https://www.itu.int/md/S23-CWGFHR16-C-0016/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3-CL-C-0023/en" TargetMode="External"/><Relationship Id="rId14" Type="http://schemas.openxmlformats.org/officeDocument/2006/relationships/hyperlink" Target="https://www.itu.int/md/S23-CL-C-0023/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2035</Words>
  <Characters>2361</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Draft revision of Resolution 154 of the Plenipotentiary Conference</vt:lpstr>
    </vt:vector>
  </TitlesOfParts>
  <Manager>General Secretariat - Pool</Manager>
  <Company>International Telecommunication Union (ITU)</Company>
  <LinksUpToDate>false</LinksUpToDate>
  <CharactersWithSpaces>2376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Resolution 154 of the Plenipotentiary Conference</dc:title>
  <dc:subject>ITU Council 2026</dc:subject>
  <dc:creator>Tao, Yingsheng</dc:creator>
  <cp:keywords>C26; C2026; Council 2026; PP26</cp:keywords>
  <dc:description/>
  <cp:lastModifiedBy>GBS</cp:lastModifiedBy>
  <cp:revision>3</cp:revision>
  <cp:lastPrinted>2015-02-24T13:23:00Z</cp:lastPrinted>
  <dcterms:created xsi:type="dcterms:W3CDTF">2026-04-29T18:20:00Z</dcterms:created>
  <dcterms:modified xsi:type="dcterms:W3CDTF">2026-04-30T18:36:00Z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