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B6FD8" w14:paraId="29C3C438" w14:textId="77777777" w:rsidTr="00C4421B">
        <w:trPr>
          <w:cantSplit/>
          <w:trHeight w:val="23"/>
        </w:trPr>
        <w:tc>
          <w:tcPr>
            <w:tcW w:w="3969" w:type="dxa"/>
            <w:vMerge w:val="restart"/>
            <w:tcMar>
              <w:left w:w="0" w:type="dxa"/>
            </w:tcMar>
          </w:tcPr>
          <w:p w14:paraId="7BF9B9B5" w14:textId="5B6CE464" w:rsidR="00FE57F6" w:rsidRPr="00075923" w:rsidRDefault="00CC1FAF" w:rsidP="00C4421B">
            <w:pPr>
              <w:tabs>
                <w:tab w:val="left" w:pos="851"/>
              </w:tabs>
              <w:spacing w:before="0" w:line="240" w:lineRule="atLeast"/>
              <w:rPr>
                <w:b/>
                <w:lang w:val="es-ES"/>
              </w:rPr>
            </w:pPr>
            <w:bookmarkStart w:id="0" w:name="_Hlk133421839"/>
            <w:r w:rsidRPr="00075923">
              <w:rPr>
                <w:b/>
                <w:lang w:val="es-ES"/>
              </w:rPr>
              <w:t>Punto del o</w:t>
            </w:r>
            <w:r w:rsidR="00BB6FD8" w:rsidRPr="00075923">
              <w:rPr>
                <w:b/>
                <w:lang w:val="es-ES"/>
              </w:rPr>
              <w:t>rden del día</w:t>
            </w:r>
            <w:r w:rsidR="00FE57F6" w:rsidRPr="00075923">
              <w:rPr>
                <w:b/>
                <w:lang w:val="es-ES"/>
              </w:rPr>
              <w:t xml:space="preserve">: </w:t>
            </w:r>
            <w:r w:rsidR="00693BB2">
              <w:rPr>
                <w:b/>
                <w:lang w:val="es-ES"/>
              </w:rPr>
              <w:t>ADM 1</w:t>
            </w:r>
          </w:p>
        </w:tc>
        <w:tc>
          <w:tcPr>
            <w:tcW w:w="5245" w:type="dxa"/>
          </w:tcPr>
          <w:p w14:paraId="365659E7" w14:textId="1AF11DAD" w:rsidR="00FE57F6" w:rsidRPr="00BB6FD8" w:rsidRDefault="00FE57F6" w:rsidP="00C4421B">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F85E5C">
              <w:rPr>
                <w:b/>
              </w:rPr>
              <w:t>6</w:t>
            </w:r>
            <w:r w:rsidRPr="00BB6FD8">
              <w:rPr>
                <w:b/>
              </w:rPr>
              <w:t>/</w:t>
            </w:r>
            <w:r w:rsidR="00075923">
              <w:rPr>
                <w:b/>
              </w:rPr>
              <w:t>91</w:t>
            </w:r>
            <w:r w:rsidRPr="00BB6FD8">
              <w:rPr>
                <w:b/>
              </w:rPr>
              <w:t>-</w:t>
            </w:r>
            <w:r w:rsidR="00F24B71" w:rsidRPr="00BB6FD8">
              <w:rPr>
                <w:b/>
              </w:rPr>
              <w:t>S</w:t>
            </w:r>
          </w:p>
        </w:tc>
      </w:tr>
      <w:tr w:rsidR="00FE57F6" w:rsidRPr="00666D09" w14:paraId="02E21447" w14:textId="77777777" w:rsidTr="00C4421B">
        <w:trPr>
          <w:cantSplit/>
        </w:trPr>
        <w:tc>
          <w:tcPr>
            <w:tcW w:w="3969" w:type="dxa"/>
            <w:vMerge/>
          </w:tcPr>
          <w:p w14:paraId="564B4EE4" w14:textId="77777777" w:rsidR="00FE57F6" w:rsidRPr="00BB6FD8" w:rsidRDefault="00FE57F6" w:rsidP="00C4421B">
            <w:pPr>
              <w:tabs>
                <w:tab w:val="left" w:pos="851"/>
              </w:tabs>
              <w:spacing w:line="240" w:lineRule="atLeast"/>
              <w:rPr>
                <w:b/>
              </w:rPr>
            </w:pPr>
          </w:p>
        </w:tc>
        <w:tc>
          <w:tcPr>
            <w:tcW w:w="5245" w:type="dxa"/>
          </w:tcPr>
          <w:p w14:paraId="221E63A9" w14:textId="31F28C22" w:rsidR="00FE57F6" w:rsidRPr="00666D09" w:rsidRDefault="00075923" w:rsidP="00C4421B">
            <w:pPr>
              <w:tabs>
                <w:tab w:val="left" w:pos="851"/>
              </w:tabs>
              <w:spacing w:before="0"/>
              <w:jc w:val="right"/>
              <w:rPr>
                <w:b/>
                <w:lang w:val="en-GB"/>
              </w:rPr>
            </w:pPr>
            <w:r>
              <w:rPr>
                <w:b/>
                <w:lang w:val="es-ES"/>
              </w:rPr>
              <w:t>14 de abril de 2026</w:t>
            </w:r>
          </w:p>
        </w:tc>
      </w:tr>
      <w:tr w:rsidR="00FE57F6" w:rsidRPr="00BB6FD8" w14:paraId="7FDC2C95" w14:textId="77777777" w:rsidTr="00C4421B">
        <w:trPr>
          <w:cantSplit/>
          <w:trHeight w:val="23"/>
        </w:trPr>
        <w:tc>
          <w:tcPr>
            <w:tcW w:w="3969" w:type="dxa"/>
            <w:vMerge/>
          </w:tcPr>
          <w:p w14:paraId="36309F04" w14:textId="77777777" w:rsidR="00FE57F6" w:rsidRPr="00666D09" w:rsidRDefault="00FE57F6" w:rsidP="00C4421B">
            <w:pPr>
              <w:tabs>
                <w:tab w:val="left" w:pos="851"/>
              </w:tabs>
              <w:spacing w:line="240" w:lineRule="atLeast"/>
              <w:rPr>
                <w:b/>
                <w:lang w:val="en-GB"/>
              </w:rPr>
            </w:pPr>
          </w:p>
        </w:tc>
        <w:tc>
          <w:tcPr>
            <w:tcW w:w="5245" w:type="dxa"/>
          </w:tcPr>
          <w:p w14:paraId="02513147" w14:textId="77777777" w:rsidR="00FE57F6" w:rsidRPr="00BB6FD8" w:rsidRDefault="00F24B71" w:rsidP="00C4421B">
            <w:pPr>
              <w:tabs>
                <w:tab w:val="left" w:pos="851"/>
              </w:tabs>
              <w:spacing w:before="0" w:line="240" w:lineRule="atLeast"/>
              <w:jc w:val="right"/>
              <w:rPr>
                <w:b/>
                <w:bCs/>
              </w:rPr>
            </w:pPr>
            <w:r w:rsidRPr="00BB6FD8">
              <w:rPr>
                <w:rFonts w:cstheme="minorHAnsi"/>
                <w:b/>
                <w:bCs/>
              </w:rPr>
              <w:t>Original: inglés</w:t>
            </w:r>
          </w:p>
        </w:tc>
      </w:tr>
      <w:tr w:rsidR="00FE57F6" w:rsidRPr="00BB6FD8" w14:paraId="643817C0" w14:textId="77777777" w:rsidTr="00C4421B">
        <w:trPr>
          <w:cantSplit/>
          <w:trHeight w:val="23"/>
        </w:trPr>
        <w:tc>
          <w:tcPr>
            <w:tcW w:w="3969" w:type="dxa"/>
          </w:tcPr>
          <w:p w14:paraId="3CA74E63" w14:textId="77777777" w:rsidR="00FE57F6" w:rsidRPr="00BB6FD8" w:rsidRDefault="00FE57F6" w:rsidP="00C4421B">
            <w:pPr>
              <w:tabs>
                <w:tab w:val="left" w:pos="851"/>
              </w:tabs>
              <w:spacing w:line="240" w:lineRule="atLeast"/>
              <w:rPr>
                <w:b/>
              </w:rPr>
            </w:pPr>
          </w:p>
        </w:tc>
        <w:tc>
          <w:tcPr>
            <w:tcW w:w="5245" w:type="dxa"/>
          </w:tcPr>
          <w:p w14:paraId="7976F8EA" w14:textId="77777777" w:rsidR="00FE57F6" w:rsidRPr="00BB6FD8" w:rsidRDefault="00FE57F6" w:rsidP="00C4421B">
            <w:pPr>
              <w:tabs>
                <w:tab w:val="left" w:pos="851"/>
              </w:tabs>
              <w:spacing w:before="0" w:line="240" w:lineRule="atLeast"/>
              <w:jc w:val="right"/>
              <w:rPr>
                <w:b/>
              </w:rPr>
            </w:pPr>
          </w:p>
        </w:tc>
      </w:tr>
      <w:tr w:rsidR="00FE57F6" w:rsidRPr="00075923" w14:paraId="6B93257D" w14:textId="77777777" w:rsidTr="00C4421B">
        <w:trPr>
          <w:cantSplit/>
        </w:trPr>
        <w:tc>
          <w:tcPr>
            <w:tcW w:w="9214" w:type="dxa"/>
            <w:gridSpan w:val="2"/>
            <w:tcMar>
              <w:left w:w="0" w:type="dxa"/>
            </w:tcMar>
          </w:tcPr>
          <w:p w14:paraId="56F40C92" w14:textId="021D3774" w:rsidR="00FE57F6" w:rsidRPr="00CC1FAF" w:rsidRDefault="00075923" w:rsidP="00C4421B">
            <w:pPr>
              <w:pStyle w:val="Source"/>
              <w:jc w:val="left"/>
              <w:rPr>
                <w:sz w:val="34"/>
                <w:szCs w:val="34"/>
                <w:lang w:val="es-ES"/>
              </w:rPr>
            </w:pPr>
            <w:r>
              <w:rPr>
                <w:rFonts w:cstheme="minorHAnsi"/>
                <w:sz w:val="34"/>
                <w:szCs w:val="34"/>
                <w:lang w:val="es-ES"/>
              </w:rPr>
              <w:t>Contribución de la Federación de Rusia</w:t>
            </w:r>
          </w:p>
        </w:tc>
      </w:tr>
      <w:tr w:rsidR="00FE57F6" w:rsidRPr="00075923" w14:paraId="5AB74949" w14:textId="77777777" w:rsidTr="00C4421B">
        <w:trPr>
          <w:cantSplit/>
        </w:trPr>
        <w:tc>
          <w:tcPr>
            <w:tcW w:w="9214" w:type="dxa"/>
            <w:gridSpan w:val="2"/>
            <w:tcMar>
              <w:left w:w="0" w:type="dxa"/>
            </w:tcMar>
          </w:tcPr>
          <w:p w14:paraId="07120E32" w14:textId="1B6F34FD" w:rsidR="00FE57F6" w:rsidRPr="00075923" w:rsidRDefault="00075923" w:rsidP="00C4421B">
            <w:pPr>
              <w:pStyle w:val="Subtitle"/>
              <w:framePr w:hSpace="0" w:wrap="auto" w:hAnchor="text" w:xAlign="left" w:yAlign="inline"/>
              <w:rPr>
                <w:lang w:val="es-ES"/>
              </w:rPr>
            </w:pPr>
            <w:r w:rsidRPr="00075923">
              <w:rPr>
                <w:lang w:val="es-ES"/>
              </w:rPr>
              <w:t>PROPUESTA PARA LA OPTIMIZACIÓN DE LA ATRIBUCIÓN</w:t>
            </w:r>
            <w:r>
              <w:rPr>
                <w:lang w:val="es-ES"/>
              </w:rPr>
              <w:br/>
            </w:r>
            <w:r w:rsidRPr="00075923">
              <w:rPr>
                <w:lang w:val="es-ES"/>
              </w:rPr>
              <w:t>DE RECURSOS DE LA UIT A FIN DE ADAPTARLA MEJOR</w:t>
            </w:r>
            <w:r>
              <w:rPr>
                <w:lang w:val="es-ES"/>
              </w:rPr>
              <w:br/>
            </w:r>
            <w:r w:rsidRPr="00075923">
              <w:rPr>
                <w:lang w:val="es-ES"/>
              </w:rPr>
              <w:t>A LOS OBJETIVOS DE LA UNIÓN</w:t>
            </w:r>
          </w:p>
        </w:tc>
      </w:tr>
      <w:tr w:rsidR="00FE57F6" w:rsidRPr="00075923" w14:paraId="7CF80441" w14:textId="77777777" w:rsidTr="00C4421B">
        <w:trPr>
          <w:cantSplit/>
        </w:trPr>
        <w:tc>
          <w:tcPr>
            <w:tcW w:w="9214" w:type="dxa"/>
            <w:gridSpan w:val="2"/>
            <w:tcBorders>
              <w:top w:val="single" w:sz="4" w:space="0" w:color="auto"/>
              <w:bottom w:val="single" w:sz="4" w:space="0" w:color="auto"/>
            </w:tcBorders>
            <w:tcMar>
              <w:left w:w="0" w:type="dxa"/>
            </w:tcMar>
          </w:tcPr>
          <w:p w14:paraId="44836D68"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442D9A3B" w14:textId="2D57E2CE" w:rsidR="00075923" w:rsidRPr="00075923" w:rsidRDefault="00075923" w:rsidP="00075923">
            <w:pPr>
              <w:rPr>
                <w:lang w:val="es-ES"/>
              </w:rPr>
            </w:pPr>
            <w:r w:rsidRPr="00075923">
              <w:rPr>
                <w:lang w:val="es-ES"/>
              </w:rPr>
              <w:t xml:space="preserve">En esta contribución se desarrollan ideas presentadas anteriormente por la Federación de Rusia en el Documento </w:t>
            </w:r>
            <w:hyperlink r:id="rId6" w:history="1">
              <w:r w:rsidRPr="00075923">
                <w:rPr>
                  <w:rStyle w:val="Hyperlink"/>
                  <w:rFonts w:eastAsia="Times New Roman" w:cs="Times New Roman"/>
                  <w:szCs w:val="20"/>
                  <w:lang w:val="es-ES"/>
                </w:rPr>
                <w:t>CWG-FHR-22/25</w:t>
              </w:r>
            </w:hyperlink>
            <w:r w:rsidRPr="00075923">
              <w:rPr>
                <w:lang w:val="es-ES"/>
              </w:rPr>
              <w:t xml:space="preserve"> en la 22.ª reunión del Grupo de Trabajo del Consejo sobre Recursos Humanos y Financieros (GTC-RHF) celebrada en enero de 2026. En ese documento se destacó el creciente número de casos de no atribución de recursos de conformidad con los objetivos de la Unión, consagrados en la Constitución de la UIT y otros instrumentos básicos, a pesar del deterioro de algunas funciones esenciales de la UIT.</w:t>
            </w:r>
          </w:p>
          <w:p w14:paraId="0108FA3D" w14:textId="2482B0E9" w:rsidR="00FE57F6" w:rsidRPr="00CC1FAF" w:rsidRDefault="00075923" w:rsidP="00075923">
            <w:pPr>
              <w:rPr>
                <w:lang w:val="es-ES"/>
              </w:rPr>
            </w:pPr>
            <w:r w:rsidRPr="00075923">
              <w:rPr>
                <w:lang w:val="es-ES"/>
              </w:rPr>
              <w:t>Se propone implementar un enfoque de financiación diferenciado que conste de revisiones periódicas a fin de garantizar que los recursos se atribuyan de conformidad con los objetivos de la UIT.</w:t>
            </w:r>
          </w:p>
          <w:p w14:paraId="5074A643"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261B49B6" w14:textId="198A86BF" w:rsidR="00F92BED" w:rsidRPr="00F92BED" w:rsidRDefault="00075923" w:rsidP="00C4421B">
            <w:pPr>
              <w:spacing w:before="160"/>
              <w:rPr>
                <w:szCs w:val="24"/>
                <w:lang w:val="es-ES"/>
              </w:rPr>
            </w:pPr>
            <w:r w:rsidRPr="00075923">
              <w:rPr>
                <w:szCs w:val="24"/>
                <w:lang w:val="es-ES"/>
              </w:rPr>
              <w:t>Se invita al Consejo a examinar esta contribución y a formular los comentarios que estime necesarios.</w:t>
            </w:r>
          </w:p>
          <w:p w14:paraId="2A38D98B" w14:textId="77777777" w:rsidR="00FE57F6" w:rsidRPr="00075923" w:rsidRDefault="00FE57F6" w:rsidP="00C4421B">
            <w:pPr>
              <w:spacing w:before="160"/>
              <w:rPr>
                <w:caps/>
                <w:sz w:val="22"/>
                <w:lang w:val="es-ES"/>
              </w:rPr>
            </w:pPr>
            <w:r w:rsidRPr="00075923">
              <w:rPr>
                <w:sz w:val="22"/>
                <w:lang w:val="es-ES"/>
              </w:rPr>
              <w:t>__________________</w:t>
            </w:r>
          </w:p>
          <w:p w14:paraId="61FE65F6" w14:textId="0839F007" w:rsidR="00FE57F6" w:rsidRPr="00075923" w:rsidRDefault="00F24B71" w:rsidP="00C4421B">
            <w:pPr>
              <w:spacing w:before="160"/>
              <w:rPr>
                <w:b/>
                <w:bCs/>
                <w:sz w:val="26"/>
                <w:szCs w:val="26"/>
                <w:lang w:val="es-ES"/>
              </w:rPr>
            </w:pPr>
            <w:r w:rsidRPr="00075923">
              <w:rPr>
                <w:b/>
                <w:bCs/>
                <w:sz w:val="26"/>
                <w:szCs w:val="26"/>
                <w:lang w:val="es-ES"/>
              </w:rPr>
              <w:t>Referencia</w:t>
            </w:r>
            <w:r w:rsidR="00F92BED" w:rsidRPr="00075923">
              <w:rPr>
                <w:b/>
                <w:bCs/>
                <w:sz w:val="26"/>
                <w:szCs w:val="26"/>
                <w:lang w:val="es-ES"/>
              </w:rPr>
              <w:t>s</w:t>
            </w:r>
          </w:p>
          <w:p w14:paraId="779A7E9B" w14:textId="69EBD23B" w:rsidR="00FE57F6" w:rsidRPr="00075923" w:rsidRDefault="00075923" w:rsidP="00C4421B">
            <w:pPr>
              <w:spacing w:after="160"/>
              <w:rPr>
                <w:i/>
                <w:iCs/>
                <w:sz w:val="22"/>
                <w:szCs w:val="22"/>
                <w:lang w:val="es-ES"/>
              </w:rPr>
            </w:pPr>
            <w:r w:rsidRPr="00075923">
              <w:rPr>
                <w:i/>
                <w:iCs/>
                <w:sz w:val="22"/>
                <w:szCs w:val="22"/>
                <w:lang w:val="es-ES"/>
              </w:rPr>
              <w:t xml:space="preserve">Contribución de la Federación de Rusia </w:t>
            </w:r>
            <w:hyperlink r:id="rId7" w:history="1">
              <w:r w:rsidRPr="00075923">
                <w:rPr>
                  <w:rStyle w:val="Hyperlink"/>
                  <w:rFonts w:eastAsia="Times New Roman" w:cs="Times New Roman"/>
                  <w:i/>
                  <w:iCs/>
                  <w:sz w:val="22"/>
                  <w:lang w:val="es-ES"/>
                </w:rPr>
                <w:t>CWG–FHR–22/25</w:t>
              </w:r>
            </w:hyperlink>
            <w:r w:rsidRPr="00075923">
              <w:rPr>
                <w:i/>
                <w:iCs/>
                <w:sz w:val="22"/>
                <w:szCs w:val="22"/>
                <w:lang w:val="es-ES"/>
              </w:rPr>
              <w:t xml:space="preserve">; Contribución de varios países (China, Cuba y Federación de Rusia) </w:t>
            </w:r>
            <w:hyperlink r:id="rId8" w:history="1">
              <w:r w:rsidRPr="00693BB2">
                <w:rPr>
                  <w:rStyle w:val="Hyperlink"/>
                  <w:rFonts w:eastAsia="Times New Roman" w:cs="Times New Roman"/>
                  <w:i/>
                  <w:iCs/>
                  <w:sz w:val="22"/>
                  <w:lang w:val="es-ES"/>
                </w:rPr>
                <w:t>C25/86</w:t>
              </w:r>
            </w:hyperlink>
            <w:r w:rsidRPr="00075923">
              <w:rPr>
                <w:i/>
                <w:iCs/>
                <w:sz w:val="22"/>
                <w:szCs w:val="22"/>
                <w:lang w:val="es-ES"/>
              </w:rPr>
              <w:t xml:space="preserve">; Informe del Presidente sobre la 22.ª reunión del GTC-RHF </w:t>
            </w:r>
            <w:hyperlink r:id="rId9" w:history="1">
              <w:r w:rsidRPr="00693BB2">
                <w:rPr>
                  <w:rStyle w:val="Hyperlink"/>
                  <w:rFonts w:eastAsia="Times New Roman" w:cs="Times New Roman"/>
                  <w:i/>
                  <w:iCs/>
                  <w:sz w:val="22"/>
                  <w:lang w:val="es-ES"/>
                </w:rPr>
                <w:t>CWG</w:t>
              </w:r>
              <w:r w:rsidR="00693BB2" w:rsidRPr="00693BB2">
                <w:rPr>
                  <w:rStyle w:val="Hyperlink"/>
                  <w:rFonts w:eastAsia="Times New Roman" w:cs="Times New Roman"/>
                  <w:i/>
                  <w:iCs/>
                  <w:sz w:val="22"/>
                  <w:lang w:val="es-ES"/>
                </w:rPr>
                <w:noBreakHyphen/>
              </w:r>
              <w:r w:rsidRPr="00693BB2">
                <w:rPr>
                  <w:rStyle w:val="Hyperlink"/>
                  <w:rFonts w:eastAsia="Times New Roman" w:cs="Times New Roman"/>
                  <w:i/>
                  <w:iCs/>
                  <w:sz w:val="22"/>
                  <w:lang w:val="es-ES"/>
                </w:rPr>
                <w:t>FHR</w:t>
              </w:r>
              <w:r w:rsidR="00693BB2">
                <w:rPr>
                  <w:rStyle w:val="Hyperlink"/>
                  <w:rFonts w:eastAsia="Times New Roman" w:cs="Times New Roman"/>
                  <w:i/>
                  <w:iCs/>
                  <w:sz w:val="22"/>
                  <w:lang w:val="es-ES"/>
                </w:rPr>
                <w:noBreakHyphen/>
              </w:r>
              <w:r w:rsidRPr="00693BB2">
                <w:rPr>
                  <w:rStyle w:val="Hyperlink"/>
                  <w:rFonts w:eastAsia="Times New Roman" w:cs="Times New Roman"/>
                  <w:i/>
                  <w:iCs/>
                  <w:sz w:val="22"/>
                  <w:lang w:val="es-ES"/>
                </w:rPr>
                <w:t>22/36</w:t>
              </w:r>
            </w:hyperlink>
            <w:r w:rsidRPr="00075923">
              <w:rPr>
                <w:i/>
                <w:iCs/>
                <w:sz w:val="22"/>
                <w:szCs w:val="22"/>
                <w:lang w:val="es-ES"/>
              </w:rPr>
              <w:t>.</w:t>
            </w:r>
          </w:p>
        </w:tc>
      </w:tr>
      <w:bookmarkEnd w:id="0"/>
    </w:tbl>
    <w:p w14:paraId="51C82CDF" w14:textId="77777777" w:rsidR="00093EEB" w:rsidRPr="00075923" w:rsidRDefault="00093EEB">
      <w:pPr>
        <w:rPr>
          <w:lang w:val="es-ES"/>
        </w:rPr>
      </w:pPr>
    </w:p>
    <w:p w14:paraId="076E3936" w14:textId="77777777" w:rsidR="001559F5" w:rsidRPr="00075923"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075923">
        <w:rPr>
          <w:lang w:val="es-ES"/>
        </w:rPr>
        <w:br w:type="page"/>
      </w:r>
    </w:p>
    <w:p w14:paraId="38903480" w14:textId="77777777" w:rsidR="00693BB2" w:rsidRPr="00693BB2" w:rsidRDefault="00693BB2" w:rsidP="00693BB2">
      <w:pPr>
        <w:pStyle w:val="Heading1"/>
        <w:rPr>
          <w:lang w:val="es-ES"/>
        </w:rPr>
      </w:pPr>
      <w:r w:rsidRPr="00693BB2">
        <w:rPr>
          <w:lang w:val="es-ES"/>
        </w:rPr>
        <w:lastRenderedPageBreak/>
        <w:t>1</w:t>
      </w:r>
      <w:r w:rsidRPr="00693BB2">
        <w:rPr>
          <w:lang w:val="es-ES"/>
        </w:rPr>
        <w:tab/>
        <w:t>Introducción</w:t>
      </w:r>
    </w:p>
    <w:p w14:paraId="0F3AE60C" w14:textId="405443EB" w:rsidR="00693BB2" w:rsidRDefault="00693BB2" w:rsidP="00693BB2">
      <w:pPr>
        <w:rPr>
          <w:lang w:val="es-ES"/>
        </w:rPr>
      </w:pPr>
      <w:r>
        <w:rPr>
          <w:lang w:val="es-ES"/>
        </w:rPr>
        <w:t xml:space="preserve">En el Documento </w:t>
      </w:r>
      <w:hyperlink r:id="rId10" w:history="1">
        <w:r>
          <w:rPr>
            <w:rStyle w:val="Hyperlink"/>
            <w:u w:val="single"/>
            <w:lang w:val="es-ES"/>
          </w:rPr>
          <w:t>CWG-FHR-22/25</w:t>
        </w:r>
      </w:hyperlink>
      <w:r>
        <w:rPr>
          <w:lang w:val="es-ES"/>
        </w:rPr>
        <w:t xml:space="preserve">, la Federación de Rusia pidió una evaluación y examen exhaustivos de los programas de trabajo de la UIT a fin de determinar su adecuación con los objetivos de la Unión, con miras a financiar plenamente las actividades fundamentales. </w:t>
      </w:r>
    </w:p>
    <w:p w14:paraId="61982224" w14:textId="70B1F2C2" w:rsidR="00693BB2" w:rsidRDefault="00693BB2" w:rsidP="00693BB2">
      <w:pPr>
        <w:rPr>
          <w:lang w:val="es-ES"/>
        </w:rPr>
      </w:pPr>
      <w:r>
        <w:rPr>
          <w:lang w:val="es-ES"/>
        </w:rPr>
        <w:t xml:space="preserve">A </w:t>
      </w:r>
      <w:proofErr w:type="gramStart"/>
      <w:r>
        <w:rPr>
          <w:lang w:val="es-ES"/>
        </w:rPr>
        <w:t>continuación</w:t>
      </w:r>
      <w:proofErr w:type="gramEnd"/>
      <w:r>
        <w:rPr>
          <w:lang w:val="es-ES"/>
        </w:rPr>
        <w:t xml:space="preserve"> se resumen brevemente los comentarios de los participantes en la 22.ª</w:t>
      </w:r>
      <w:r w:rsidR="002856E9">
        <w:rPr>
          <w:lang w:val="es-ES"/>
        </w:rPr>
        <w:t> </w:t>
      </w:r>
      <w:r>
        <w:rPr>
          <w:lang w:val="es-ES"/>
        </w:rPr>
        <w:t>reunión del Grupo de Trabajo del Consejo sobre Recursos Humanos y Financieros (GTC</w:t>
      </w:r>
      <w:r w:rsidR="002856E9">
        <w:rPr>
          <w:lang w:val="es-ES"/>
        </w:rPr>
        <w:noBreakHyphen/>
      </w:r>
      <w:r>
        <w:rPr>
          <w:lang w:val="es-ES"/>
        </w:rPr>
        <w:t>RHF), reflejados en el informe de su Presidente.</w:t>
      </w:r>
    </w:p>
    <w:p w14:paraId="2462995E" w14:textId="77777777" w:rsidR="00693BB2" w:rsidRDefault="00693BB2" w:rsidP="00693BB2">
      <w:pPr>
        <w:rPr>
          <w:lang w:val="es-ES"/>
        </w:rPr>
      </w:pPr>
      <w:r>
        <w:rPr>
          <w:lang w:val="es-ES"/>
        </w:rPr>
        <w:t>Varios delegados convinieron en la necesidad de aclarar aún más los objetivos fundamentales de la Unión a fin de dar prioridad a las actividades en consonancia con la Constitución y el Convenio de la UIT. Respaldaron la idea de estudiar con mayor profundidad la introducción de periodos de validez para las resoluciones aprobadas por la Conferencia de Plenipotenciarios, siempre que hubiese criterios claros para distinguir las actividades "fundamentales" y "no fundamentales". Los delegados pidieron información adicional sobre el mecanismo que se utilizaría para llevar a cabo los exámenes cuatrienales.</w:t>
      </w:r>
    </w:p>
    <w:p w14:paraId="75A28044" w14:textId="77777777" w:rsidR="00693BB2" w:rsidRDefault="00693BB2" w:rsidP="00693BB2">
      <w:pPr>
        <w:rPr>
          <w:lang w:val="es-ES"/>
        </w:rPr>
      </w:pPr>
      <w:r>
        <w:rPr>
          <w:lang w:val="es-ES"/>
        </w:rPr>
        <w:t>Otros delegados destacaron la contribución de la UIT en esferas como el cambio climático, la igualdad de género, la ética de la IA, la telemedicina y la teleeducación, y observaron los beneficios de la colaboración con el sistema de las Naciones Unidas.</w:t>
      </w:r>
    </w:p>
    <w:p w14:paraId="761F97BA" w14:textId="77777777" w:rsidR="00693BB2" w:rsidRDefault="00693BB2" w:rsidP="00693BB2">
      <w:pPr>
        <w:rPr>
          <w:rFonts w:asciiTheme="minorHAnsi" w:hAnsiTheme="minorHAnsi" w:cstheme="minorHAnsi"/>
          <w:lang w:val="es-ES"/>
        </w:rPr>
      </w:pPr>
      <w:r>
        <w:rPr>
          <w:lang w:val="es-ES"/>
        </w:rPr>
        <w:t>La Federación de Rusia reconoce la necesidad de tener en cuenta los continuos cambios en las telecomunicaciones/tecnologías de la información y la comunicación (TIC), en particular la digitalización, al identificar nuevos objetivos para la UIT. Sin embargo, sigue siendo preocupante que la ampliación de las actividades a cuestiones periféricas haya dado lugar a una escasez de recursos mientras que funciones esenciales, como la coordinación del espectro y la normalización, necesitan apoyo continuo para superar diferentes desafíos acumulados</w:t>
      </w:r>
      <w:r>
        <w:rPr>
          <w:rStyle w:val="FootnoteReference"/>
          <w:lang w:val="es-ES"/>
        </w:rPr>
        <w:footnoteReference w:customMarkFollows="1" w:id="1"/>
        <w:t>1</w:t>
      </w:r>
      <w:r>
        <w:rPr>
          <w:lang w:val="es-ES"/>
        </w:rPr>
        <w:t>.</w:t>
      </w:r>
    </w:p>
    <w:p w14:paraId="350CB17C" w14:textId="77777777" w:rsidR="00693BB2" w:rsidRPr="00693BB2" w:rsidRDefault="00693BB2" w:rsidP="00693BB2">
      <w:pPr>
        <w:pStyle w:val="Heading1"/>
        <w:rPr>
          <w:lang w:val="es-ES"/>
        </w:rPr>
      </w:pPr>
      <w:r w:rsidRPr="00693BB2">
        <w:rPr>
          <w:lang w:val="es-ES"/>
        </w:rPr>
        <w:t>2</w:t>
      </w:r>
      <w:r w:rsidRPr="00693BB2">
        <w:rPr>
          <w:lang w:val="es-ES"/>
        </w:rPr>
        <w:tab/>
        <w:t>Motivos de la no atribución de recursos según las necesidades reales</w:t>
      </w:r>
    </w:p>
    <w:p w14:paraId="43019FB7" w14:textId="77777777" w:rsidR="00693BB2" w:rsidRDefault="00693BB2" w:rsidP="00693BB2">
      <w:pPr>
        <w:rPr>
          <w:lang w:val="es-ES"/>
        </w:rPr>
      </w:pPr>
      <w:r>
        <w:rPr>
          <w:lang w:val="es-ES"/>
        </w:rPr>
        <w:t>Las nuevas Resoluciones adoptadas por la Conferencia de Plenipotenciarios y las conferencias/asambleas de Sector de la UIT asignan objetivos adicionales a la Unión que no están relacionados directamente con sus fines establecidos en la Constitución. Con frecuencia, estas resoluciones abordan esferas en las que las TIC actúan como herramientas, pero las cuestiones de política general son competencia de otros organismos de las Naciones Unidas. Por defecto, todas las resoluciones tienen la misma categoría.</w:t>
      </w:r>
    </w:p>
    <w:p w14:paraId="3058F5C4" w14:textId="77777777" w:rsidR="00693BB2" w:rsidRDefault="00693BB2" w:rsidP="00693BB2">
      <w:pPr>
        <w:keepNext/>
        <w:rPr>
          <w:lang w:val="es-ES"/>
        </w:rPr>
      </w:pPr>
      <w:r>
        <w:rPr>
          <w:lang w:val="es-ES"/>
        </w:rPr>
        <w:t>La Federación de Rusia afirma que la función única de la UIT, consagrada en el Artículo 1 de la Constitución, debe centrarse en lo siguiente:</w:t>
      </w:r>
    </w:p>
    <w:p w14:paraId="5FD92237" w14:textId="77777777" w:rsidR="00693BB2" w:rsidRDefault="00693BB2" w:rsidP="00693BB2">
      <w:pPr>
        <w:pStyle w:val="enumlev1"/>
        <w:rPr>
          <w:lang w:val="es-ES"/>
        </w:rPr>
      </w:pPr>
      <w:r>
        <w:rPr>
          <w:lang w:val="es-ES"/>
        </w:rPr>
        <w:t>–</w:t>
      </w:r>
      <w:r>
        <w:rPr>
          <w:lang w:val="es-ES"/>
        </w:rPr>
        <w:tab/>
        <w:t xml:space="preserve">la atribución del espectro de radiofrecuencias, la adjudicación de radiofrecuencias y el registro de asignaciones de radiofrecuencias y, en el marco de los servicios espaciales, </w:t>
      </w:r>
      <w:r>
        <w:rPr>
          <w:lang w:val="es-ES"/>
        </w:rPr>
        <w:lastRenderedPageBreak/>
        <w:t>de cualquier posición orbital asociada de los satélites geoestacionarios o de cualquier característica asociada de los satélites en otras órbitas;</w:t>
      </w:r>
    </w:p>
    <w:p w14:paraId="280272CC" w14:textId="77777777" w:rsidR="00693BB2" w:rsidRDefault="00693BB2" w:rsidP="00693BB2">
      <w:pPr>
        <w:pStyle w:val="enumlev1"/>
        <w:rPr>
          <w:lang w:val="es-ES"/>
        </w:rPr>
      </w:pPr>
      <w:r>
        <w:rPr>
          <w:lang w:val="es-ES"/>
        </w:rPr>
        <w:t>–</w:t>
      </w:r>
      <w:r>
        <w:rPr>
          <w:lang w:val="es-ES"/>
        </w:rPr>
        <w:tab/>
        <w:t>la normalización de las telecomunicaciones/TIC en el plano mundial;</w:t>
      </w:r>
    </w:p>
    <w:p w14:paraId="00FAB549" w14:textId="1AD2B044" w:rsidR="00693BB2" w:rsidRDefault="00693BB2" w:rsidP="00693BB2">
      <w:pPr>
        <w:pStyle w:val="enumlev1"/>
        <w:rPr>
          <w:lang w:val="es-ES"/>
        </w:rPr>
      </w:pPr>
      <w:r>
        <w:rPr>
          <w:lang w:val="es-ES"/>
        </w:rPr>
        <w:t>–</w:t>
      </w:r>
      <w:r>
        <w:rPr>
          <w:lang w:val="es-ES"/>
        </w:rPr>
        <w:tab/>
        <w:t>la atribución de los recursos de numeración</w:t>
      </w:r>
      <w:r w:rsidR="002856E9">
        <w:rPr>
          <w:lang w:val="es-ES"/>
        </w:rPr>
        <w:t>,</w:t>
      </w:r>
      <w:r>
        <w:rPr>
          <w:lang w:val="es-ES"/>
        </w:rPr>
        <w:t xml:space="preserve"> denominación, direccionamiento e identificación (NDDI);</w:t>
      </w:r>
    </w:p>
    <w:p w14:paraId="2D095556" w14:textId="77777777" w:rsidR="00693BB2" w:rsidRDefault="00693BB2" w:rsidP="00693BB2">
      <w:pPr>
        <w:pStyle w:val="enumlev1"/>
        <w:rPr>
          <w:lang w:val="es-ES"/>
        </w:rPr>
      </w:pPr>
      <w:r>
        <w:rPr>
          <w:lang w:val="es-ES"/>
        </w:rPr>
        <w:t>–</w:t>
      </w:r>
      <w:r>
        <w:rPr>
          <w:lang w:val="es-ES"/>
        </w:rPr>
        <w:tab/>
        <w:t>la asistencia técnica a los países en desarrollo;</w:t>
      </w:r>
    </w:p>
    <w:p w14:paraId="5A1B9756" w14:textId="77777777" w:rsidR="00693BB2" w:rsidRDefault="00693BB2" w:rsidP="00693BB2">
      <w:pPr>
        <w:pStyle w:val="enumlev1"/>
        <w:rPr>
          <w:lang w:val="es-ES"/>
        </w:rPr>
      </w:pPr>
      <w:r>
        <w:rPr>
          <w:lang w:val="es-ES"/>
        </w:rPr>
        <w:t>–</w:t>
      </w:r>
      <w:r>
        <w:rPr>
          <w:lang w:val="es-ES"/>
        </w:rPr>
        <w:tab/>
        <w:t>la creación de un entorno reglamentario propicio para el desarrollo de las TIC;</w:t>
      </w:r>
    </w:p>
    <w:p w14:paraId="6F89B470" w14:textId="77777777" w:rsidR="00693BB2" w:rsidRDefault="00693BB2" w:rsidP="00693BB2">
      <w:pPr>
        <w:pStyle w:val="enumlev1"/>
        <w:rPr>
          <w:lang w:val="es-ES"/>
        </w:rPr>
      </w:pPr>
      <w:r>
        <w:rPr>
          <w:lang w:val="es-ES"/>
        </w:rPr>
        <w:t>–</w:t>
      </w:r>
      <w:r>
        <w:rPr>
          <w:lang w:val="es-ES"/>
        </w:rPr>
        <w:tab/>
        <w:t>la promoción de la extensión de los beneficios de las nuevas tecnologías a todas las personas, y</w:t>
      </w:r>
    </w:p>
    <w:p w14:paraId="10DC2E51" w14:textId="77777777" w:rsidR="00693BB2" w:rsidRDefault="00693BB2" w:rsidP="00693BB2">
      <w:pPr>
        <w:pStyle w:val="enumlev1"/>
        <w:rPr>
          <w:lang w:val="es-ES"/>
        </w:rPr>
      </w:pPr>
      <w:r>
        <w:rPr>
          <w:lang w:val="es-ES"/>
        </w:rPr>
        <w:t>–</w:t>
      </w:r>
      <w:r>
        <w:rPr>
          <w:lang w:val="es-ES"/>
        </w:rPr>
        <w:tab/>
        <w:t>la coordinación entre los Estados Miembros.</w:t>
      </w:r>
    </w:p>
    <w:p w14:paraId="69E99631" w14:textId="77777777" w:rsidR="00693BB2" w:rsidRDefault="00693BB2" w:rsidP="00693BB2">
      <w:pPr>
        <w:rPr>
          <w:lang w:val="es-ES"/>
        </w:rPr>
      </w:pPr>
      <w:r>
        <w:rPr>
          <w:lang w:val="es-ES"/>
        </w:rPr>
        <w:t>Los objetivos de la Unión se establecen en los Reglamentos Administrativos de la UIT (el Reglamento de Radiocomunicaciones y el Reglamento de las Telecomunicaciones Internacionales), que son instrumentos internacionales vinculantes.</w:t>
      </w:r>
    </w:p>
    <w:p w14:paraId="4133BB8E" w14:textId="77777777" w:rsidR="00693BB2" w:rsidRPr="00693BB2" w:rsidRDefault="00693BB2" w:rsidP="00693BB2">
      <w:pPr>
        <w:pStyle w:val="Heading1"/>
        <w:rPr>
          <w:lang w:val="es-ES"/>
        </w:rPr>
      </w:pPr>
      <w:r w:rsidRPr="00693BB2">
        <w:rPr>
          <w:lang w:val="es-ES"/>
        </w:rPr>
        <w:t>3</w:t>
      </w:r>
      <w:r w:rsidRPr="00693BB2">
        <w:rPr>
          <w:lang w:val="es-ES"/>
        </w:rPr>
        <w:tab/>
        <w:t>Mecanismo de aplicación propuesto</w:t>
      </w:r>
    </w:p>
    <w:p w14:paraId="78AF03AF" w14:textId="77777777" w:rsidR="00693BB2" w:rsidRDefault="00693BB2" w:rsidP="00693BB2">
      <w:pPr>
        <w:rPr>
          <w:lang w:val="es-ES"/>
        </w:rPr>
      </w:pPr>
      <w:r>
        <w:rPr>
          <w:b/>
          <w:bCs/>
          <w:lang w:val="es-ES"/>
        </w:rPr>
        <w:t>Fase 1:</w:t>
      </w:r>
      <w:r>
        <w:rPr>
          <w:lang w:val="es-ES"/>
        </w:rPr>
        <w:t xml:space="preserve"> Examen piloto (meses 0-6)</w:t>
      </w:r>
    </w:p>
    <w:p w14:paraId="6D2D4D41" w14:textId="77777777" w:rsidR="00693BB2" w:rsidRDefault="00693BB2" w:rsidP="00693BB2">
      <w:pPr>
        <w:rPr>
          <w:lang w:val="es-ES"/>
        </w:rPr>
      </w:pPr>
      <w:r>
        <w:rPr>
          <w:lang w:val="es-ES"/>
        </w:rPr>
        <w:t>Se propone que la Conferencia de Plenipotenciarios de 2026 cree un grupo de trabajo provisional de expertos de alto nivel para definir la manera en la que los recursos deben atribuirse de conformidad con los objetivos de la Unión, con la siguiente composición:</w:t>
      </w:r>
    </w:p>
    <w:p w14:paraId="7DF99A0A" w14:textId="77777777" w:rsidR="00693BB2" w:rsidRDefault="00693BB2" w:rsidP="00693BB2">
      <w:pPr>
        <w:pStyle w:val="enumlev1"/>
        <w:rPr>
          <w:lang w:val="es-ES"/>
        </w:rPr>
      </w:pPr>
      <w:r>
        <w:rPr>
          <w:lang w:val="es-ES"/>
        </w:rPr>
        <w:t>–</w:t>
      </w:r>
      <w:r>
        <w:rPr>
          <w:lang w:val="es-ES"/>
        </w:rPr>
        <w:tab/>
        <w:t>representantes de 12 Estados Miembros (con igual distribución geográfica);</w:t>
      </w:r>
    </w:p>
    <w:p w14:paraId="6B977355" w14:textId="77777777" w:rsidR="00693BB2" w:rsidRDefault="00693BB2" w:rsidP="00693BB2">
      <w:pPr>
        <w:pStyle w:val="enumlev1"/>
        <w:rPr>
          <w:lang w:val="es-ES"/>
        </w:rPr>
      </w:pPr>
      <w:r>
        <w:rPr>
          <w:lang w:val="es-ES"/>
        </w:rPr>
        <w:t>–</w:t>
      </w:r>
      <w:r>
        <w:rPr>
          <w:lang w:val="es-ES"/>
        </w:rPr>
        <w:tab/>
        <w:t>representantes de tres Miembros de Sector (empresas privadas, una por Sector);</w:t>
      </w:r>
    </w:p>
    <w:p w14:paraId="2C306DE7" w14:textId="4EA9B9D6" w:rsidR="00693BB2" w:rsidRDefault="00693BB2" w:rsidP="00693BB2">
      <w:pPr>
        <w:pStyle w:val="enumlev1"/>
        <w:rPr>
          <w:lang w:val="es-ES"/>
        </w:rPr>
      </w:pPr>
      <w:r>
        <w:rPr>
          <w:lang w:val="es-ES"/>
        </w:rPr>
        <w:t>–</w:t>
      </w:r>
      <w:r>
        <w:rPr>
          <w:lang w:val="es-ES"/>
        </w:rPr>
        <w:tab/>
        <w:t>un representante de la Dependencia Común de Inspección del sistema de las Naciones Unidas (DCI)</w:t>
      </w:r>
      <w:r w:rsidR="008C07E4">
        <w:rPr>
          <w:lang w:val="es-ES"/>
        </w:rPr>
        <w:t>, y</w:t>
      </w:r>
    </w:p>
    <w:p w14:paraId="58F511A8" w14:textId="77777777" w:rsidR="00693BB2" w:rsidRDefault="00693BB2" w:rsidP="00693BB2">
      <w:pPr>
        <w:pStyle w:val="enumlev1"/>
        <w:rPr>
          <w:lang w:val="es-ES"/>
        </w:rPr>
      </w:pPr>
      <w:r>
        <w:rPr>
          <w:lang w:val="es-ES"/>
        </w:rPr>
        <w:t>–</w:t>
      </w:r>
      <w:r>
        <w:rPr>
          <w:lang w:val="es-ES"/>
        </w:rPr>
        <w:tab/>
        <w:t>un secretario ejecutivo de la Secretaría General de la UIT.</w:t>
      </w:r>
    </w:p>
    <w:p w14:paraId="4CB33299" w14:textId="77777777" w:rsidR="00693BB2" w:rsidRDefault="00693BB2" w:rsidP="00693BB2">
      <w:pPr>
        <w:rPr>
          <w:lang w:val="es-ES"/>
        </w:rPr>
      </w:pPr>
      <w:r>
        <w:rPr>
          <w:lang w:val="es-ES"/>
        </w:rPr>
        <w:t>El mandato del grupo directivo (el grupo de expertos de alto nivel) incluiría:</w:t>
      </w:r>
    </w:p>
    <w:p w14:paraId="11A8E5E3" w14:textId="77777777" w:rsidR="00693BB2" w:rsidRDefault="00693BB2" w:rsidP="00693BB2">
      <w:pPr>
        <w:pStyle w:val="enumlev1"/>
        <w:rPr>
          <w:lang w:val="es-ES"/>
        </w:rPr>
      </w:pPr>
      <w:r>
        <w:rPr>
          <w:lang w:val="es-ES"/>
        </w:rPr>
        <w:t>–</w:t>
      </w:r>
      <w:r>
        <w:rPr>
          <w:lang w:val="es-ES"/>
        </w:rPr>
        <w:tab/>
        <w:t>el desarrollo de una metodología de valoración normalizada basada en el Anexo 1 a este documento;</w:t>
      </w:r>
    </w:p>
    <w:p w14:paraId="1787E1D3" w14:textId="7618F23B" w:rsidR="00693BB2" w:rsidRDefault="00693BB2" w:rsidP="00693BB2">
      <w:pPr>
        <w:pStyle w:val="enumlev1"/>
        <w:rPr>
          <w:lang w:val="es-ES"/>
        </w:rPr>
      </w:pPr>
      <w:r>
        <w:rPr>
          <w:lang w:val="es-ES"/>
        </w:rPr>
        <w:t>–</w:t>
      </w:r>
      <w:r>
        <w:rPr>
          <w:lang w:val="es-ES"/>
        </w:rPr>
        <w:tab/>
        <w:t>la selección de tres a cinco objetivos representativos de la UIT para el examen piloto</w:t>
      </w:r>
      <w:r w:rsidR="008C07E4">
        <w:rPr>
          <w:lang w:val="es-ES"/>
        </w:rPr>
        <w:t>, y</w:t>
      </w:r>
    </w:p>
    <w:p w14:paraId="52EF2382" w14:textId="450E6992" w:rsidR="00693BB2" w:rsidRDefault="00693BB2" w:rsidP="00693BB2">
      <w:pPr>
        <w:pStyle w:val="enumlev1"/>
        <w:rPr>
          <w:lang w:val="es-ES"/>
        </w:rPr>
      </w:pPr>
      <w:r>
        <w:rPr>
          <w:lang w:val="es-ES"/>
        </w:rPr>
        <w:t>–</w:t>
      </w:r>
      <w:r>
        <w:rPr>
          <w:lang w:val="es-ES"/>
        </w:rPr>
        <w:tab/>
        <w:t>la presentación de un informe sobre recomendaciones de metodología a la sesión de</w:t>
      </w:r>
      <w:r w:rsidR="002856E9">
        <w:rPr>
          <w:lang w:val="es-ES"/>
        </w:rPr>
        <w:t> </w:t>
      </w:r>
      <w:r>
        <w:rPr>
          <w:lang w:val="es-ES"/>
        </w:rPr>
        <w:t>2027 del Consejo (Consejo-27).</w:t>
      </w:r>
    </w:p>
    <w:p w14:paraId="3B32137C" w14:textId="77777777" w:rsidR="00693BB2" w:rsidRDefault="00693BB2" w:rsidP="00693BB2">
      <w:pPr>
        <w:rPr>
          <w:lang w:val="es-ES"/>
        </w:rPr>
      </w:pPr>
      <w:r>
        <w:rPr>
          <w:b/>
          <w:bCs/>
          <w:lang w:val="es-ES"/>
        </w:rPr>
        <w:t>Fase 2</w:t>
      </w:r>
      <w:r>
        <w:rPr>
          <w:lang w:val="es-ES"/>
        </w:rPr>
        <w:t>: Examen independiente (meses 7-18)</w:t>
      </w:r>
    </w:p>
    <w:p w14:paraId="0B224D0C" w14:textId="77777777" w:rsidR="00693BB2" w:rsidRDefault="00693BB2" w:rsidP="00693BB2">
      <w:pPr>
        <w:rPr>
          <w:lang w:val="es-ES"/>
        </w:rPr>
      </w:pPr>
      <w:r>
        <w:rPr>
          <w:lang w:val="es-ES"/>
        </w:rPr>
        <w:t>El Consejo-27 autorizará un examen completo e independiente de todas las actividades de la UIT que se externalizará a una entidad externa (como la DCI o consultores especializados).</w:t>
      </w:r>
    </w:p>
    <w:p w14:paraId="3DF28666" w14:textId="77777777" w:rsidR="00693BB2" w:rsidRDefault="00693BB2" w:rsidP="00693BB2">
      <w:pPr>
        <w:rPr>
          <w:lang w:val="es-ES"/>
        </w:rPr>
      </w:pPr>
      <w:r>
        <w:rPr>
          <w:lang w:val="es-ES"/>
        </w:rPr>
        <w:t>El examen aplicará un sistema de clasificación por niveles (niveles 1 a 4) y evaluará todas las actividades sobre la base de los criterios establecidos en el Anexo 1.</w:t>
      </w:r>
    </w:p>
    <w:p w14:paraId="1C1AC402" w14:textId="77777777" w:rsidR="00693BB2" w:rsidRDefault="00693BB2" w:rsidP="00693BB2">
      <w:pPr>
        <w:rPr>
          <w:lang w:val="es-ES"/>
        </w:rPr>
      </w:pPr>
      <w:r>
        <w:rPr>
          <w:lang w:val="es-ES"/>
        </w:rPr>
        <w:t>Productos:</w:t>
      </w:r>
    </w:p>
    <w:p w14:paraId="49DE491B" w14:textId="77777777" w:rsidR="00693BB2" w:rsidRDefault="00693BB2" w:rsidP="00693BB2">
      <w:pPr>
        <w:pStyle w:val="enumlev1"/>
        <w:rPr>
          <w:lang w:val="es-ES"/>
        </w:rPr>
      </w:pPr>
      <w:r>
        <w:rPr>
          <w:lang w:val="es-ES"/>
        </w:rPr>
        <w:t>–</w:t>
      </w:r>
      <w:r>
        <w:rPr>
          <w:lang w:val="es-ES"/>
        </w:rPr>
        <w:tab/>
        <w:t>un panel público para supervisar la atribución de recursos de conformidad con los objetivos de la Unión (por actividad, presupuesto y personal);</w:t>
      </w:r>
    </w:p>
    <w:p w14:paraId="6FA77C7A" w14:textId="77777777" w:rsidR="00693BB2" w:rsidRDefault="00693BB2" w:rsidP="00693BB2">
      <w:pPr>
        <w:pStyle w:val="enumlev1"/>
        <w:rPr>
          <w:lang w:val="es-ES"/>
        </w:rPr>
      </w:pPr>
      <w:r>
        <w:rPr>
          <w:lang w:val="es-ES"/>
        </w:rPr>
        <w:t>–</w:t>
      </w:r>
      <w:r>
        <w:rPr>
          <w:lang w:val="es-ES"/>
        </w:rPr>
        <w:tab/>
        <w:t>propuestas sobre la reatribución de recursos para la sesión de 2028 del Consejo.</w:t>
      </w:r>
    </w:p>
    <w:p w14:paraId="075F5533" w14:textId="77777777" w:rsidR="00693BB2" w:rsidRDefault="00693BB2" w:rsidP="00693BB2">
      <w:pPr>
        <w:rPr>
          <w:lang w:val="es-ES"/>
        </w:rPr>
      </w:pPr>
      <w:r>
        <w:rPr>
          <w:b/>
          <w:bCs/>
          <w:lang w:val="es-ES"/>
        </w:rPr>
        <w:t>Fase 3:</w:t>
      </w:r>
      <w:r>
        <w:rPr>
          <w:lang w:val="es-ES"/>
        </w:rPr>
        <w:t xml:space="preserve"> Reatribución de recursos bajo la dirección del Consejo (meses 19-30)</w:t>
      </w:r>
    </w:p>
    <w:p w14:paraId="6F54492F" w14:textId="77777777" w:rsidR="00693BB2" w:rsidRDefault="00693BB2" w:rsidP="00693BB2">
      <w:pPr>
        <w:rPr>
          <w:lang w:val="es-ES"/>
        </w:rPr>
      </w:pPr>
      <w:r>
        <w:rPr>
          <w:lang w:val="es-ES"/>
        </w:rPr>
        <w:t>El Consejo creará una comisión permanente sobre la atribución de los recursos de conformidad con los objetivos de la Unión, que se encargará de lo siguiente:</w:t>
      </w:r>
    </w:p>
    <w:p w14:paraId="0F88911B" w14:textId="77777777" w:rsidR="00693BB2" w:rsidRDefault="00693BB2" w:rsidP="00693BB2">
      <w:pPr>
        <w:pStyle w:val="enumlev1"/>
        <w:rPr>
          <w:lang w:val="es-ES"/>
        </w:rPr>
      </w:pPr>
      <w:r>
        <w:rPr>
          <w:lang w:val="es-ES"/>
        </w:rPr>
        <w:t>–</w:t>
      </w:r>
      <w:r>
        <w:rPr>
          <w:lang w:val="es-ES"/>
        </w:rPr>
        <w:tab/>
        <w:t>examinar el informe independiente y los datos del panel;</w:t>
      </w:r>
    </w:p>
    <w:p w14:paraId="05336432" w14:textId="32CEB236" w:rsidR="00693BB2" w:rsidRDefault="00693BB2" w:rsidP="00693BB2">
      <w:pPr>
        <w:pStyle w:val="enumlev1"/>
        <w:rPr>
          <w:lang w:val="es-ES"/>
        </w:rPr>
      </w:pPr>
      <w:r>
        <w:rPr>
          <w:lang w:val="es-ES"/>
        </w:rPr>
        <w:t>–</w:t>
      </w:r>
      <w:r>
        <w:rPr>
          <w:lang w:val="es-ES"/>
        </w:rPr>
        <w:tab/>
        <w:t>proponer reatribuciones presupuestarias para el siguiente bienio</w:t>
      </w:r>
      <w:r w:rsidR="008C07E4">
        <w:rPr>
          <w:lang w:val="es-ES"/>
        </w:rPr>
        <w:t>, y</w:t>
      </w:r>
    </w:p>
    <w:p w14:paraId="1F978C29" w14:textId="77777777" w:rsidR="00693BB2" w:rsidRDefault="00693BB2" w:rsidP="00693BB2">
      <w:pPr>
        <w:pStyle w:val="enumlev1"/>
        <w:rPr>
          <w:lang w:val="es-ES"/>
        </w:rPr>
      </w:pPr>
      <w:r>
        <w:rPr>
          <w:lang w:val="es-ES"/>
        </w:rPr>
        <w:t>–</w:t>
      </w:r>
      <w:r>
        <w:rPr>
          <w:lang w:val="es-ES"/>
        </w:rPr>
        <w:tab/>
        <w:t>presentar un informe a la sesión de 2029 del Consejo (Consejo-29), en el que se formularán recomendaciones sobre lo siguiente:</w:t>
      </w:r>
    </w:p>
    <w:p w14:paraId="13E8CB00" w14:textId="77777777" w:rsidR="00693BB2" w:rsidRDefault="00693BB2" w:rsidP="00693BB2">
      <w:pPr>
        <w:pStyle w:val="enumlev2"/>
        <w:rPr>
          <w:lang w:val="es-ES"/>
        </w:rPr>
      </w:pPr>
      <w:r>
        <w:rPr>
          <w:lang w:val="es-ES"/>
        </w:rPr>
        <w:t>•</w:t>
      </w:r>
      <w:r>
        <w:rPr>
          <w:lang w:val="es-ES"/>
        </w:rPr>
        <w:tab/>
        <w:t>la terminación o restructuración de las actividades no fundamentales de la UIT;</w:t>
      </w:r>
    </w:p>
    <w:p w14:paraId="64C08B20" w14:textId="05DA4451" w:rsidR="00693BB2" w:rsidRDefault="00693BB2" w:rsidP="00693BB2">
      <w:pPr>
        <w:pStyle w:val="enumlev2"/>
        <w:rPr>
          <w:lang w:val="es-ES"/>
        </w:rPr>
      </w:pPr>
      <w:r>
        <w:rPr>
          <w:lang w:val="es-ES"/>
        </w:rPr>
        <w:t>•</w:t>
      </w:r>
      <w:r>
        <w:rPr>
          <w:lang w:val="es-ES"/>
        </w:rPr>
        <w:tab/>
        <w:t>la protección de partidas presupuestarias para las actividades del Nivel 1</w:t>
      </w:r>
      <w:r w:rsidR="008C07E4">
        <w:rPr>
          <w:lang w:val="es-ES"/>
        </w:rPr>
        <w:t>, y</w:t>
      </w:r>
    </w:p>
    <w:p w14:paraId="49A63972" w14:textId="77777777" w:rsidR="00693BB2" w:rsidRDefault="00693BB2" w:rsidP="00693BB2">
      <w:pPr>
        <w:pStyle w:val="enumlev2"/>
        <w:rPr>
          <w:lang w:val="es-ES"/>
        </w:rPr>
      </w:pPr>
      <w:r>
        <w:rPr>
          <w:lang w:val="es-ES"/>
        </w:rPr>
        <w:t>•</w:t>
      </w:r>
      <w:r>
        <w:rPr>
          <w:lang w:val="es-ES"/>
        </w:rPr>
        <w:tab/>
        <w:t>la transición de las actividades de los Niveles 3 y 4 a la financiación voluntaria o basada en el patrocinio.</w:t>
      </w:r>
    </w:p>
    <w:p w14:paraId="08F696B2" w14:textId="77777777" w:rsidR="00693BB2" w:rsidRPr="00693BB2" w:rsidRDefault="00693BB2" w:rsidP="00693BB2">
      <w:pPr>
        <w:pStyle w:val="Headingb"/>
        <w:rPr>
          <w:lang w:val="es-ES"/>
        </w:rPr>
      </w:pPr>
      <w:r w:rsidRPr="00693BB2">
        <w:rPr>
          <w:lang w:val="es-ES"/>
        </w:rPr>
        <w:t>Institucionalización de los exámenes anuales</w:t>
      </w:r>
    </w:p>
    <w:p w14:paraId="76FFDAB1" w14:textId="77777777" w:rsidR="00693BB2" w:rsidRDefault="00693BB2" w:rsidP="00693BB2">
      <w:pPr>
        <w:rPr>
          <w:lang w:val="es-ES"/>
        </w:rPr>
      </w:pPr>
      <w:r>
        <w:rPr>
          <w:lang w:val="es-ES"/>
        </w:rPr>
        <w:t>La continuación sostenible de esta labor después del Consejo-29 y la Conferencia de Plenipotenciarios de 2030 necesitará:</w:t>
      </w:r>
    </w:p>
    <w:p w14:paraId="5075A2B3" w14:textId="77777777" w:rsidR="00693BB2" w:rsidRDefault="00693BB2" w:rsidP="00693BB2">
      <w:pPr>
        <w:pStyle w:val="enumlev1"/>
        <w:rPr>
          <w:lang w:val="es-ES"/>
        </w:rPr>
      </w:pPr>
      <w:r>
        <w:rPr>
          <w:lang w:val="es-ES"/>
        </w:rPr>
        <w:t>–</w:t>
      </w:r>
      <w:r>
        <w:rPr>
          <w:lang w:val="es-ES"/>
        </w:rPr>
        <w:tab/>
        <w:t>un examen anual de la atribución de recursos de conformidad con los objetivos de la Unión, que será realizado por la Secretaría y revisado por el GTC-RHF;</w:t>
      </w:r>
    </w:p>
    <w:p w14:paraId="4BEF842B" w14:textId="720FE3A8" w:rsidR="00693BB2" w:rsidRDefault="00693BB2" w:rsidP="00693BB2">
      <w:pPr>
        <w:pStyle w:val="enumlev1"/>
        <w:rPr>
          <w:lang w:val="es-ES"/>
        </w:rPr>
      </w:pPr>
      <w:r>
        <w:rPr>
          <w:lang w:val="es-ES"/>
        </w:rPr>
        <w:t>–</w:t>
      </w:r>
      <w:r>
        <w:rPr>
          <w:lang w:val="es-ES"/>
        </w:rPr>
        <w:tab/>
        <w:t>su integración en el programa y el proceso presupuestario (con la confirmación obligatoria de la adecuación a los objetivos de la Unión y una evaluación del impacto en los recursos)</w:t>
      </w:r>
      <w:r w:rsidR="008C07E4">
        <w:rPr>
          <w:lang w:val="es-ES"/>
        </w:rPr>
        <w:t>, y</w:t>
      </w:r>
    </w:p>
    <w:p w14:paraId="3EAE48FA" w14:textId="77777777" w:rsidR="00693BB2" w:rsidRDefault="00693BB2" w:rsidP="00693BB2">
      <w:pPr>
        <w:pStyle w:val="enumlev1"/>
        <w:rPr>
          <w:lang w:val="es-ES"/>
        </w:rPr>
      </w:pPr>
      <w:r>
        <w:rPr>
          <w:lang w:val="es-ES"/>
        </w:rPr>
        <w:t>–</w:t>
      </w:r>
      <w:r>
        <w:rPr>
          <w:lang w:val="es-ES"/>
        </w:rPr>
        <w:tab/>
        <w:t>disposiciones por las que se establezca un periodo de validez de cuatro años como máximo para todas las nuevas resoluciones de la Conferencia de Plenipotenciarios, que podría ampliarse únicamente tras un examen en el que se confirme la adecuación a los objetivos de la Unión, una evaluación del impacto en los recursos y una confirmación de no duplicación de tareas.</w:t>
      </w:r>
    </w:p>
    <w:p w14:paraId="3F32731D" w14:textId="77777777" w:rsidR="00693BB2" w:rsidRPr="00693BB2" w:rsidRDefault="00693BB2" w:rsidP="00693BB2">
      <w:pPr>
        <w:pStyle w:val="Headingb"/>
        <w:rPr>
          <w:lang w:val="es-ES"/>
        </w:rPr>
      </w:pPr>
      <w:r w:rsidRPr="00693BB2">
        <w:rPr>
          <w:lang w:val="es-ES"/>
        </w:rPr>
        <w:t>Transparencia y participación de las partes interesadas</w:t>
      </w:r>
    </w:p>
    <w:p w14:paraId="0D7706A4" w14:textId="77777777" w:rsidR="00693BB2" w:rsidRDefault="00693BB2" w:rsidP="00693BB2">
      <w:pPr>
        <w:pStyle w:val="enumlev1"/>
        <w:rPr>
          <w:lang w:val="es-ES"/>
        </w:rPr>
      </w:pPr>
      <w:r>
        <w:rPr>
          <w:lang w:val="es-ES"/>
        </w:rPr>
        <w:t>–</w:t>
      </w:r>
      <w:r>
        <w:rPr>
          <w:lang w:val="es-ES"/>
        </w:rPr>
        <w:tab/>
        <w:t>Acceso público a datos desglosados sobre la atribución de recursos de conformidad con los objetivos de la Unión.</w:t>
      </w:r>
    </w:p>
    <w:p w14:paraId="2A4672A8" w14:textId="77777777" w:rsidR="00693BB2" w:rsidRDefault="00693BB2" w:rsidP="00693BB2">
      <w:pPr>
        <w:pStyle w:val="enumlev1"/>
        <w:rPr>
          <w:lang w:val="es-ES"/>
        </w:rPr>
      </w:pPr>
      <w:r>
        <w:rPr>
          <w:lang w:val="es-ES"/>
        </w:rPr>
        <w:t>–</w:t>
      </w:r>
      <w:r>
        <w:rPr>
          <w:lang w:val="es-ES"/>
        </w:rPr>
        <w:tab/>
        <w:t>Mecanismo de retroalimentación anónima para el personal de la UIT.</w:t>
      </w:r>
    </w:p>
    <w:p w14:paraId="6BA96FE5" w14:textId="77777777" w:rsidR="00693BB2" w:rsidRDefault="00693BB2" w:rsidP="00693BB2">
      <w:pPr>
        <w:pStyle w:val="enumlev1"/>
        <w:rPr>
          <w:lang w:val="es-ES"/>
        </w:rPr>
      </w:pPr>
      <w:r>
        <w:rPr>
          <w:lang w:val="es-ES"/>
        </w:rPr>
        <w:t>–</w:t>
      </w:r>
      <w:r>
        <w:rPr>
          <w:lang w:val="es-ES"/>
        </w:rPr>
        <w:tab/>
        <w:t>Reuniones anuales informativas sobre los avances para los Estados Miembros.</w:t>
      </w:r>
    </w:p>
    <w:p w14:paraId="5E368E5D" w14:textId="77777777" w:rsidR="00693BB2" w:rsidRPr="00693BB2" w:rsidRDefault="00693BB2" w:rsidP="00693BB2">
      <w:pPr>
        <w:pStyle w:val="Headingb"/>
        <w:rPr>
          <w:lang w:val="es-ES"/>
        </w:rPr>
      </w:pPr>
      <w:r w:rsidRPr="00693BB2">
        <w:rPr>
          <w:lang w:val="es-ES"/>
        </w:rPr>
        <w:t>Vínculo con los ciclos presupuestarios</w:t>
      </w:r>
    </w:p>
    <w:p w14:paraId="6E006E75" w14:textId="77777777" w:rsidR="00693BB2" w:rsidRDefault="00693BB2" w:rsidP="00693BB2">
      <w:pPr>
        <w:rPr>
          <w:lang w:val="es-ES"/>
        </w:rPr>
      </w:pPr>
      <w:r>
        <w:rPr>
          <w:lang w:val="es-ES"/>
        </w:rPr>
        <w:t>Las propuestas de programa y presupuesto incluirán, para cada programa, una puntuación basada en su adecuación a los objetivos de la Unión. La financiación voluntaria podría recomendarse para las actividades de los Niveles 3 y 4, a menos que se reclasifiquen en otros niveles.</w:t>
      </w:r>
    </w:p>
    <w:p w14:paraId="219A7531" w14:textId="77777777" w:rsidR="00693BB2" w:rsidRPr="00693BB2" w:rsidRDefault="00693BB2" w:rsidP="00693BB2">
      <w:pPr>
        <w:pStyle w:val="Headingb"/>
        <w:rPr>
          <w:lang w:val="es-ES"/>
        </w:rPr>
      </w:pPr>
      <w:r w:rsidRPr="00693BB2">
        <w:rPr>
          <w:lang w:val="es-ES"/>
        </w:rPr>
        <w:t>Fortalecimiento de la función del GTC-RHF</w:t>
      </w:r>
    </w:p>
    <w:p w14:paraId="3D8EA7DA" w14:textId="77777777" w:rsidR="00693BB2" w:rsidRDefault="00693BB2" w:rsidP="00693BB2">
      <w:pPr>
        <w:rPr>
          <w:lang w:val="es-ES"/>
        </w:rPr>
      </w:pPr>
      <w:r>
        <w:rPr>
          <w:lang w:val="es-ES"/>
        </w:rPr>
        <w:t>El GTC-RHF llevará a cabo un examen anual para garantizar que los recursos se atribuyan de conformidad con los objetivos de la Unión. La secretaría informará sobre lo siguiente:</w:t>
      </w:r>
    </w:p>
    <w:p w14:paraId="24CA21E0" w14:textId="77777777" w:rsidR="00693BB2" w:rsidRDefault="00693BB2" w:rsidP="00693BB2">
      <w:pPr>
        <w:pStyle w:val="enumlev1"/>
        <w:rPr>
          <w:lang w:val="es-ES"/>
        </w:rPr>
      </w:pPr>
      <w:r>
        <w:rPr>
          <w:lang w:val="es-ES"/>
        </w:rPr>
        <w:t>–</w:t>
      </w:r>
      <w:r>
        <w:rPr>
          <w:lang w:val="es-ES"/>
        </w:rPr>
        <w:tab/>
        <w:t>la atribución de tiempo del personal y presupuesto para cada nivel de actividad;</w:t>
      </w:r>
    </w:p>
    <w:p w14:paraId="79825361" w14:textId="0B6D618F" w:rsidR="00693BB2" w:rsidRDefault="00693BB2" w:rsidP="00693BB2">
      <w:pPr>
        <w:pStyle w:val="enumlev1"/>
        <w:rPr>
          <w:lang w:val="es-ES"/>
        </w:rPr>
      </w:pPr>
      <w:r>
        <w:rPr>
          <w:lang w:val="es-ES"/>
        </w:rPr>
        <w:t>–</w:t>
      </w:r>
      <w:r>
        <w:rPr>
          <w:lang w:val="es-ES"/>
        </w:rPr>
        <w:tab/>
        <w:t>los avances sobre la terminación o la reestructuración de las actividades no esenciales</w:t>
      </w:r>
      <w:r w:rsidR="008C07E4">
        <w:rPr>
          <w:lang w:val="es-ES"/>
        </w:rPr>
        <w:t>, y</w:t>
      </w:r>
    </w:p>
    <w:p w14:paraId="17C5BB9C" w14:textId="77777777" w:rsidR="00693BB2" w:rsidRDefault="00693BB2" w:rsidP="00693BB2">
      <w:pPr>
        <w:pStyle w:val="enumlev1"/>
        <w:rPr>
          <w:lang w:val="es-ES"/>
        </w:rPr>
      </w:pPr>
      <w:r>
        <w:rPr>
          <w:lang w:val="es-ES"/>
        </w:rPr>
        <w:t>–</w:t>
      </w:r>
      <w:r>
        <w:rPr>
          <w:lang w:val="es-ES"/>
        </w:rPr>
        <w:tab/>
        <w:t>las actividades nuevas, con declaraciones sobre su adecuación a los objetivos de la Unión.</w:t>
      </w:r>
    </w:p>
    <w:p w14:paraId="17BAFD75" w14:textId="77777777" w:rsidR="00693BB2" w:rsidRPr="00693BB2" w:rsidRDefault="00693BB2" w:rsidP="00693BB2">
      <w:pPr>
        <w:pStyle w:val="Heading1"/>
        <w:rPr>
          <w:lang w:val="es-ES"/>
        </w:rPr>
      </w:pPr>
      <w:r w:rsidRPr="00693BB2">
        <w:rPr>
          <w:lang w:val="es-ES"/>
        </w:rPr>
        <w:t>4</w:t>
      </w:r>
      <w:r w:rsidRPr="00693BB2">
        <w:rPr>
          <w:lang w:val="es-ES"/>
        </w:rPr>
        <w:tab/>
        <w:t>Conclusión</w:t>
      </w:r>
    </w:p>
    <w:p w14:paraId="7B9A244D" w14:textId="77777777" w:rsidR="00693BB2" w:rsidRDefault="00693BB2" w:rsidP="00693BB2">
      <w:pPr>
        <w:rPr>
          <w:lang w:val="es-ES"/>
        </w:rPr>
      </w:pPr>
      <w:r>
        <w:rPr>
          <w:lang w:val="es-ES"/>
        </w:rPr>
        <w:t>La UIT debe adoptar un enfoque que permita volver a priorizar sus funciones esenciales y objetivos a fin de ampliar su influencia, mejorar su credibilidad técnica, simplificar las operaciones y generar la confianza de las partes interesadas. El objetivo no consiste en hacer retroceder la labor de la UIT, sino en volver a centrarla estratégicamente en sus ventajas comparativas fundamentales.</w:t>
      </w:r>
    </w:p>
    <w:p w14:paraId="636FA404" w14:textId="77777777" w:rsidR="00693BB2" w:rsidRDefault="00693BB2" w:rsidP="00693BB2">
      <w:pPr>
        <w:spacing w:before="9720"/>
        <w:rPr>
          <w:b/>
          <w:bCs/>
          <w:lang w:val="es-ES"/>
        </w:rPr>
      </w:pPr>
      <w:r>
        <w:rPr>
          <w:b/>
          <w:bCs/>
          <w:lang w:val="es-ES"/>
        </w:rPr>
        <w:t>Anexo</w:t>
      </w:r>
      <w:r>
        <w:rPr>
          <w:lang w:val="es-ES"/>
        </w:rPr>
        <w:t>: 1</w:t>
      </w:r>
    </w:p>
    <w:p w14:paraId="4CF42C02" w14:textId="77777777" w:rsidR="00693BB2" w:rsidRDefault="00693BB2" w:rsidP="00693BB2">
      <w:pPr>
        <w:snapToGrid w:val="0"/>
        <w:spacing w:before="0"/>
        <w:rPr>
          <w:rFonts w:asciiTheme="minorHAnsi" w:hAnsiTheme="minorHAnsi"/>
          <w:szCs w:val="24"/>
          <w:lang w:val="es-ES"/>
        </w:rPr>
      </w:pPr>
      <w:r>
        <w:rPr>
          <w:rFonts w:asciiTheme="minorHAnsi" w:hAnsiTheme="minorHAnsi"/>
          <w:szCs w:val="24"/>
          <w:lang w:val="es-ES"/>
        </w:rPr>
        <w:br w:type="page"/>
      </w:r>
    </w:p>
    <w:p w14:paraId="4E491A8C" w14:textId="77777777" w:rsidR="00693BB2" w:rsidRDefault="00693BB2" w:rsidP="00693BB2">
      <w:pPr>
        <w:pStyle w:val="AnnexNo"/>
        <w:rPr>
          <w:lang w:val="es-ES"/>
        </w:rPr>
      </w:pPr>
      <w:r>
        <w:rPr>
          <w:lang w:val="es-ES"/>
        </w:rPr>
        <w:t>ANEXO 1</w:t>
      </w:r>
    </w:p>
    <w:p w14:paraId="658C542F" w14:textId="77777777" w:rsidR="00693BB2" w:rsidRPr="00693BB2" w:rsidRDefault="00693BB2" w:rsidP="00693BB2">
      <w:pPr>
        <w:pStyle w:val="Headingb"/>
        <w:rPr>
          <w:lang w:val="es-ES"/>
        </w:rPr>
      </w:pPr>
      <w:r w:rsidRPr="00693BB2">
        <w:rPr>
          <w:lang w:val="es-ES"/>
        </w:rPr>
        <w:t>Indicadores</w:t>
      </w:r>
    </w:p>
    <w:p w14:paraId="53867B6B" w14:textId="77777777" w:rsidR="00693BB2" w:rsidRDefault="00693BB2" w:rsidP="00693BB2">
      <w:pPr>
        <w:pStyle w:val="enumlev1"/>
        <w:rPr>
          <w:lang w:val="es-ES"/>
        </w:rPr>
      </w:pPr>
      <w:r>
        <w:rPr>
          <w:lang w:val="es-ES"/>
        </w:rPr>
        <w:t>–</w:t>
      </w:r>
      <w:r>
        <w:rPr>
          <w:lang w:val="es-ES"/>
        </w:rPr>
        <w:tab/>
        <w:t>¿La actividad se menciona en los instrumentos de la Unión?</w:t>
      </w:r>
    </w:p>
    <w:p w14:paraId="6939AABC" w14:textId="77777777" w:rsidR="00693BB2" w:rsidRDefault="00693BB2" w:rsidP="00693BB2">
      <w:pPr>
        <w:pStyle w:val="enumlev1"/>
        <w:rPr>
          <w:lang w:val="es-ES"/>
        </w:rPr>
      </w:pPr>
      <w:r>
        <w:rPr>
          <w:lang w:val="es-ES"/>
        </w:rPr>
        <w:t>–</w:t>
      </w:r>
      <w:r>
        <w:rPr>
          <w:lang w:val="es-ES"/>
        </w:rPr>
        <w:tab/>
        <w:t>¿Es la UIT el único foro técnico mundial pertinente para esta cuestión?</w:t>
      </w:r>
    </w:p>
    <w:p w14:paraId="6457D998" w14:textId="09319730" w:rsidR="00693BB2" w:rsidRDefault="00693BB2" w:rsidP="00693BB2">
      <w:pPr>
        <w:pStyle w:val="enumlev1"/>
        <w:rPr>
          <w:lang w:val="es-ES"/>
        </w:rPr>
      </w:pPr>
      <w:r>
        <w:rPr>
          <w:lang w:val="es-ES"/>
        </w:rPr>
        <w:t>–</w:t>
      </w:r>
      <w:r>
        <w:rPr>
          <w:lang w:val="es-ES"/>
        </w:rPr>
        <w:tab/>
        <w:t>¿Reconocen explícitamente otros organismos de las Naciones Unidas el liderazgo de la</w:t>
      </w:r>
      <w:r w:rsidR="008C07E4">
        <w:rPr>
          <w:lang w:val="es-ES"/>
        </w:rPr>
        <w:t> </w:t>
      </w:r>
      <w:r>
        <w:rPr>
          <w:lang w:val="es-ES"/>
        </w:rPr>
        <w:t>UIT?</w:t>
      </w:r>
    </w:p>
    <w:p w14:paraId="19437A42" w14:textId="77777777" w:rsidR="00693BB2" w:rsidRPr="00693BB2" w:rsidRDefault="00693BB2" w:rsidP="00693BB2">
      <w:pPr>
        <w:pStyle w:val="Headingb"/>
        <w:rPr>
          <w:lang w:val="es-ES"/>
        </w:rPr>
      </w:pPr>
      <w:r w:rsidRPr="00693BB2">
        <w:rPr>
          <w:lang w:val="es-ES"/>
        </w:rPr>
        <w:t>Cuestiones fundamentales para cada actividad</w:t>
      </w:r>
    </w:p>
    <w:p w14:paraId="4CB5E7E1" w14:textId="77777777" w:rsidR="00693BB2" w:rsidRDefault="00693BB2" w:rsidP="00693BB2">
      <w:pPr>
        <w:pStyle w:val="enumlev1"/>
        <w:rPr>
          <w:lang w:val="es-ES"/>
        </w:rPr>
      </w:pPr>
      <w:r>
        <w:rPr>
          <w:lang w:val="es-ES"/>
        </w:rPr>
        <w:t>–</w:t>
      </w:r>
      <w:r>
        <w:rPr>
          <w:lang w:val="es-ES"/>
        </w:rPr>
        <w:tab/>
        <w:t>¿La actividad respalda directamente los objetivos fundamentales de la Unión (UIT-</w:t>
      </w:r>
      <w:proofErr w:type="gramStart"/>
      <w:r>
        <w:rPr>
          <w:lang w:val="es-ES"/>
        </w:rPr>
        <w:t>R, UIT-T y UIT-D) definidos en la Constitución, el Convenio, el Reglamento de Radiocomunicaciones y el Reglamento de las Telecomunicaciones Internacionales?</w:t>
      </w:r>
      <w:proofErr w:type="gramEnd"/>
    </w:p>
    <w:p w14:paraId="798D7B86" w14:textId="77777777" w:rsidR="00693BB2" w:rsidRDefault="00693BB2" w:rsidP="00693BB2">
      <w:pPr>
        <w:pStyle w:val="enumlev1"/>
        <w:rPr>
          <w:lang w:val="es-ES"/>
        </w:rPr>
      </w:pPr>
      <w:r>
        <w:rPr>
          <w:lang w:val="es-ES"/>
        </w:rPr>
        <w:t>–</w:t>
      </w:r>
      <w:r>
        <w:rPr>
          <w:lang w:val="es-ES"/>
        </w:rPr>
        <w:tab/>
        <w:t>¿Es la actividad necesaria, efectiva y apropiada en vista de los objetivos de la Unión y sus ventajas comparativas?</w:t>
      </w:r>
    </w:p>
    <w:p w14:paraId="43C8CD40" w14:textId="77777777" w:rsidR="00693BB2" w:rsidRDefault="00693BB2" w:rsidP="00693BB2">
      <w:pPr>
        <w:pStyle w:val="enumlev1"/>
        <w:rPr>
          <w:lang w:val="es-ES"/>
        </w:rPr>
      </w:pPr>
      <w:r>
        <w:rPr>
          <w:lang w:val="es-ES"/>
        </w:rPr>
        <w:t>–</w:t>
      </w:r>
      <w:r>
        <w:rPr>
          <w:lang w:val="es-ES"/>
        </w:rPr>
        <w:tab/>
        <w:t xml:space="preserve">¿Cuenta la UIT con conocimientos técnicos únicos o la actividad duplica la labor de otro organismo de las Naciones Unidas (PNUD, </w:t>
      </w:r>
      <w:proofErr w:type="gramStart"/>
      <w:r>
        <w:rPr>
          <w:lang w:val="es-ES"/>
        </w:rPr>
        <w:t>UNESCO, PNUMA, OMS, etc.)?</w:t>
      </w:r>
      <w:proofErr w:type="gramEnd"/>
    </w:p>
    <w:p w14:paraId="0976D69C" w14:textId="77777777" w:rsidR="00693BB2" w:rsidRDefault="00693BB2" w:rsidP="00693BB2">
      <w:pPr>
        <w:pStyle w:val="enumlev1"/>
        <w:rPr>
          <w:lang w:val="es-ES"/>
        </w:rPr>
      </w:pPr>
      <w:r>
        <w:rPr>
          <w:lang w:val="es-ES"/>
        </w:rPr>
        <w:t>–</w:t>
      </w:r>
      <w:r>
        <w:rPr>
          <w:lang w:val="es-ES"/>
        </w:rPr>
        <w:tab/>
        <w:t>Incluso si la intención de la actividad es buena, ¿es el enfoque de la UIT efectivo o la actividad queda fuera de su ámbito de competencia (por ejemplo, cuestiones sociopolíticas, derecho internacional humanitario)?</w:t>
      </w:r>
    </w:p>
    <w:p w14:paraId="2F13E7A7" w14:textId="77777777" w:rsidR="00693BB2" w:rsidRDefault="00693BB2" w:rsidP="00693BB2">
      <w:pPr>
        <w:pStyle w:val="enumlev1"/>
        <w:rPr>
          <w:lang w:val="es-ES"/>
        </w:rPr>
      </w:pPr>
      <w:r>
        <w:rPr>
          <w:lang w:val="es-ES"/>
        </w:rPr>
        <w:t>–</w:t>
      </w:r>
      <w:r>
        <w:rPr>
          <w:lang w:val="es-ES"/>
        </w:rPr>
        <w:tab/>
        <w:t>¿La actividad desvía recursos de las funciones esenciales de la UIT (por ejemplo, la preparación de las CMR, el cumplimiento de plazos para la tramitación de notificaciones, garantizar la integridad de la base de datos y la elaboración de normas)?</w:t>
      </w:r>
    </w:p>
    <w:p w14:paraId="29AAC85D" w14:textId="77777777" w:rsidR="00693BB2" w:rsidRDefault="00693BB2" w:rsidP="00693BB2">
      <w:pPr>
        <w:rPr>
          <w:lang w:val="es-ES"/>
        </w:rPr>
      </w:pPr>
      <w:r>
        <w:rPr>
          <w:lang w:val="es-ES"/>
        </w:rPr>
        <w:t>El examen también deberá evaluar los resultados: nivel de adopción de las políticas desarrolladas por las partes interesadas clave, mejora sostenida de las competencias técnicas y resultados tangibles ofrecidos por los foros.</w:t>
      </w:r>
    </w:p>
    <w:p w14:paraId="17D55155" w14:textId="77777777" w:rsidR="00693BB2" w:rsidRPr="00693BB2" w:rsidRDefault="00693BB2" w:rsidP="00693BB2">
      <w:pPr>
        <w:pStyle w:val="Headingb"/>
        <w:rPr>
          <w:lang w:val="es-ES"/>
        </w:rPr>
      </w:pPr>
      <w:r w:rsidRPr="00693BB2">
        <w:rPr>
          <w:lang w:val="es-ES"/>
        </w:rPr>
        <w:t>Categorización y clasificación por niveles</w:t>
      </w:r>
    </w:p>
    <w:p w14:paraId="6D9DF089" w14:textId="77777777" w:rsidR="00693BB2" w:rsidRDefault="00693BB2" w:rsidP="00693BB2">
      <w:pPr>
        <w:rPr>
          <w:lang w:val="es-ES"/>
        </w:rPr>
      </w:pPr>
      <w:r>
        <w:rPr>
          <w:lang w:val="es-ES"/>
        </w:rPr>
        <w:t>Se deben establecer categorías para todas las actividades, proyectos, productos y reuniones del anterior ciclo cuatrienal sobre la base de disposiciones específicas de la Constitución, el Convenio, el Reglamento de Radiocomunicaciones y el Reglamento de las Telecomunicaciones Internacionales.</w:t>
      </w:r>
    </w:p>
    <w:p w14:paraId="5F219C9F" w14:textId="77777777" w:rsidR="00693BB2" w:rsidRPr="00693BB2" w:rsidRDefault="00693BB2" w:rsidP="00693BB2">
      <w:pPr>
        <w:pStyle w:val="Headingb"/>
        <w:rPr>
          <w:lang w:val="es-ES"/>
        </w:rPr>
      </w:pPr>
      <w:r w:rsidRPr="00693BB2">
        <w:rPr>
          <w:lang w:val="es-ES"/>
        </w:rPr>
        <w:t>Nivel 1 - Actividades fundamentadas en instrumentos internacionales</w:t>
      </w:r>
    </w:p>
    <w:p w14:paraId="27826C7C" w14:textId="77777777" w:rsidR="00693BB2" w:rsidRDefault="00693BB2" w:rsidP="00693BB2">
      <w:pPr>
        <w:rPr>
          <w:lang w:val="es-ES"/>
        </w:rPr>
      </w:pPr>
      <w:r>
        <w:rPr>
          <w:lang w:val="es-ES"/>
        </w:rPr>
        <w:t>Estas actividades se desprenden directamente de los objetivos de la Unión y no dependen de resoluciones aprobadas (por ejemplo, el mantenimiento del Registro Internacional de Frecuencias; la elaboración de recomendaciones sobre la interoperabilidad). Están consagradas en el Artículo 1 de la Constitución, el Convenio y los Reglamentos Administrativos. Los principales productos son obligatorios/técnicos por naturaleza.</w:t>
      </w:r>
    </w:p>
    <w:p w14:paraId="51889A07" w14:textId="77777777" w:rsidR="00693BB2" w:rsidRPr="00693BB2" w:rsidRDefault="00693BB2" w:rsidP="00693BB2">
      <w:pPr>
        <w:pStyle w:val="Headingb"/>
        <w:rPr>
          <w:lang w:val="es-ES"/>
        </w:rPr>
      </w:pPr>
      <w:r w:rsidRPr="00693BB2">
        <w:rPr>
          <w:lang w:val="es-ES"/>
        </w:rPr>
        <w:t>Nivel 2 - Actividades complementarias necesarias</w:t>
      </w:r>
    </w:p>
    <w:p w14:paraId="0089D53D" w14:textId="77777777" w:rsidR="00693BB2" w:rsidRDefault="00693BB2" w:rsidP="00693BB2">
      <w:pPr>
        <w:rPr>
          <w:lang w:val="es-ES"/>
        </w:rPr>
      </w:pPr>
      <w:r>
        <w:rPr>
          <w:lang w:val="es-ES"/>
        </w:rPr>
        <w:t>Estas actividades son necesarias para los objetivos fundamentales de la Unión (por ejemplo, formación de organismos reguladores sobre la gestión del espectro, apoyo a las nuevas tecnologías, reducción de la brecha digital).</w:t>
      </w:r>
    </w:p>
    <w:p w14:paraId="42C63EB5" w14:textId="77777777" w:rsidR="00693BB2" w:rsidRPr="00693BB2" w:rsidRDefault="00693BB2" w:rsidP="00693BB2">
      <w:pPr>
        <w:pStyle w:val="Headingb"/>
        <w:rPr>
          <w:lang w:val="es-ES"/>
        </w:rPr>
      </w:pPr>
      <w:r w:rsidRPr="00693BB2">
        <w:rPr>
          <w:lang w:val="es-ES"/>
        </w:rPr>
        <w:t>Nivel 3 - Las TIC como herramienta</w:t>
      </w:r>
    </w:p>
    <w:p w14:paraId="4A606C6A" w14:textId="77777777" w:rsidR="00693BB2" w:rsidRDefault="00693BB2" w:rsidP="00693BB2">
      <w:pPr>
        <w:rPr>
          <w:lang w:val="es-ES"/>
        </w:rPr>
      </w:pPr>
      <w:r>
        <w:rPr>
          <w:lang w:val="es-ES"/>
        </w:rPr>
        <w:t>Otros organismos lideran en materia de política general e implementación de estas actividades. Si bien las actividades contribuyen considerablemente a los objetivos indicados en los instrumentos de la Unión, la UIT debe cumplir dichos objetivos y evitar involucrarse en cuestiones de política general.</w:t>
      </w:r>
    </w:p>
    <w:p w14:paraId="702BE876" w14:textId="77777777" w:rsidR="00693BB2" w:rsidRPr="00693BB2" w:rsidRDefault="00693BB2" w:rsidP="00693BB2">
      <w:pPr>
        <w:pStyle w:val="Headingb"/>
        <w:rPr>
          <w:lang w:val="es-ES"/>
        </w:rPr>
      </w:pPr>
      <w:r w:rsidRPr="00693BB2">
        <w:rPr>
          <w:lang w:val="es-ES"/>
        </w:rPr>
        <w:t>Nivel 4 - Actividades relacionadas solo indirectamente con los objetivos de la Unión</w:t>
      </w:r>
    </w:p>
    <w:p w14:paraId="5F81DB6B" w14:textId="77777777" w:rsidR="00693BB2" w:rsidRDefault="00693BB2" w:rsidP="00693BB2">
      <w:pPr>
        <w:rPr>
          <w:lang w:val="es-ES"/>
        </w:rPr>
      </w:pPr>
      <w:bookmarkStart w:id="1" w:name="_Hlk226977071"/>
      <w:r>
        <w:rPr>
          <w:lang w:val="es-ES"/>
        </w:rPr>
        <w:t>Estas actividades se desprenden de la aprobación de resoluciones y tienen por objeto establecer una política general e implicar a otros organismos de las Naciones Unidas. Sus principales temas están comprendidos en los mandatos de otras organizaciones de las Naciones Unidas. Hay un solapamiento funcional y las actividades solo están ligeramente relacionadas con las TIC.</w:t>
      </w:r>
      <w:bookmarkEnd w:id="1"/>
    </w:p>
    <w:p w14:paraId="13CB8F16" w14:textId="77777777" w:rsidR="00693BB2" w:rsidRPr="00693BB2" w:rsidRDefault="00693BB2" w:rsidP="00693BB2">
      <w:pPr>
        <w:pStyle w:val="Headingb"/>
        <w:rPr>
          <w:lang w:val="es-ES"/>
        </w:rPr>
      </w:pPr>
      <w:r w:rsidRPr="00693BB2">
        <w:rPr>
          <w:lang w:val="es-ES"/>
        </w:rPr>
        <w:t>Criterios de evaluación</w:t>
      </w:r>
    </w:p>
    <w:p w14:paraId="033CF219" w14:textId="17B9C1BE" w:rsidR="00693BB2" w:rsidRDefault="00693BB2" w:rsidP="00693BB2">
      <w:pPr>
        <w:pStyle w:val="enumlev1"/>
        <w:rPr>
          <w:lang w:val="es-ES"/>
        </w:rPr>
      </w:pPr>
      <w:r>
        <w:rPr>
          <w:lang w:val="es-ES"/>
        </w:rPr>
        <w:t>–</w:t>
      </w:r>
      <w:r>
        <w:rPr>
          <w:lang w:val="es-ES"/>
        </w:rPr>
        <w:tab/>
        <w:t xml:space="preserve">Financieros: </w:t>
      </w:r>
      <w:r w:rsidR="008C07E4">
        <w:rPr>
          <w:lang w:val="es-ES"/>
        </w:rPr>
        <w:t xml:space="preserve">prepuesto </w:t>
      </w:r>
      <w:r>
        <w:rPr>
          <w:lang w:val="es-ES"/>
        </w:rPr>
        <w:t>ordinario y contribuciones voluntarias.</w:t>
      </w:r>
    </w:p>
    <w:p w14:paraId="542057E9" w14:textId="0BEF2CBA" w:rsidR="00693BB2" w:rsidRDefault="00693BB2" w:rsidP="00693BB2">
      <w:pPr>
        <w:pStyle w:val="enumlev1"/>
        <w:rPr>
          <w:lang w:val="es-ES"/>
        </w:rPr>
      </w:pPr>
      <w:r>
        <w:rPr>
          <w:lang w:val="es-ES"/>
        </w:rPr>
        <w:t>–</w:t>
      </w:r>
      <w:r>
        <w:rPr>
          <w:lang w:val="es-ES"/>
        </w:rPr>
        <w:tab/>
        <w:t xml:space="preserve">Recursos Humanos: </w:t>
      </w:r>
      <w:r w:rsidR="008C07E4">
        <w:rPr>
          <w:lang w:val="es-ES"/>
        </w:rPr>
        <w:t xml:space="preserve">número </w:t>
      </w:r>
      <w:r>
        <w:rPr>
          <w:lang w:val="es-ES"/>
        </w:rPr>
        <w:t>equivalente de trabajadores a tiempo completo de la UIT, incluido el personal directivo.</w:t>
      </w:r>
    </w:p>
    <w:p w14:paraId="77D973A3" w14:textId="2139DC09" w:rsidR="00693BB2" w:rsidRDefault="00693BB2" w:rsidP="00693BB2">
      <w:pPr>
        <w:pStyle w:val="enumlev1"/>
        <w:rPr>
          <w:lang w:val="es-ES"/>
        </w:rPr>
      </w:pPr>
      <w:r>
        <w:rPr>
          <w:lang w:val="es-ES"/>
        </w:rPr>
        <w:t>–</w:t>
      </w:r>
      <w:r>
        <w:rPr>
          <w:lang w:val="es-ES"/>
        </w:rPr>
        <w:tab/>
        <w:t xml:space="preserve">Atribución de tiempo: </w:t>
      </w:r>
      <w:r w:rsidR="008C07E4">
        <w:rPr>
          <w:lang w:val="es-ES"/>
        </w:rPr>
        <w:t xml:space="preserve">estimación </w:t>
      </w:r>
      <w:r>
        <w:rPr>
          <w:lang w:val="es-ES"/>
        </w:rPr>
        <w:t>del tiempo de conferencias del Consejo/la Conferencia de Plenipotenciarios/Sector atribuido a las actividades fundamentales y periféricas.</w:t>
      </w:r>
    </w:p>
    <w:p w14:paraId="6C363DEE" w14:textId="363DFFC9" w:rsidR="00693BB2" w:rsidRDefault="00693BB2" w:rsidP="00693BB2">
      <w:pPr>
        <w:pStyle w:val="enumlev1"/>
        <w:rPr>
          <w:lang w:val="es-ES"/>
        </w:rPr>
      </w:pPr>
      <w:r>
        <w:rPr>
          <w:lang w:val="es-ES"/>
        </w:rPr>
        <w:t>–</w:t>
      </w:r>
      <w:r>
        <w:rPr>
          <w:lang w:val="es-ES"/>
        </w:rPr>
        <w:tab/>
        <w:t xml:space="preserve">Análisis de duplicaciones: </w:t>
      </w:r>
      <w:r w:rsidR="008C07E4">
        <w:rPr>
          <w:lang w:val="es-ES"/>
        </w:rPr>
        <w:t xml:space="preserve">solapamiento </w:t>
      </w:r>
      <w:r>
        <w:rPr>
          <w:lang w:val="es-ES"/>
        </w:rPr>
        <w:t>con otros organismos de las Naciones Unidas (por ejemplo, con ONU-Hábitat en materia de ciudades inteligentes y sostenibles; con la OMS en la esfera de la telemedicina; y con el PNUMA en materia de residuos eléctricos y electrónicos).</w:t>
      </w:r>
    </w:p>
    <w:p w14:paraId="77F2CE44" w14:textId="77777777" w:rsidR="00693BB2" w:rsidRDefault="00693BB2" w:rsidP="00693BB2">
      <w:pPr>
        <w:pStyle w:val="enumlev1"/>
        <w:rPr>
          <w:lang w:val="es-ES"/>
        </w:rPr>
      </w:pPr>
      <w:r>
        <w:rPr>
          <w:lang w:val="es-ES"/>
        </w:rPr>
        <w:t>–</w:t>
      </w:r>
      <w:r>
        <w:rPr>
          <w:lang w:val="es-ES"/>
        </w:rPr>
        <w:tab/>
        <w:t>Proyectos de desarrollo: ¿Crean competencias sostenibles nuevas en una actividad fundamental o son proyectos de donantes a corto plazo?</w:t>
      </w:r>
    </w:p>
    <w:p w14:paraId="38DFFBD1" w14:textId="77777777" w:rsidR="00693BB2" w:rsidRDefault="00693BB2" w:rsidP="00693BB2">
      <w:pPr>
        <w:pStyle w:val="enumlev1"/>
        <w:rPr>
          <w:lang w:val="es-ES"/>
        </w:rPr>
      </w:pPr>
      <w:r>
        <w:rPr>
          <w:lang w:val="es-ES"/>
        </w:rPr>
        <w:t>–</w:t>
      </w:r>
      <w:r>
        <w:rPr>
          <w:lang w:val="es-ES"/>
        </w:rPr>
        <w:tab/>
        <w:t xml:space="preserve">Foros: ¿Los eventos como la Cumbre Mundial </w:t>
      </w:r>
      <w:r>
        <w:rPr>
          <w:i/>
          <w:iCs/>
          <w:lang w:val="es-ES"/>
        </w:rPr>
        <w:t>AI for Good</w:t>
      </w:r>
      <w:r>
        <w:rPr>
          <w:lang w:val="es-ES"/>
        </w:rPr>
        <w:t xml:space="preserve"> o el Foro de la Cumbre Mundial sobre la Sociedad de la Información dan lugar a productos tangibles con aplicaciones prácticas?</w:t>
      </w:r>
    </w:p>
    <w:p w14:paraId="03CC572C" w14:textId="77777777" w:rsidR="00693BB2" w:rsidRDefault="00693BB2" w:rsidP="00693BB2">
      <w:pPr>
        <w:pStyle w:val="enumlev1"/>
        <w:rPr>
          <w:lang w:val="es-ES"/>
        </w:rPr>
      </w:pPr>
      <w:r>
        <w:rPr>
          <w:lang w:val="es-ES"/>
        </w:rPr>
        <w:t>–</w:t>
      </w:r>
      <w:r>
        <w:rPr>
          <w:lang w:val="es-ES"/>
        </w:rPr>
        <w:tab/>
        <w:t>Sondeos: Estados Miembros (especialmente los grandes donantes); el sector privado; otros organismos de las Naciones Unidas; empleados de la UIT (de manera anónima).</w:t>
      </w:r>
    </w:p>
    <w:p w14:paraId="5138E915" w14:textId="74ADD6B1" w:rsidR="00693BB2" w:rsidRDefault="00693BB2" w:rsidP="00693BB2">
      <w:pPr>
        <w:pStyle w:val="enumlev1"/>
        <w:rPr>
          <w:lang w:val="es-ES"/>
        </w:rPr>
      </w:pPr>
      <w:r>
        <w:rPr>
          <w:lang w:val="es-ES"/>
        </w:rPr>
        <w:t>–</w:t>
      </w:r>
      <w:r>
        <w:rPr>
          <w:lang w:val="es-ES"/>
        </w:rPr>
        <w:tab/>
        <w:t xml:space="preserve">Evaluación de efectos adversos (costo de oportunidad): </w:t>
      </w:r>
      <w:r w:rsidR="008C07E4">
        <w:rPr>
          <w:lang w:val="es-ES"/>
        </w:rPr>
        <w:t xml:space="preserve">evaluación </w:t>
      </w:r>
      <w:r>
        <w:rPr>
          <w:lang w:val="es-ES"/>
        </w:rPr>
        <w:t>cuantitativa de los efectos adversos de la ampliación de las actividades en los objetivos de la Unión.</w:t>
      </w:r>
    </w:p>
    <w:p w14:paraId="0F52AA04" w14:textId="25E50176" w:rsidR="00693BB2" w:rsidRDefault="00693BB2" w:rsidP="00693BB2">
      <w:pPr>
        <w:pStyle w:val="enumlev1"/>
        <w:rPr>
          <w:lang w:val="es-ES"/>
        </w:rPr>
      </w:pPr>
      <w:r>
        <w:rPr>
          <w:lang w:val="es-ES"/>
        </w:rPr>
        <w:t>–</w:t>
      </w:r>
      <w:r>
        <w:rPr>
          <w:lang w:val="es-ES"/>
        </w:rPr>
        <w:tab/>
        <w:t xml:space="preserve">Estudios de casos: </w:t>
      </w:r>
      <w:r w:rsidR="008C07E4">
        <w:rPr>
          <w:lang w:val="es-ES"/>
        </w:rPr>
        <w:t xml:space="preserve">análisis </w:t>
      </w:r>
      <w:r>
        <w:rPr>
          <w:lang w:val="es-ES"/>
        </w:rPr>
        <w:t>y correlación de los recursos y productos en las principales esferas (por ejemplo, plazos para la tramitación de las notificaciones de redes de satélites; modernización de la base de datos de la BR-IFIC).</w:t>
      </w:r>
    </w:p>
    <w:p w14:paraId="7944DB2C" w14:textId="77777777" w:rsidR="00F92BED" w:rsidRPr="00075923" w:rsidRDefault="00F92BED" w:rsidP="0032202E">
      <w:pPr>
        <w:pStyle w:val="Reasons"/>
        <w:rPr>
          <w:lang w:val="es-ES"/>
        </w:rPr>
      </w:pPr>
    </w:p>
    <w:p w14:paraId="61992709" w14:textId="77777777" w:rsidR="00F92BED" w:rsidRPr="00F92BED" w:rsidRDefault="00F92BED" w:rsidP="00F92BED">
      <w:pPr>
        <w:jc w:val="center"/>
      </w:pPr>
      <w:r>
        <w:t>______________</w:t>
      </w:r>
    </w:p>
    <w:sectPr w:rsidR="00F92BED" w:rsidRPr="00F92BED" w:rsidSect="00C538FC">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CDFF" w14:textId="77777777" w:rsidR="00AC32C2" w:rsidRDefault="00AC32C2">
      <w:r>
        <w:separator/>
      </w:r>
    </w:p>
  </w:endnote>
  <w:endnote w:type="continuationSeparator" w:id="0">
    <w:p w14:paraId="4B8D9AA7" w14:textId="77777777" w:rsidR="00AC32C2" w:rsidRDefault="00A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2EB43A9" w14:textId="77777777" w:rsidTr="00E31DCE">
      <w:trPr>
        <w:jc w:val="center"/>
      </w:trPr>
      <w:tc>
        <w:tcPr>
          <w:tcW w:w="1803" w:type="dxa"/>
          <w:vAlign w:val="center"/>
        </w:tcPr>
        <w:p w14:paraId="58E043F6" w14:textId="7B125312" w:rsidR="003273A4" w:rsidRDefault="002946E2" w:rsidP="003273A4">
          <w:pPr>
            <w:pStyle w:val="Header"/>
            <w:jc w:val="left"/>
            <w:rPr>
              <w:noProof/>
            </w:rPr>
          </w:pPr>
          <w:r>
            <w:rPr>
              <w:noProof/>
            </w:rPr>
            <w:t xml:space="preserve">gDoc </w:t>
          </w:r>
          <w:r w:rsidR="00075923" w:rsidRPr="00075923">
            <w:rPr>
              <w:noProof/>
            </w:rPr>
            <w:t>2600984</w:t>
          </w:r>
        </w:p>
      </w:tc>
      <w:tc>
        <w:tcPr>
          <w:tcW w:w="8261" w:type="dxa"/>
        </w:tcPr>
        <w:p w14:paraId="2E9C07FD" w14:textId="6F5EB08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075923">
            <w:rPr>
              <w:bCs/>
            </w:rPr>
            <w:t>91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68F8091"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F7AEA89" w14:textId="77777777" w:rsidTr="00E31DCE">
      <w:trPr>
        <w:jc w:val="center"/>
      </w:trPr>
      <w:tc>
        <w:tcPr>
          <w:tcW w:w="1803" w:type="dxa"/>
          <w:vAlign w:val="center"/>
        </w:tcPr>
        <w:p w14:paraId="3A6A2E9A"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68AA224" w14:textId="5ABD3DA2"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075923">
            <w:rPr>
              <w:bCs/>
            </w:rPr>
            <w:t>91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984711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6E71" w14:textId="77777777" w:rsidR="00AC32C2" w:rsidRDefault="00AC32C2">
      <w:r>
        <w:t>____________________</w:t>
      </w:r>
    </w:p>
  </w:footnote>
  <w:footnote w:type="continuationSeparator" w:id="0">
    <w:p w14:paraId="59064906" w14:textId="77777777" w:rsidR="00AC32C2" w:rsidRDefault="00AC32C2">
      <w:r>
        <w:continuationSeparator/>
      </w:r>
    </w:p>
  </w:footnote>
  <w:footnote w:id="1">
    <w:p w14:paraId="715117B1" w14:textId="77777777" w:rsidR="00693BB2" w:rsidRDefault="00693BB2" w:rsidP="00693BB2">
      <w:pPr>
        <w:pStyle w:val="FootnoteText"/>
        <w:rPr>
          <w:lang w:val="es-ES"/>
        </w:rPr>
      </w:pPr>
      <w:r>
        <w:rPr>
          <w:lang w:val="es-ES"/>
        </w:rPr>
        <w:t>1</w:t>
      </w:r>
      <w:r>
        <w:rPr>
          <w:lang w:val="es-ES"/>
        </w:rPr>
        <w:tab/>
        <w:t xml:space="preserve">Por ejemplo, en la reunión del GTC-RHF celebrada en enero de 2026, el Director de la BR hizo suyos los comentarios de delegados respecto del retraso de las notificaciones de redes de satélites, observando que la situación relativa al cumplimiento de los plazos de inscripción podría ser aún más difícil a medida que aumentaba el número y la complejidad de las notificaciones. El Director de la BR subrayó que la situación no mejoraría si no se modernizaba el </w:t>
      </w:r>
      <w:r w:rsidRPr="00875328">
        <w:rPr>
          <w:i/>
          <w:iCs/>
          <w:lang w:val="es-ES"/>
        </w:rPr>
        <w:t>software</w:t>
      </w:r>
      <w:r>
        <w:rPr>
          <w:lang w:val="es-ES"/>
        </w:rPr>
        <w:t xml:space="preserve"> o se aumentaba la plantilla.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6758" w14:textId="77777777" w:rsidR="001559F5" w:rsidRPr="00B1560D" w:rsidRDefault="00B1560D" w:rsidP="00B1560D">
    <w:pPr>
      <w:pStyle w:val="Header"/>
    </w:pPr>
    <w:r>
      <w:rPr>
        <w:noProof/>
      </w:rPr>
      <w:drawing>
        <wp:inline distT="0" distB="0" distL="0" distR="0" wp14:anchorId="2ED17225" wp14:editId="3414D37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C2"/>
    <w:rsid w:val="000007D1"/>
    <w:rsid w:val="0006007D"/>
    <w:rsid w:val="00075923"/>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856E9"/>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5F466D"/>
    <w:rsid w:val="0060149A"/>
    <w:rsid w:val="00601924"/>
    <w:rsid w:val="006447EA"/>
    <w:rsid w:val="0064481D"/>
    <w:rsid w:val="0064731F"/>
    <w:rsid w:val="00664572"/>
    <w:rsid w:val="00666D09"/>
    <w:rsid w:val="00670579"/>
    <w:rsid w:val="006710F6"/>
    <w:rsid w:val="00677A97"/>
    <w:rsid w:val="00693BB2"/>
    <w:rsid w:val="006C1B56"/>
    <w:rsid w:val="006D4761"/>
    <w:rsid w:val="00726872"/>
    <w:rsid w:val="00760F1C"/>
    <w:rsid w:val="007657F0"/>
    <w:rsid w:val="0077110E"/>
    <w:rsid w:val="0077252D"/>
    <w:rsid w:val="007955DA"/>
    <w:rsid w:val="007E5DD3"/>
    <w:rsid w:val="007F350B"/>
    <w:rsid w:val="00820BE4"/>
    <w:rsid w:val="008451E8"/>
    <w:rsid w:val="0084546D"/>
    <w:rsid w:val="00875328"/>
    <w:rsid w:val="008C07E4"/>
    <w:rsid w:val="008F6ABC"/>
    <w:rsid w:val="00913B9C"/>
    <w:rsid w:val="00927F93"/>
    <w:rsid w:val="00956E77"/>
    <w:rsid w:val="009A338E"/>
    <w:rsid w:val="009A76A8"/>
    <w:rsid w:val="009F4811"/>
    <w:rsid w:val="00A01F4F"/>
    <w:rsid w:val="00A109AF"/>
    <w:rsid w:val="00A94438"/>
    <w:rsid w:val="00AA390C"/>
    <w:rsid w:val="00AC32C2"/>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C1FAF"/>
    <w:rsid w:val="00CF1A67"/>
    <w:rsid w:val="00D2750E"/>
    <w:rsid w:val="00D375E0"/>
    <w:rsid w:val="00D50A36"/>
    <w:rsid w:val="00D535BB"/>
    <w:rsid w:val="00D62446"/>
    <w:rsid w:val="00D9153D"/>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529E48"/>
  <w15:docId w15:val="{CB6542AF-A342-459B-8116-E20FDA15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link w:val="FootnoteTextChar"/>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693BB2"/>
    <w:rPr>
      <w:rFonts w:ascii="Calibri" w:hAnsi="Calibri"/>
      <w:b/>
      <w:sz w:val="28"/>
      <w:lang w:val="fr-FR" w:eastAsia="en-US"/>
    </w:rPr>
  </w:style>
  <w:style w:type="character" w:customStyle="1" w:styleId="FootnoteTextChar">
    <w:name w:val="Footnote Text Char"/>
    <w:basedOn w:val="DefaultParagraphFont"/>
    <w:link w:val="FootnoteText"/>
    <w:rsid w:val="00693BB2"/>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7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86/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itu.int/md/S26-CWGFHR22-C-0025/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6-CWGFHR22-C-0025/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tu.int/md/S26-CWGFHR22-C-0025/es" TargetMode="External"/><Relationship Id="rId4" Type="http://schemas.openxmlformats.org/officeDocument/2006/relationships/footnotes" Target="footnotes.xml"/><Relationship Id="rId9" Type="http://schemas.openxmlformats.org/officeDocument/2006/relationships/hyperlink" Target="https://www.itu.int/md/S26-CWGFHR22-C-0036/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1</TotalTime>
  <Pages>7</Pages>
  <Words>2264</Words>
  <Characters>12841</Characters>
  <Application>Microsoft Office Word</Application>
  <DocSecurity>0</DocSecurity>
  <Lines>237</Lines>
  <Paragraphs>129</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14976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la Federación de Rusia - Propuesta para la optimización de la atribución de recursos de la UIT a fin de adaptarla mejor a los objetivos de la Unión</dc:title>
  <dc:subject>Consejo 2026 de la UIT</dc:subject>
  <dc:creator>GBS</dc:creator>
  <cp:keywords>C26; C2026; Council 2026; PP26</cp:keywords>
  <dc:description/>
  <cp:lastModifiedBy>GBS</cp:lastModifiedBy>
  <cp:revision>2</cp:revision>
  <cp:lastPrinted>2006-03-24T09:51:00Z</cp:lastPrinted>
  <dcterms:created xsi:type="dcterms:W3CDTF">2026-04-26T15:28:00Z</dcterms:created>
  <dcterms:modified xsi:type="dcterms:W3CDTF">2026-04-26T15:28:00Z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