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DC29A2" w14:paraId="767C7FBD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BEE1153" w14:textId="233C856F" w:rsidR="00796BD3" w:rsidRPr="00DC29A2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DC29A2">
              <w:rPr>
                <w:b/>
                <w:lang w:val="ru-RU"/>
              </w:rPr>
              <w:t>Пункт повестки дня:</w:t>
            </w:r>
            <w:r w:rsidR="00A65CE2" w:rsidRPr="00DC29A2">
              <w:rPr>
                <w:lang w:val="ru-RU"/>
              </w:rPr>
              <w:t xml:space="preserve"> </w:t>
            </w:r>
            <w:r w:rsidR="00A65CE2" w:rsidRPr="00DC29A2">
              <w:rPr>
                <w:b/>
                <w:lang w:val="ru-RU"/>
              </w:rPr>
              <w:t>ADM 1</w:t>
            </w:r>
          </w:p>
        </w:tc>
        <w:tc>
          <w:tcPr>
            <w:tcW w:w="5245" w:type="dxa"/>
          </w:tcPr>
          <w:p w14:paraId="771B89A5" w14:textId="5F0E7EC2" w:rsidR="00796BD3" w:rsidRPr="00DC29A2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C29A2">
              <w:rPr>
                <w:b/>
                <w:lang w:val="ru-RU"/>
              </w:rPr>
              <w:t xml:space="preserve">Документ </w:t>
            </w:r>
            <w:r w:rsidR="00796BD3" w:rsidRPr="00DC29A2">
              <w:rPr>
                <w:b/>
                <w:lang w:val="ru-RU"/>
              </w:rPr>
              <w:t>C2</w:t>
            </w:r>
            <w:r w:rsidR="00BE00DD" w:rsidRPr="00DC29A2">
              <w:rPr>
                <w:b/>
                <w:lang w:val="ru-RU"/>
              </w:rPr>
              <w:t>6</w:t>
            </w:r>
            <w:r w:rsidR="00796BD3" w:rsidRPr="00DC29A2">
              <w:rPr>
                <w:b/>
                <w:lang w:val="ru-RU"/>
              </w:rPr>
              <w:t>/</w:t>
            </w:r>
            <w:r w:rsidR="00A65CE2" w:rsidRPr="00DC29A2">
              <w:rPr>
                <w:b/>
                <w:lang w:val="ru-RU"/>
              </w:rPr>
              <w:t>91</w:t>
            </w:r>
            <w:r w:rsidR="00796BD3" w:rsidRPr="00DC29A2">
              <w:rPr>
                <w:b/>
                <w:lang w:val="ru-RU"/>
              </w:rPr>
              <w:t>-R</w:t>
            </w:r>
          </w:p>
        </w:tc>
      </w:tr>
      <w:tr w:rsidR="00796BD3" w:rsidRPr="00DC29A2" w14:paraId="7A1B6AB4" w14:textId="77777777" w:rsidTr="00D17718">
        <w:trPr>
          <w:cantSplit/>
        </w:trPr>
        <w:tc>
          <w:tcPr>
            <w:tcW w:w="3969" w:type="dxa"/>
            <w:vMerge/>
          </w:tcPr>
          <w:p w14:paraId="213D7F28" w14:textId="77777777" w:rsidR="00796BD3" w:rsidRPr="00DC29A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F43E0FF" w14:textId="45A2A922" w:rsidR="00796BD3" w:rsidRPr="00DC29A2" w:rsidRDefault="00A65CE2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DC29A2">
              <w:rPr>
                <w:b/>
                <w:lang w:val="ru-RU"/>
              </w:rPr>
              <w:t>14 апреля 2026 года</w:t>
            </w:r>
          </w:p>
        </w:tc>
      </w:tr>
      <w:tr w:rsidR="00796BD3" w:rsidRPr="00DC29A2" w14:paraId="17327E3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8D973F4" w14:textId="77777777" w:rsidR="00796BD3" w:rsidRPr="00DC29A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9421529" w14:textId="2DC17402" w:rsidR="00796BD3" w:rsidRPr="00DC29A2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C29A2">
              <w:rPr>
                <w:b/>
                <w:lang w:val="ru-RU"/>
              </w:rPr>
              <w:t xml:space="preserve">Оригинал: </w:t>
            </w:r>
            <w:r w:rsidR="00A65CE2" w:rsidRPr="00DC29A2">
              <w:rPr>
                <w:b/>
                <w:lang w:val="ru-RU"/>
              </w:rPr>
              <w:t>русский</w:t>
            </w:r>
          </w:p>
        </w:tc>
      </w:tr>
      <w:tr w:rsidR="00796BD3" w:rsidRPr="00DC29A2" w14:paraId="0CA92FA4" w14:textId="77777777" w:rsidTr="00D17718">
        <w:trPr>
          <w:cantSplit/>
          <w:trHeight w:val="23"/>
        </w:trPr>
        <w:tc>
          <w:tcPr>
            <w:tcW w:w="3969" w:type="dxa"/>
          </w:tcPr>
          <w:p w14:paraId="0721DAC8" w14:textId="77777777" w:rsidR="00796BD3" w:rsidRPr="00DC29A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8D2DE5C" w14:textId="77777777" w:rsidR="00796BD3" w:rsidRPr="00DC29A2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DC29A2" w14:paraId="67C112DF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1954D3E" w14:textId="0BA1F509" w:rsidR="00796BD3" w:rsidRPr="00DC29A2" w:rsidRDefault="00A65CE2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DC29A2">
              <w:t>Вклад Российской Федерации</w:t>
            </w:r>
          </w:p>
        </w:tc>
      </w:tr>
      <w:tr w:rsidR="00796BD3" w:rsidRPr="00E34A25" w14:paraId="4A035B3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4FDDC8F" w14:textId="1DDB37EF" w:rsidR="00796BD3" w:rsidRPr="00DC29A2" w:rsidRDefault="00A65CE2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DC29A2">
              <w:rPr>
                <w:sz w:val="32"/>
              </w:rPr>
              <w:t>ПРЕДЛОЖЕНИЕ ПО ОПТИМИЗАЦИИ РАСПРЕДЕЛЕНИЯ РЕСУРСОВ МСЭ ДЛЯ БОЛЕЕ ТОЧНОГО СООТВЕТСТВИЯ ЦЕЛЯМ СОЮЗА</w:t>
            </w:r>
          </w:p>
        </w:tc>
      </w:tr>
      <w:tr w:rsidR="00796BD3" w:rsidRPr="00E34A25" w14:paraId="165BDF5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DCE9A1A" w14:textId="77777777" w:rsidR="00796BD3" w:rsidRPr="00DC29A2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C29A2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7485DF56" w14:textId="518D7638" w:rsidR="00A65CE2" w:rsidRPr="00DC29A2" w:rsidRDefault="00A65CE2" w:rsidP="00A65CE2">
            <w:pPr>
              <w:rPr>
                <w:szCs w:val="22"/>
                <w:lang w:val="ru-RU"/>
              </w:rPr>
            </w:pPr>
            <w:r w:rsidRPr="00DC29A2">
              <w:rPr>
                <w:szCs w:val="22"/>
                <w:lang w:val="ru-RU"/>
              </w:rPr>
              <w:t>Настоящий вклад развивает идеи, ранее представленные Российской Федерацией во вкладе </w:t>
            </w:r>
            <w:hyperlink r:id="rId8" w:tgtFrame="/private/var/folders/w1/r6xq73091_gfxzys7smktfw40000gn/T/com.kingsoft.wpsoffice.mac.global/wps-macos/x/_blank" w:history="1">
              <w:r w:rsidRPr="00DC29A2">
                <w:rPr>
                  <w:rStyle w:val="Hyperlink"/>
                  <w:szCs w:val="22"/>
                  <w:lang w:val="ru-RU"/>
                </w:rPr>
                <w:t>CWG-FHR-22/25</w:t>
              </w:r>
            </w:hyperlink>
            <w:r w:rsidRPr="00DC29A2">
              <w:rPr>
                <w:szCs w:val="22"/>
                <w:lang w:val="ru-RU"/>
              </w:rPr>
              <w:t xml:space="preserve"> на 22-м собрании Рабочей группы Совета по финансовым и людским ресурсам (РГС</w:t>
            </w:r>
            <w:r w:rsidR="00EE3067" w:rsidRPr="00DC29A2">
              <w:rPr>
                <w:szCs w:val="22"/>
                <w:lang w:val="ru-RU"/>
              </w:rPr>
              <w:t>-</w:t>
            </w:r>
            <w:r w:rsidRPr="00DC29A2">
              <w:rPr>
                <w:szCs w:val="22"/>
                <w:lang w:val="ru-RU"/>
              </w:rPr>
              <w:t>ФЛР) в январе 2026 года. В данном первоначальном документе было отмечено растущее несоответствие распределения ресурсов МСЭ его целям, закрепленным в Уставе Союза и других постоянных актах, происходящее на фоне деградации некоторых базовых функций МСЭ.</w:t>
            </w:r>
          </w:p>
          <w:p w14:paraId="4ED5E2FF" w14:textId="3428FC66" w:rsidR="00A65CE2" w:rsidRPr="00DC29A2" w:rsidRDefault="00A65CE2" w:rsidP="00A65CE2">
            <w:pPr>
              <w:rPr>
                <w:szCs w:val="22"/>
                <w:lang w:val="ru-RU"/>
              </w:rPr>
            </w:pPr>
            <w:r w:rsidRPr="00DC29A2">
              <w:rPr>
                <w:szCs w:val="22"/>
                <w:lang w:val="ru-RU"/>
              </w:rPr>
              <w:t xml:space="preserve">Предлагается реализовать дифференцированный подход к финансированию с периодическим пересмотром, что позволит обеспечить соответствие распределения ресурсов </w:t>
            </w:r>
            <w:r w:rsidR="00EE3067" w:rsidRPr="00DC29A2">
              <w:rPr>
                <w:szCs w:val="22"/>
                <w:lang w:val="ru-RU"/>
              </w:rPr>
              <w:t xml:space="preserve">целям </w:t>
            </w:r>
            <w:r w:rsidRPr="00DC29A2">
              <w:rPr>
                <w:szCs w:val="22"/>
                <w:lang w:val="ru-RU"/>
              </w:rPr>
              <w:t>МСЭ.</w:t>
            </w:r>
          </w:p>
          <w:p w14:paraId="25444318" w14:textId="77777777" w:rsidR="00796BD3" w:rsidRPr="00DC29A2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C29A2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1819E174" w14:textId="70DA0ACC" w:rsidR="00A65CE2" w:rsidRPr="00DC29A2" w:rsidRDefault="00A65CE2" w:rsidP="00A65CE2">
            <w:pPr>
              <w:rPr>
                <w:szCs w:val="22"/>
                <w:lang w:val="ru-RU"/>
              </w:rPr>
            </w:pPr>
            <w:r w:rsidRPr="00DC29A2">
              <w:rPr>
                <w:szCs w:val="22"/>
                <w:lang w:val="ru-RU"/>
              </w:rPr>
              <w:t>Совету предлагается рассмотреть настоящий вклад и, при необходимости, представить комментарии.</w:t>
            </w:r>
          </w:p>
          <w:p w14:paraId="5573313F" w14:textId="77777777" w:rsidR="00796BD3" w:rsidRPr="00DC29A2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DC29A2">
              <w:rPr>
                <w:szCs w:val="22"/>
                <w:lang w:val="ru-RU"/>
              </w:rPr>
              <w:t>__________________</w:t>
            </w:r>
          </w:p>
          <w:p w14:paraId="3F351AE0" w14:textId="77777777" w:rsidR="00796BD3" w:rsidRPr="00DC29A2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C29A2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7354C6CF" w14:textId="0B8DB330" w:rsidR="00796BD3" w:rsidRPr="00DC29A2" w:rsidRDefault="00A65CE2" w:rsidP="00D17718">
            <w:pPr>
              <w:spacing w:after="160"/>
              <w:rPr>
                <w:i/>
                <w:iCs/>
                <w:lang w:val="ru-RU"/>
              </w:rPr>
            </w:pPr>
            <w:r w:rsidRPr="00DC29A2">
              <w:rPr>
                <w:i/>
                <w:iCs/>
                <w:szCs w:val="22"/>
                <w:lang w:val="ru-RU"/>
              </w:rPr>
              <w:t xml:space="preserve">Вклад Российской Федерации </w:t>
            </w:r>
            <w:hyperlink r:id="rId9" w:tgtFrame="/private/var/folders/w1/r6xq73091_gfxzys7smktfw40000gn/T/com.kingsoft.wpsoffice.mac.global/wps-macos/x/_blank" w:history="1">
              <w:r w:rsidRPr="00DC29A2">
                <w:rPr>
                  <w:rStyle w:val="Hyperlink"/>
                  <w:i/>
                  <w:iCs/>
                  <w:szCs w:val="22"/>
                  <w:lang w:val="ru-RU"/>
                </w:rPr>
                <w:t>CWG-FHR-22/25</w:t>
              </w:r>
            </w:hyperlink>
            <w:r w:rsidRPr="00DC29A2">
              <w:rPr>
                <w:i/>
                <w:iCs/>
                <w:szCs w:val="22"/>
                <w:lang w:val="ru-RU"/>
              </w:rPr>
              <w:t xml:space="preserve">; вклад группы стран (Китай, Куба, Российская Федерация) </w:t>
            </w:r>
            <w:hyperlink r:id="rId10" w:history="1">
              <w:r w:rsidRPr="00DC29A2">
                <w:rPr>
                  <w:rStyle w:val="Hyperlink"/>
                  <w:i/>
                  <w:iCs/>
                  <w:szCs w:val="22"/>
                  <w:lang w:val="ru-RU"/>
                </w:rPr>
                <w:t>C25/86</w:t>
              </w:r>
            </w:hyperlink>
            <w:r w:rsidRPr="00DC29A2">
              <w:rPr>
                <w:i/>
                <w:iCs/>
                <w:szCs w:val="22"/>
                <w:lang w:val="ru-RU"/>
              </w:rPr>
              <w:t xml:space="preserve">; Отчет Председателя о двадцать втором собрании РГС-ФЛР </w:t>
            </w:r>
            <w:hyperlink r:id="rId11" w:tgtFrame="/private/var/folders/w1/r6xq73091_gfxzys7smktfw40000gn/T/com.kingsoft.wpsoffice.mac.global/wps-macos/x/_blank" w:history="1">
              <w:r w:rsidRPr="00DC29A2">
                <w:rPr>
                  <w:rStyle w:val="Hyperlink"/>
                  <w:i/>
                  <w:iCs/>
                  <w:szCs w:val="22"/>
                  <w:lang w:val="ru-RU"/>
                </w:rPr>
                <w:t>CWG</w:t>
              </w:r>
              <w:r w:rsidRPr="00DC29A2">
                <w:rPr>
                  <w:rStyle w:val="Hyperlink"/>
                  <w:i/>
                  <w:iCs/>
                  <w:szCs w:val="22"/>
                  <w:lang w:val="ru-RU"/>
                </w:rPr>
                <w:noBreakHyphen/>
                <w:t>FHR</w:t>
              </w:r>
              <w:r w:rsidRPr="00DC29A2">
                <w:rPr>
                  <w:rStyle w:val="Hyperlink"/>
                  <w:i/>
                  <w:iCs/>
                  <w:szCs w:val="22"/>
                  <w:lang w:val="ru-RU"/>
                </w:rPr>
                <w:noBreakHyphen/>
                <w:t>22/36</w:t>
              </w:r>
            </w:hyperlink>
          </w:p>
        </w:tc>
      </w:tr>
      <w:bookmarkEnd w:id="2"/>
      <w:bookmarkEnd w:id="6"/>
    </w:tbl>
    <w:p w14:paraId="5D932AD3" w14:textId="77777777" w:rsidR="00796BD3" w:rsidRPr="00DC29A2" w:rsidRDefault="00796BD3" w:rsidP="00796BD3">
      <w:pPr>
        <w:rPr>
          <w:lang w:val="ru-RU"/>
        </w:rPr>
      </w:pPr>
    </w:p>
    <w:p w14:paraId="71DEB8EA" w14:textId="77777777" w:rsidR="00D17718" w:rsidRPr="00DC29A2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0868E82A" w14:textId="77777777" w:rsidR="00165D06" w:rsidRPr="00DC29A2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DC29A2">
        <w:rPr>
          <w:lang w:val="ru-RU"/>
        </w:rPr>
        <w:br w:type="page"/>
      </w:r>
    </w:p>
    <w:p w14:paraId="485B7033" w14:textId="128ED9CB" w:rsidR="00A65CE2" w:rsidRPr="00DC29A2" w:rsidRDefault="00A65CE2" w:rsidP="00A65CE2">
      <w:pPr>
        <w:pStyle w:val="Heading1"/>
        <w:rPr>
          <w:lang w:val="ru-RU"/>
        </w:rPr>
      </w:pPr>
      <w:r w:rsidRPr="00DC29A2">
        <w:rPr>
          <w:lang w:val="ru-RU"/>
        </w:rPr>
        <w:lastRenderedPageBreak/>
        <w:t>1</w:t>
      </w:r>
      <w:r w:rsidRPr="00DC29A2">
        <w:rPr>
          <w:lang w:val="ru-RU"/>
        </w:rPr>
        <w:tab/>
        <w:t>Введение</w:t>
      </w:r>
    </w:p>
    <w:p w14:paraId="76EC2599" w14:textId="5C442B49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 xml:space="preserve">Вклад Российской Федерации </w:t>
      </w:r>
      <w:hyperlink r:id="rId12" w:tgtFrame="/private/var/folders/w1/r6xq73091_gfxzys7smktfw40000gn/T/com.kingsoft.wpsoffice.mac.global/wps-macos/x/_blank" w:history="1">
        <w:r w:rsidRPr="00DC29A2">
          <w:rPr>
            <w:rStyle w:val="Hyperlink"/>
            <w:lang w:val="ru-RU"/>
          </w:rPr>
          <w:t>CWG</w:t>
        </w:r>
        <w:r w:rsidR="00D67DB4" w:rsidRPr="00DC29A2">
          <w:rPr>
            <w:rStyle w:val="Hyperlink"/>
            <w:lang w:val="ru-RU"/>
          </w:rPr>
          <w:t>-</w:t>
        </w:r>
        <w:r w:rsidRPr="00DC29A2">
          <w:rPr>
            <w:rStyle w:val="Hyperlink"/>
            <w:lang w:val="ru-RU"/>
          </w:rPr>
          <w:t>FHR</w:t>
        </w:r>
        <w:r w:rsidR="00D67DB4" w:rsidRPr="00DC29A2">
          <w:rPr>
            <w:rStyle w:val="Hyperlink"/>
            <w:lang w:val="ru-RU"/>
          </w:rPr>
          <w:t>-</w:t>
        </w:r>
        <w:r w:rsidRPr="00DC29A2">
          <w:rPr>
            <w:rStyle w:val="Hyperlink"/>
            <w:lang w:val="ru-RU"/>
          </w:rPr>
          <w:t>22/25</w:t>
        </w:r>
      </w:hyperlink>
      <w:r w:rsidRPr="00DC29A2">
        <w:rPr>
          <w:lang w:val="ru-RU"/>
        </w:rPr>
        <w:t xml:space="preserve"> содержал призыв провести всестороннюю оценку и проверку рабочих программ МСЭ на предмет соответствия его </w:t>
      </w:r>
      <w:r w:rsidR="00EE3067" w:rsidRPr="00DC29A2">
        <w:rPr>
          <w:lang w:val="ru-RU"/>
        </w:rPr>
        <w:t xml:space="preserve">целям, с тем чтобы </w:t>
      </w:r>
      <w:r w:rsidRPr="00DC29A2">
        <w:rPr>
          <w:lang w:val="ru-RU"/>
        </w:rPr>
        <w:t xml:space="preserve">более полно обеспечить </w:t>
      </w:r>
      <w:r w:rsidR="00EE3067" w:rsidRPr="00DC29A2">
        <w:rPr>
          <w:lang w:val="ru-RU"/>
        </w:rPr>
        <w:t xml:space="preserve">цели </w:t>
      </w:r>
      <w:r w:rsidRPr="00DC29A2">
        <w:rPr>
          <w:lang w:val="ru-RU"/>
        </w:rPr>
        <w:t>Союза ресурсами.</w:t>
      </w:r>
    </w:p>
    <w:p w14:paraId="5C6B4CF3" w14:textId="00AE564F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 xml:space="preserve">Соображения участников 22-го собрания </w:t>
      </w:r>
      <w:r w:rsidR="00EE3067" w:rsidRPr="00DC29A2">
        <w:rPr>
          <w:lang w:val="ru-RU"/>
        </w:rPr>
        <w:t>Рабочей группы Совета по финансовым и людским ресурсам (РГС-ФЛР)</w:t>
      </w:r>
      <w:r w:rsidRPr="00DC29A2">
        <w:rPr>
          <w:lang w:val="ru-RU"/>
        </w:rPr>
        <w:t>, отраженные в Отчете Председателя, в кратком изложении приводятся ниже.</w:t>
      </w:r>
    </w:p>
    <w:p w14:paraId="1B73F58C" w14:textId="3384DB2A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 xml:space="preserve">Некоторые делегаты согласились с необходимостью дальнейшего прояснения основных </w:t>
      </w:r>
      <w:r w:rsidR="00EE3067" w:rsidRPr="00DC29A2">
        <w:rPr>
          <w:lang w:val="ru-RU"/>
        </w:rPr>
        <w:t xml:space="preserve">целей </w:t>
      </w:r>
      <w:r w:rsidRPr="00DC29A2">
        <w:rPr>
          <w:lang w:val="ru-RU"/>
        </w:rPr>
        <w:t>Союза, направленного на приоритизацию видов деятельности, соответствующих Уставу и Конвенции. Они поддержали дальнейшее изучение возможности введения ограничений на период действия Резолюций, принимаемых Полномочными конференциями (ПК) при наличии четких критериев для разграничения "основной" и "неосновной" деятельности. Участники попросили представить дополнительную информацию о том, какой механизм предполагается использовать для реализации пересмотра программ один раз в четыре года.</w:t>
      </w:r>
    </w:p>
    <w:p w14:paraId="4A9FCB95" w14:textId="77777777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 xml:space="preserve">Другие участники подчеркивали вклад МСЭ в таких областях, как вопросы изменения климата, гендерное равенство, этика ИИ, телемедицина и </w:t>
      </w:r>
      <w:proofErr w:type="spellStart"/>
      <w:r w:rsidRPr="00DC29A2">
        <w:rPr>
          <w:lang w:val="ru-RU"/>
        </w:rPr>
        <w:t>телеобразование</w:t>
      </w:r>
      <w:proofErr w:type="spellEnd"/>
      <w:r w:rsidRPr="00DC29A2">
        <w:rPr>
          <w:lang w:val="ru-RU"/>
        </w:rPr>
        <w:t>, отмечая преимущества сотрудничества в рамках ООН.</w:t>
      </w:r>
    </w:p>
    <w:p w14:paraId="6F51F728" w14:textId="0E414F5F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>Российская Федерация признает необходимость учета текущих изменений в электросвязи/</w:t>
      </w:r>
      <w:r w:rsidR="00EE3067" w:rsidRPr="00DC29A2">
        <w:rPr>
          <w:lang w:val="ru-RU"/>
        </w:rPr>
        <w:t>информационно-коммуникационных технологиях (</w:t>
      </w:r>
      <w:r w:rsidRPr="00DC29A2">
        <w:rPr>
          <w:lang w:val="ru-RU"/>
        </w:rPr>
        <w:t>ИКТ</w:t>
      </w:r>
      <w:r w:rsidR="00EE3067" w:rsidRPr="00DC29A2">
        <w:rPr>
          <w:lang w:val="ru-RU"/>
        </w:rPr>
        <w:t>)</w:t>
      </w:r>
      <w:r w:rsidRPr="00DC29A2">
        <w:rPr>
          <w:lang w:val="ru-RU"/>
        </w:rPr>
        <w:t>, включая цифровизацию, при определении новых задач, стоящих перед МСЭ. Однако сохраняется обеспокоенность тем, что расширение на периферийные области привело к нехватке ресурсов, в то время как основные функции, например, такие как координация использования спектра, разработка стандартов и др. нуждаются в постоянной поддержке для преодоления накопившихся проблем</w:t>
      </w:r>
      <w:r w:rsidR="00A657E1" w:rsidRPr="00DC29A2">
        <w:rPr>
          <w:rStyle w:val="FootnoteReference"/>
          <w:lang w:val="ru-RU"/>
        </w:rPr>
        <w:footnoteReference w:customMarkFollows="1" w:id="1"/>
        <w:t>1</w:t>
      </w:r>
      <w:r w:rsidRPr="00DC29A2">
        <w:rPr>
          <w:lang w:val="ru-RU"/>
        </w:rPr>
        <w:t>.</w:t>
      </w:r>
    </w:p>
    <w:p w14:paraId="3683A62E" w14:textId="71EBC484" w:rsidR="00A65CE2" w:rsidRPr="00DC29A2" w:rsidRDefault="00A65CE2" w:rsidP="00A65CE2">
      <w:pPr>
        <w:pStyle w:val="Heading1"/>
        <w:rPr>
          <w:lang w:val="ru-RU"/>
        </w:rPr>
      </w:pPr>
      <w:r w:rsidRPr="00DC29A2">
        <w:rPr>
          <w:lang w:val="ru-RU"/>
        </w:rPr>
        <w:t>2</w:t>
      </w:r>
      <w:r w:rsidRPr="00DC29A2">
        <w:rPr>
          <w:lang w:val="ru-RU"/>
        </w:rPr>
        <w:tab/>
        <w:t>Причины несоответствия распределения ресурсов реальным потребностям</w:t>
      </w:r>
    </w:p>
    <w:p w14:paraId="738AF4DF" w14:textId="09D79AA3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 xml:space="preserve">Дополнительные задачи Союза возникают в результате принятия ПК и конференциями/ассамблеями Секторов Союза новых </w:t>
      </w:r>
      <w:r w:rsidR="00D67DB4" w:rsidRPr="00DC29A2">
        <w:rPr>
          <w:lang w:val="ru-RU"/>
        </w:rPr>
        <w:t>Резолюций</w:t>
      </w:r>
      <w:r w:rsidRPr="00DC29A2">
        <w:rPr>
          <w:lang w:val="ru-RU"/>
        </w:rPr>
        <w:t xml:space="preserve">, которые не связаны напрямую с </w:t>
      </w:r>
      <w:r w:rsidR="00EE3067" w:rsidRPr="00DC29A2">
        <w:rPr>
          <w:lang w:val="ru-RU"/>
        </w:rPr>
        <w:t xml:space="preserve">целями </w:t>
      </w:r>
      <w:r w:rsidRPr="00DC29A2">
        <w:rPr>
          <w:lang w:val="ru-RU"/>
        </w:rPr>
        <w:t xml:space="preserve">Союза, определенными Уставом МСЭ. Эти </w:t>
      </w:r>
      <w:r w:rsidR="00D67DB4" w:rsidRPr="00DC29A2">
        <w:rPr>
          <w:lang w:val="ru-RU"/>
        </w:rPr>
        <w:t xml:space="preserve">Резолюции </w:t>
      </w:r>
      <w:r w:rsidRPr="00DC29A2">
        <w:rPr>
          <w:lang w:val="ru-RU"/>
        </w:rPr>
        <w:t xml:space="preserve">часто адресуются к областям, где ИКТ являются инструментом, а вопросы общей политики находятся в сфере компетенции других агентств ООН. По умолчанию все </w:t>
      </w:r>
      <w:r w:rsidR="00D67DB4" w:rsidRPr="00DC29A2">
        <w:rPr>
          <w:lang w:val="ru-RU"/>
        </w:rPr>
        <w:t xml:space="preserve">Резолюции </w:t>
      </w:r>
      <w:r w:rsidRPr="00DC29A2">
        <w:rPr>
          <w:lang w:val="ru-RU"/>
        </w:rPr>
        <w:t>имеют одинаковый статус.</w:t>
      </w:r>
    </w:p>
    <w:p w14:paraId="34E0F7C3" w14:textId="77777777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>Российская Федерация подтверждает, что уникальная роль МСЭ (Статья 1 Устава) должна быть сосредоточена на:</w:t>
      </w:r>
    </w:p>
    <w:p w14:paraId="358DCB48" w14:textId="60E48BD5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распределении радиочастотного спектра, выделении радиочастот и регистрации радиочастотных присвоений и, для космических служб, соответствующих позиций на орбите геостационарных спутников или определении соответствующих характеристик спутников на других орбитах;</w:t>
      </w:r>
    </w:p>
    <w:p w14:paraId="1BBC6206" w14:textId="26EB4456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lastRenderedPageBreak/>
        <w:t>−</w:t>
      </w:r>
      <w:r w:rsidRPr="00DC29A2">
        <w:rPr>
          <w:lang w:val="ru-RU"/>
        </w:rPr>
        <w:tab/>
        <w:t>глобальной стандартизации электросвязи и информационно-коммуникационных технологий;</w:t>
      </w:r>
    </w:p>
    <w:p w14:paraId="250943FE" w14:textId="48DC8817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 xml:space="preserve">выделении ресурсов </w:t>
      </w:r>
      <w:r w:rsidR="00EE3067" w:rsidRPr="00DC29A2">
        <w:rPr>
          <w:lang w:val="ru-RU"/>
        </w:rPr>
        <w:t>нумерации, наименования, адресации и идентификации (ННАИ)</w:t>
      </w:r>
      <w:r w:rsidRPr="00DC29A2">
        <w:rPr>
          <w:lang w:val="ru-RU"/>
        </w:rPr>
        <w:t>;</w:t>
      </w:r>
    </w:p>
    <w:p w14:paraId="6F822982" w14:textId="76E144C0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технической помощи для развивающихся стран;</w:t>
      </w:r>
    </w:p>
    <w:p w14:paraId="6F7F4FF1" w14:textId="0C279490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создании благоприятных регуляторных условий для развития ИКТ;</w:t>
      </w:r>
    </w:p>
    <w:p w14:paraId="022ACA2A" w14:textId="3F7F9386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содействии распространению преимуществ новых технологий на всех людей;</w:t>
      </w:r>
    </w:p>
    <w:p w14:paraId="3E9A593E" w14:textId="12DFECB0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координации действий Государств-Членов.</w:t>
      </w:r>
    </w:p>
    <w:p w14:paraId="425E6AE7" w14:textId="77777777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>Цели Союза детализированы в Административных регламентах МСЭ (Регламенте радиосвязи и Регламенте международной электросвязи), являющихся обязательными международными договорами.</w:t>
      </w:r>
    </w:p>
    <w:p w14:paraId="3B38066C" w14:textId="7F6553F3" w:rsidR="00A65CE2" w:rsidRPr="00DC29A2" w:rsidRDefault="007C3C4B" w:rsidP="00A65CE2">
      <w:pPr>
        <w:pStyle w:val="Heading1"/>
        <w:rPr>
          <w:lang w:val="ru-RU"/>
        </w:rPr>
      </w:pPr>
      <w:r w:rsidRPr="00DC29A2">
        <w:rPr>
          <w:lang w:val="ru-RU"/>
        </w:rPr>
        <w:t>3</w:t>
      </w:r>
      <w:r w:rsidRPr="00DC29A2">
        <w:rPr>
          <w:lang w:val="ru-RU"/>
        </w:rPr>
        <w:tab/>
      </w:r>
      <w:r w:rsidR="00A65CE2" w:rsidRPr="00DC29A2">
        <w:rPr>
          <w:lang w:val="ru-RU"/>
        </w:rPr>
        <w:t>Предлагаемый механизм реализации</w:t>
      </w:r>
    </w:p>
    <w:p w14:paraId="6F5B234A" w14:textId="77777777" w:rsidR="00A65CE2" w:rsidRPr="00DC29A2" w:rsidRDefault="00A65CE2" w:rsidP="00A65CE2">
      <w:pPr>
        <w:rPr>
          <w:lang w:val="ru-RU"/>
        </w:rPr>
      </w:pPr>
      <w:r w:rsidRPr="00DC29A2">
        <w:rPr>
          <w:b/>
          <w:bCs/>
          <w:lang w:val="ru-RU"/>
        </w:rPr>
        <w:t>Этап 1</w:t>
      </w:r>
      <w:r w:rsidRPr="00DC29A2">
        <w:rPr>
          <w:lang w:val="ru-RU"/>
        </w:rPr>
        <w:t>: Пилотный обзор (месяцы 0–6)</w:t>
      </w:r>
    </w:p>
    <w:p w14:paraId="1665C7B8" w14:textId="2966A1D5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 xml:space="preserve">Предлагается, чтобы ПК-26 создала временную Рабочую группу экспертов высокого уровня для уточнения распределения ресурсов </w:t>
      </w:r>
      <w:r w:rsidR="00EE3067" w:rsidRPr="00DC29A2">
        <w:rPr>
          <w:lang w:val="ru-RU"/>
        </w:rPr>
        <w:t xml:space="preserve">целям </w:t>
      </w:r>
      <w:r w:rsidRPr="00DC29A2">
        <w:rPr>
          <w:lang w:val="ru-RU"/>
        </w:rPr>
        <w:t>Союза в составе представителей:</w:t>
      </w:r>
    </w:p>
    <w:p w14:paraId="59AB9ECE" w14:textId="44A4F3EE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</w:r>
      <w:r w:rsidR="00D67DB4" w:rsidRPr="00DC29A2">
        <w:rPr>
          <w:lang w:val="ru-RU"/>
        </w:rPr>
        <w:t>12</w:t>
      </w:r>
      <w:r w:rsidRPr="00DC29A2">
        <w:rPr>
          <w:lang w:val="ru-RU"/>
        </w:rPr>
        <w:t xml:space="preserve"> Государств-Членов (на равной географической основе);</w:t>
      </w:r>
    </w:p>
    <w:p w14:paraId="27F8312F" w14:textId="6F210B44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трех Членов Сектора (по одному от каждого Сектора, частные компании);</w:t>
      </w:r>
    </w:p>
    <w:p w14:paraId="7783A493" w14:textId="072EBB45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одного представителя Объединенной инспекционной группы ООН (ОИГ ООН);</w:t>
      </w:r>
    </w:p>
    <w:p w14:paraId="104D86B4" w14:textId="477A5CDE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ответственного секретаря Группы от Генерального секретариата МСЭ.</w:t>
      </w:r>
    </w:p>
    <w:p w14:paraId="09355F11" w14:textId="77777777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>Круг ведения Руководящей группы (Группа экспертов высокого уровня):</w:t>
      </w:r>
    </w:p>
    <w:p w14:paraId="5F8CC114" w14:textId="26D2F652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разработка стандартизированной методологии оценки на основе Приложения 1;</w:t>
      </w:r>
    </w:p>
    <w:p w14:paraId="35D7F50E" w14:textId="7C53B2F0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 xml:space="preserve">выбор </w:t>
      </w:r>
      <w:proofErr w:type="gramStart"/>
      <w:r w:rsidR="00D67DB4" w:rsidRPr="00DC29A2">
        <w:rPr>
          <w:lang w:val="ru-RU"/>
        </w:rPr>
        <w:t>трех</w:t>
      </w:r>
      <w:r w:rsidRPr="00DC29A2">
        <w:rPr>
          <w:lang w:val="ru-RU"/>
        </w:rPr>
        <w:t>–</w:t>
      </w:r>
      <w:r w:rsidR="00D67DB4" w:rsidRPr="00DC29A2">
        <w:rPr>
          <w:lang w:val="ru-RU"/>
        </w:rPr>
        <w:t>пяти</w:t>
      </w:r>
      <w:proofErr w:type="gramEnd"/>
      <w:r w:rsidRPr="00DC29A2">
        <w:rPr>
          <w:lang w:val="ru-RU"/>
        </w:rPr>
        <w:t xml:space="preserve"> репрезентативных задач МСЭ для пилотного обзора;</w:t>
      </w:r>
    </w:p>
    <w:p w14:paraId="38E0FD4B" w14:textId="69328A53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представление отчета Совету 2027 года с рекомендациями по методологии.</w:t>
      </w:r>
    </w:p>
    <w:p w14:paraId="2A61EC9B" w14:textId="77777777" w:rsidR="00A65CE2" w:rsidRPr="00DC29A2" w:rsidRDefault="00A65CE2" w:rsidP="00A65CE2">
      <w:pPr>
        <w:rPr>
          <w:lang w:val="ru-RU"/>
        </w:rPr>
      </w:pPr>
      <w:r w:rsidRPr="00DC29A2">
        <w:rPr>
          <w:b/>
          <w:bCs/>
          <w:lang w:val="ru-RU"/>
        </w:rPr>
        <w:t>Этап 2</w:t>
      </w:r>
      <w:r w:rsidRPr="00DC29A2">
        <w:rPr>
          <w:lang w:val="ru-RU"/>
        </w:rPr>
        <w:t>: Проведение независимого обзора (месяцы 7–18)</w:t>
      </w:r>
    </w:p>
    <w:p w14:paraId="09BEBF4B" w14:textId="77777777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>Совет 2027 года должен санкционировать полный независимый обзор всей деятельности МСЭ, поручив его внешней организации (например, ОИГ ООН или специализированной консалтинговой компании).</w:t>
      </w:r>
    </w:p>
    <w:p w14:paraId="75BD5092" w14:textId="77777777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>Обзор должен применить многоуровневую классификацию (Уровни 1–4) и оценить все виды деятельности по критериям Приложения 1.</w:t>
      </w:r>
    </w:p>
    <w:p w14:paraId="7AC8F74F" w14:textId="77777777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>Результаты:</w:t>
      </w:r>
    </w:p>
    <w:p w14:paraId="0AC47EB9" w14:textId="09269518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публичная информационная панель для мониторинга соответствия распределения ресурсов мандатам (по видам деятельности, бюджету, штату);</w:t>
      </w:r>
    </w:p>
    <w:p w14:paraId="2F3E3DC6" w14:textId="33DE4E74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предложения с вариантами перераспределения ресурсов для Совета 2028 года.</w:t>
      </w:r>
    </w:p>
    <w:p w14:paraId="01D4A21C" w14:textId="77777777" w:rsidR="00A65CE2" w:rsidRPr="00DC29A2" w:rsidRDefault="00A65CE2" w:rsidP="00A65CE2">
      <w:pPr>
        <w:rPr>
          <w:lang w:val="ru-RU"/>
        </w:rPr>
      </w:pPr>
      <w:r w:rsidRPr="00DC29A2">
        <w:rPr>
          <w:b/>
          <w:bCs/>
          <w:lang w:val="ru-RU"/>
        </w:rPr>
        <w:t>Этап 3</w:t>
      </w:r>
      <w:r w:rsidRPr="00DC29A2">
        <w:rPr>
          <w:lang w:val="ru-RU"/>
        </w:rPr>
        <w:t>: Перераспределение ресурсов под руководством Совета (месяцы 19–30)</w:t>
      </w:r>
    </w:p>
    <w:p w14:paraId="555BC318" w14:textId="37AC4EC5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 xml:space="preserve">Совет создает Постоянный комитет по распределению ресурсов в соответствии с </w:t>
      </w:r>
      <w:r w:rsidR="00EE3067" w:rsidRPr="00DC29A2">
        <w:rPr>
          <w:lang w:val="ru-RU"/>
        </w:rPr>
        <w:t xml:space="preserve">целями </w:t>
      </w:r>
      <w:r w:rsidRPr="00DC29A2">
        <w:rPr>
          <w:lang w:val="ru-RU"/>
        </w:rPr>
        <w:t xml:space="preserve">Союза для: </w:t>
      </w:r>
    </w:p>
    <w:p w14:paraId="3C584F08" w14:textId="154D6EA6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рассмотрения независимого отчета и данных информационной панели;</w:t>
      </w:r>
    </w:p>
    <w:p w14:paraId="22DCB22F" w14:textId="02DB015D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предложения бюджетных перераспределений на следующий двухлетний период;</w:t>
      </w:r>
    </w:p>
    <w:p w14:paraId="07AC8B78" w14:textId="16E00269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представления отчета Совету 2029 года с рекомендациями по:</w:t>
      </w:r>
    </w:p>
    <w:p w14:paraId="016F3EA2" w14:textId="07595618" w:rsidR="00A65CE2" w:rsidRPr="00DC29A2" w:rsidRDefault="00A65CE2" w:rsidP="00A65CE2">
      <w:pPr>
        <w:pStyle w:val="enumlev2"/>
        <w:rPr>
          <w:lang w:val="ru-RU"/>
        </w:rPr>
      </w:pPr>
      <w:r w:rsidRPr="00DC29A2">
        <w:rPr>
          <w:lang w:val="ru-RU"/>
        </w:rPr>
        <w:t>•</w:t>
      </w:r>
      <w:r w:rsidRPr="00DC29A2">
        <w:rPr>
          <w:lang w:val="ru-RU"/>
        </w:rPr>
        <w:tab/>
        <w:t xml:space="preserve">прекращению или </w:t>
      </w:r>
      <w:proofErr w:type="spellStart"/>
      <w:r w:rsidRPr="00DC29A2">
        <w:rPr>
          <w:lang w:val="ru-RU"/>
        </w:rPr>
        <w:t>переформулированию</w:t>
      </w:r>
      <w:proofErr w:type="spellEnd"/>
      <w:r w:rsidRPr="00DC29A2">
        <w:rPr>
          <w:lang w:val="ru-RU"/>
        </w:rPr>
        <w:t xml:space="preserve"> неосновной/непрофильной деятельности МСЭ;</w:t>
      </w:r>
    </w:p>
    <w:p w14:paraId="23C27DA2" w14:textId="3D3F950B" w:rsidR="00A65CE2" w:rsidRPr="00DC29A2" w:rsidRDefault="00A65CE2" w:rsidP="00A65CE2">
      <w:pPr>
        <w:pStyle w:val="enumlev2"/>
        <w:rPr>
          <w:lang w:val="ru-RU"/>
        </w:rPr>
      </w:pPr>
      <w:r w:rsidRPr="00DC29A2">
        <w:rPr>
          <w:lang w:val="ru-RU"/>
        </w:rPr>
        <w:t>•</w:t>
      </w:r>
      <w:r w:rsidRPr="00DC29A2">
        <w:rPr>
          <w:lang w:val="ru-RU"/>
        </w:rPr>
        <w:tab/>
        <w:t>защите бюджетных строк для деятельности Уровня 1;</w:t>
      </w:r>
    </w:p>
    <w:p w14:paraId="775A6CD7" w14:textId="4B458B5E" w:rsidR="00A65CE2" w:rsidRPr="00DC29A2" w:rsidRDefault="00A65CE2" w:rsidP="00A65CE2">
      <w:pPr>
        <w:pStyle w:val="enumlev2"/>
        <w:rPr>
          <w:lang w:val="ru-RU"/>
        </w:rPr>
      </w:pPr>
      <w:r w:rsidRPr="00DC29A2">
        <w:rPr>
          <w:lang w:val="ru-RU"/>
        </w:rPr>
        <w:t>•</w:t>
      </w:r>
      <w:r w:rsidRPr="00DC29A2">
        <w:rPr>
          <w:lang w:val="ru-RU"/>
        </w:rPr>
        <w:tab/>
        <w:t>переводу деятельности Уровней 3–4 на добровольное финансирование или партнерства.</w:t>
      </w:r>
    </w:p>
    <w:p w14:paraId="630E7A43" w14:textId="77777777" w:rsidR="00A65CE2" w:rsidRPr="00DC29A2" w:rsidRDefault="00A65CE2" w:rsidP="00A65CE2">
      <w:pPr>
        <w:pStyle w:val="Headingb"/>
        <w:rPr>
          <w:lang w:val="ru-RU"/>
        </w:rPr>
      </w:pPr>
      <w:r w:rsidRPr="00DC29A2">
        <w:rPr>
          <w:lang w:val="ru-RU"/>
        </w:rPr>
        <w:t>Институционализация ежегодных обзоров</w:t>
      </w:r>
    </w:p>
    <w:p w14:paraId="3D755234" w14:textId="77777777" w:rsidR="00A65CE2" w:rsidRPr="00DC29A2" w:rsidRDefault="00A65CE2" w:rsidP="00D67DB4">
      <w:pPr>
        <w:keepNext/>
        <w:keepLines/>
        <w:rPr>
          <w:lang w:val="ru-RU"/>
        </w:rPr>
      </w:pPr>
      <w:r w:rsidRPr="00DC29A2">
        <w:rPr>
          <w:lang w:val="ru-RU"/>
        </w:rPr>
        <w:t>Для устойчивого продолжения работы в этом направлении после Совета 2029 года и ПК-30:</w:t>
      </w:r>
    </w:p>
    <w:p w14:paraId="58DF6404" w14:textId="7AA22F12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 xml:space="preserve">ежегодный обзор распределения ресурсов в соответствии с </w:t>
      </w:r>
      <w:r w:rsidR="00EE3067" w:rsidRPr="00DC29A2">
        <w:rPr>
          <w:lang w:val="ru-RU"/>
        </w:rPr>
        <w:t xml:space="preserve">целями </w:t>
      </w:r>
      <w:r w:rsidRPr="00DC29A2">
        <w:rPr>
          <w:lang w:val="ru-RU"/>
        </w:rPr>
        <w:t>Союза, проводимый Секретариатом и рассматриваемый РГС-ФЛР;</w:t>
      </w:r>
    </w:p>
    <w:p w14:paraId="0D0CC01A" w14:textId="1E877BE6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 xml:space="preserve">интеграция в процесс разработки Программы и бюджета (с обязательным подтверждением соответствия </w:t>
      </w:r>
      <w:r w:rsidR="00EE3067" w:rsidRPr="00DC29A2">
        <w:rPr>
          <w:lang w:val="ru-RU"/>
        </w:rPr>
        <w:t xml:space="preserve">целям </w:t>
      </w:r>
      <w:r w:rsidRPr="00DC29A2">
        <w:rPr>
          <w:lang w:val="ru-RU"/>
        </w:rPr>
        <w:t>Союза и оценкой потребности в ресурсах);</w:t>
      </w:r>
    </w:p>
    <w:p w14:paraId="3D326655" w14:textId="40627A9B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 xml:space="preserve">положение об истечении срока действия для новых </w:t>
      </w:r>
      <w:r w:rsidR="00A657E1" w:rsidRPr="00DC29A2">
        <w:rPr>
          <w:lang w:val="ru-RU"/>
        </w:rPr>
        <w:t xml:space="preserve">Резолюций </w:t>
      </w:r>
      <w:r w:rsidRPr="00DC29A2">
        <w:rPr>
          <w:lang w:val="ru-RU"/>
        </w:rPr>
        <w:t xml:space="preserve">ПК со сроком действия более </w:t>
      </w:r>
      <w:r w:rsidR="00A657E1" w:rsidRPr="00DC29A2">
        <w:rPr>
          <w:lang w:val="ru-RU"/>
        </w:rPr>
        <w:t>четырех</w:t>
      </w:r>
      <w:r w:rsidRPr="00DC29A2">
        <w:rPr>
          <w:lang w:val="ru-RU"/>
        </w:rPr>
        <w:t xml:space="preserve"> лет; продление возможно только при наличии положительного результата обзора соответствия </w:t>
      </w:r>
      <w:r w:rsidR="00EE3067" w:rsidRPr="00DC29A2">
        <w:rPr>
          <w:lang w:val="ru-RU"/>
        </w:rPr>
        <w:t xml:space="preserve">целям </w:t>
      </w:r>
      <w:r w:rsidRPr="00DC29A2">
        <w:rPr>
          <w:lang w:val="ru-RU"/>
        </w:rPr>
        <w:t>Союза, оценки потребности в ресурсах и подтверждении отсутствия дублирования.</w:t>
      </w:r>
    </w:p>
    <w:p w14:paraId="518CB042" w14:textId="77777777" w:rsidR="00A65CE2" w:rsidRPr="00DC29A2" w:rsidRDefault="00A65CE2" w:rsidP="00A65CE2">
      <w:pPr>
        <w:pStyle w:val="Headingb"/>
        <w:rPr>
          <w:lang w:val="ru-RU"/>
        </w:rPr>
      </w:pPr>
      <w:r w:rsidRPr="00DC29A2">
        <w:rPr>
          <w:lang w:val="ru-RU"/>
        </w:rPr>
        <w:t>Прозрачность и вовлечение заинтересованных сторон</w:t>
      </w:r>
    </w:p>
    <w:p w14:paraId="1D52A49A" w14:textId="554789EB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 xml:space="preserve">публичный доступ к агрегированным данным по распределению ресурсов в соответствии с </w:t>
      </w:r>
      <w:r w:rsidR="00EE3067" w:rsidRPr="00DC29A2">
        <w:rPr>
          <w:lang w:val="ru-RU"/>
        </w:rPr>
        <w:t xml:space="preserve">целями </w:t>
      </w:r>
      <w:r w:rsidRPr="00DC29A2">
        <w:rPr>
          <w:lang w:val="ru-RU"/>
        </w:rPr>
        <w:t>Союза;</w:t>
      </w:r>
    </w:p>
    <w:p w14:paraId="06816C82" w14:textId="4648AF24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механизм анонимной обратной связи от штата МСЭ;</w:t>
      </w:r>
    </w:p>
    <w:p w14:paraId="2E2C726C" w14:textId="43261F85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ежегодные брифинги для Государств-Членов о ходе работы.</w:t>
      </w:r>
    </w:p>
    <w:p w14:paraId="7A2E5FBD" w14:textId="77777777" w:rsidR="00A65CE2" w:rsidRPr="00DC29A2" w:rsidRDefault="00A65CE2" w:rsidP="00A65CE2">
      <w:pPr>
        <w:pStyle w:val="Headingb"/>
        <w:rPr>
          <w:lang w:val="ru-RU"/>
        </w:rPr>
      </w:pPr>
      <w:r w:rsidRPr="00DC29A2">
        <w:rPr>
          <w:lang w:val="ru-RU"/>
        </w:rPr>
        <w:t>Связь с бюджетными циклами</w:t>
      </w:r>
    </w:p>
    <w:p w14:paraId="601BD2F0" w14:textId="1E0691C1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 xml:space="preserve">Предложения по Программе и бюджету должны включать для каждой программы оценку соответствия </w:t>
      </w:r>
      <w:r w:rsidR="00EE3067" w:rsidRPr="00DC29A2">
        <w:rPr>
          <w:lang w:val="ru-RU"/>
        </w:rPr>
        <w:t xml:space="preserve">целям </w:t>
      </w:r>
      <w:r w:rsidRPr="00DC29A2">
        <w:rPr>
          <w:lang w:val="ru-RU"/>
        </w:rPr>
        <w:t>Союза. Активности Уровней 3–4, в случае если они не будут отнесены к другим уровням, могут быть рекомендованы для добровольного финансирования.</w:t>
      </w:r>
    </w:p>
    <w:p w14:paraId="26783601" w14:textId="77777777" w:rsidR="00A65CE2" w:rsidRPr="00DC29A2" w:rsidRDefault="00A65CE2" w:rsidP="00A65CE2">
      <w:pPr>
        <w:pStyle w:val="Headingb"/>
        <w:rPr>
          <w:lang w:val="ru-RU"/>
        </w:rPr>
      </w:pPr>
      <w:r w:rsidRPr="00DC29A2">
        <w:rPr>
          <w:lang w:val="ru-RU"/>
        </w:rPr>
        <w:t>Укрепление роли РГС-ФЛР</w:t>
      </w:r>
    </w:p>
    <w:p w14:paraId="6CBC7EA8" w14:textId="0CEDEE05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 xml:space="preserve">РГС-ФЛР осуществляет ежегодный надзор за соответствием распределения ресурсов </w:t>
      </w:r>
      <w:r w:rsidR="00EE3067" w:rsidRPr="00DC29A2">
        <w:rPr>
          <w:lang w:val="ru-RU"/>
        </w:rPr>
        <w:t xml:space="preserve">целям </w:t>
      </w:r>
      <w:r w:rsidRPr="00DC29A2">
        <w:rPr>
          <w:lang w:val="ru-RU"/>
        </w:rPr>
        <w:t xml:space="preserve">Союза; Секретариат представляет отчеты о: </w:t>
      </w:r>
    </w:p>
    <w:p w14:paraId="1653D903" w14:textId="5B19D0EE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>распределении рабочего времени сотрудников и бюджета по уровням деятельности;</w:t>
      </w:r>
    </w:p>
    <w:p w14:paraId="29B903CF" w14:textId="78F313CD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 xml:space="preserve">прогрессе в прекращении или </w:t>
      </w:r>
      <w:proofErr w:type="spellStart"/>
      <w:r w:rsidRPr="00DC29A2">
        <w:rPr>
          <w:lang w:val="ru-RU"/>
        </w:rPr>
        <w:t>переформулировании</w:t>
      </w:r>
      <w:proofErr w:type="spellEnd"/>
      <w:r w:rsidRPr="00DC29A2">
        <w:rPr>
          <w:lang w:val="ru-RU"/>
        </w:rPr>
        <w:t xml:space="preserve"> неосновной/непрофильной деятельности;</w:t>
      </w:r>
    </w:p>
    <w:p w14:paraId="39D3ED1F" w14:textId="68A15E3B" w:rsidR="00A65CE2" w:rsidRPr="00DC29A2" w:rsidRDefault="00A65CE2" w:rsidP="00A65CE2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Pr="00DC29A2">
        <w:rPr>
          <w:lang w:val="ru-RU"/>
        </w:rPr>
        <w:tab/>
        <w:t xml:space="preserve">новых видах деятельности с декларациями о соответствии </w:t>
      </w:r>
      <w:r w:rsidR="00EE3067" w:rsidRPr="00DC29A2">
        <w:rPr>
          <w:lang w:val="ru-RU"/>
        </w:rPr>
        <w:t xml:space="preserve">целям </w:t>
      </w:r>
      <w:r w:rsidRPr="00DC29A2">
        <w:rPr>
          <w:lang w:val="ru-RU"/>
        </w:rPr>
        <w:t>Союза.</w:t>
      </w:r>
    </w:p>
    <w:p w14:paraId="123C9EB3" w14:textId="50011808" w:rsidR="00A65CE2" w:rsidRPr="00DC29A2" w:rsidRDefault="00A65CE2" w:rsidP="00A65CE2">
      <w:pPr>
        <w:pStyle w:val="Heading1"/>
        <w:rPr>
          <w:lang w:val="ru-RU"/>
        </w:rPr>
      </w:pPr>
      <w:r w:rsidRPr="00DC29A2">
        <w:rPr>
          <w:lang w:val="ru-RU"/>
        </w:rPr>
        <w:t>4</w:t>
      </w:r>
      <w:r w:rsidRPr="00DC29A2">
        <w:rPr>
          <w:lang w:val="ru-RU"/>
        </w:rPr>
        <w:tab/>
        <w:t>Заключение</w:t>
      </w:r>
    </w:p>
    <w:p w14:paraId="3AA0E3BD" w14:textId="77777777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>МСЭ необходимо применить подход, ориентированный на возврат к приоритизации базовых функций и задач, чтобы усилить свое влияние, повысить технический авторитет, оптимизировать работу и укрепить доверие заинтересованных сторон. Цель состоит не в сворачивании деятельности МСЭ, а в стратегической переориентации на его основные сравнительные преимущества.</w:t>
      </w:r>
    </w:p>
    <w:p w14:paraId="2C88FA66" w14:textId="77777777" w:rsidR="00A65CE2" w:rsidRPr="00DC29A2" w:rsidRDefault="00A65CE2" w:rsidP="00A65CE2">
      <w:pPr>
        <w:spacing w:before="1440"/>
        <w:rPr>
          <w:lang w:val="ru-RU"/>
        </w:rPr>
      </w:pPr>
      <w:r w:rsidRPr="00DC29A2">
        <w:rPr>
          <w:b/>
          <w:bCs/>
          <w:lang w:val="ru-RU"/>
        </w:rPr>
        <w:t>Приложение</w:t>
      </w:r>
      <w:r w:rsidRPr="00DC29A2">
        <w:rPr>
          <w:lang w:val="ru-RU"/>
        </w:rPr>
        <w:t>: 1</w:t>
      </w:r>
    </w:p>
    <w:p w14:paraId="1DFADCD8" w14:textId="77777777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br w:type="page"/>
      </w:r>
    </w:p>
    <w:p w14:paraId="3BF71061" w14:textId="77777777" w:rsidR="00A65CE2" w:rsidRPr="00DC29A2" w:rsidRDefault="00A65CE2" w:rsidP="00BF6E38">
      <w:pPr>
        <w:pStyle w:val="AnnexNo"/>
        <w:spacing w:after="360"/>
        <w:rPr>
          <w:lang w:val="ru-RU"/>
        </w:rPr>
      </w:pPr>
      <w:r w:rsidRPr="00DC29A2">
        <w:rPr>
          <w:lang w:val="ru-RU"/>
        </w:rPr>
        <w:t>Приложение 1</w:t>
      </w:r>
    </w:p>
    <w:p w14:paraId="103C1EC6" w14:textId="79427606" w:rsidR="00A65CE2" w:rsidRPr="00DC29A2" w:rsidRDefault="00A65CE2" w:rsidP="00363C86">
      <w:pPr>
        <w:pStyle w:val="Headingb"/>
        <w:rPr>
          <w:lang w:val="ru-RU"/>
        </w:rPr>
      </w:pPr>
      <w:r w:rsidRPr="00DC29A2">
        <w:rPr>
          <w:lang w:val="ru-RU"/>
        </w:rPr>
        <w:t>Показатели</w:t>
      </w:r>
    </w:p>
    <w:p w14:paraId="6D755AFB" w14:textId="501E28B0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>Упоминается ли деятельность в договорных инструментах МСЭ?</w:t>
      </w:r>
    </w:p>
    <w:p w14:paraId="4A305335" w14:textId="56C0573E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>Является ли МСЭ единственной глобальной технической площадкой по данному вопросу?</w:t>
      </w:r>
    </w:p>
    <w:p w14:paraId="3AF4F431" w14:textId="50E1B7F4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>Признают ли другие агентства ООН в явном виде лидерство МСЭ?</w:t>
      </w:r>
    </w:p>
    <w:p w14:paraId="6248D0C5" w14:textId="77777777" w:rsidR="00A65CE2" w:rsidRPr="00DC29A2" w:rsidRDefault="00A65CE2" w:rsidP="00363C86">
      <w:pPr>
        <w:pStyle w:val="Headingb"/>
        <w:rPr>
          <w:lang w:val="ru-RU"/>
        </w:rPr>
      </w:pPr>
      <w:r w:rsidRPr="00DC29A2">
        <w:rPr>
          <w:lang w:val="ru-RU"/>
        </w:rPr>
        <w:t>Ключевые вопросы по каждому виду деятельности</w:t>
      </w:r>
    </w:p>
    <w:p w14:paraId="1E7DEEA9" w14:textId="0F238C2B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 xml:space="preserve">Поддерживает ли она напрямую основные </w:t>
      </w:r>
      <w:r w:rsidR="00EE3067" w:rsidRPr="00DC29A2">
        <w:rPr>
          <w:lang w:val="ru-RU"/>
        </w:rPr>
        <w:t xml:space="preserve">цели </w:t>
      </w:r>
      <w:r w:rsidR="00A65CE2" w:rsidRPr="00DC29A2">
        <w:rPr>
          <w:lang w:val="ru-RU"/>
        </w:rPr>
        <w:t>Союза (МСЭ-R, МСЭ-T, МСЭ-D), определенные Уставом, Конвенцией, Регламентом радиосвязи и Регламентом международной электросвязи?</w:t>
      </w:r>
    </w:p>
    <w:p w14:paraId="60397BBF" w14:textId="3AD0AE91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 xml:space="preserve">Является ли она необходимой, эффективной и целесообразной с учетом </w:t>
      </w:r>
      <w:r w:rsidR="00EE3067" w:rsidRPr="00DC29A2">
        <w:rPr>
          <w:lang w:val="ru-RU"/>
        </w:rPr>
        <w:t xml:space="preserve">целей </w:t>
      </w:r>
      <w:r w:rsidR="00A65CE2" w:rsidRPr="00DC29A2">
        <w:rPr>
          <w:lang w:val="ru-RU"/>
        </w:rPr>
        <w:t>Союза и сравнительных преимуществ МСЭ?</w:t>
      </w:r>
    </w:p>
    <w:p w14:paraId="184D2AA0" w14:textId="0E09759C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>Обладает ли МСЭ уникальной технической компетенцией или деятельность дублирует работу другого агентства ООН (ПРООН, ЮНЕСКО, ЮНЕП, ВОЗ и др.)?</w:t>
      </w:r>
    </w:p>
    <w:p w14:paraId="6369069A" w14:textId="3C76B13F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>Даже если намерения благие, эффективен ли подход МСЭ или он не соответствует его компетенциям (например, социальная политика, международное гуманитарное право)?</w:t>
      </w:r>
    </w:p>
    <w:p w14:paraId="4F2F30EA" w14:textId="30479834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>Отвлекает ли она ресурсы от основных функций (подготовка ВКР, соблюдение сроков регистрации, целостность баз данных, разработка стандартов)?</w:t>
      </w:r>
    </w:p>
    <w:p w14:paraId="60745B38" w14:textId="77777777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>Обзор также должен оценивать результаты: уровень принятия адресатами разрабатываемых политик, устойчивое повышение технических компетенций, ощутимые результаты работы форумов.</w:t>
      </w:r>
    </w:p>
    <w:p w14:paraId="6ADC67DB" w14:textId="77777777" w:rsidR="00A65CE2" w:rsidRPr="00DC29A2" w:rsidRDefault="00A65CE2" w:rsidP="00363C86">
      <w:pPr>
        <w:pStyle w:val="Headingb"/>
        <w:rPr>
          <w:lang w:val="ru-RU"/>
        </w:rPr>
      </w:pPr>
      <w:r w:rsidRPr="00DC29A2">
        <w:rPr>
          <w:lang w:val="ru-RU"/>
        </w:rPr>
        <w:t>Каталогизация и многоуровневая классификация</w:t>
      </w:r>
    </w:p>
    <w:p w14:paraId="248927B5" w14:textId="77777777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>Каталогизировать все виды деятельности, проекты, результаты и собрания за предыдущий четырехгодичный цикл, сопоставляя каждый элемент с конкретными положениями Устава, Конвенции, Регламента радиосвязи и Регламента международной электросвязи.</w:t>
      </w:r>
    </w:p>
    <w:p w14:paraId="3CC51B01" w14:textId="77777777" w:rsidR="00A65CE2" w:rsidRPr="00DC29A2" w:rsidRDefault="00A65CE2" w:rsidP="00363C86">
      <w:pPr>
        <w:pStyle w:val="Headingb"/>
        <w:rPr>
          <w:lang w:val="ru-RU"/>
        </w:rPr>
      </w:pPr>
      <w:r w:rsidRPr="00DC29A2">
        <w:rPr>
          <w:lang w:val="ru-RU"/>
        </w:rPr>
        <w:t>Уровень 1 – Деятельность, основанная на международных договорах</w:t>
      </w:r>
    </w:p>
    <w:p w14:paraId="70A9BD71" w14:textId="5CA6D25A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 xml:space="preserve">Непосредственная реализация </w:t>
      </w:r>
      <w:r w:rsidR="00EE3067" w:rsidRPr="00DC29A2">
        <w:rPr>
          <w:lang w:val="ru-RU"/>
        </w:rPr>
        <w:t xml:space="preserve">целей </w:t>
      </w:r>
      <w:r w:rsidRPr="00DC29A2">
        <w:rPr>
          <w:lang w:val="ru-RU"/>
        </w:rPr>
        <w:t xml:space="preserve">Союза, не зависящая от принимаемых </w:t>
      </w:r>
      <w:r w:rsidR="00BF6E38" w:rsidRPr="00DC29A2">
        <w:rPr>
          <w:lang w:val="ru-RU"/>
        </w:rPr>
        <w:t xml:space="preserve">Резолюций </w:t>
      </w:r>
      <w:r w:rsidRPr="00DC29A2">
        <w:rPr>
          <w:lang w:val="ru-RU"/>
        </w:rPr>
        <w:t>(например: ведение Международного справочного регистра частот; разработка рекомендаций по совместимости</w:t>
      </w:r>
      <w:r w:rsidR="00BF6E38" w:rsidRPr="00DC29A2">
        <w:rPr>
          <w:lang w:val="ru-RU"/>
        </w:rPr>
        <w:t>)</w:t>
      </w:r>
      <w:r w:rsidRPr="00DC29A2">
        <w:rPr>
          <w:lang w:val="ru-RU"/>
        </w:rPr>
        <w:t xml:space="preserve">. Данная деятельность закреплена в </w:t>
      </w:r>
      <w:r w:rsidR="00BF6E38" w:rsidRPr="00DC29A2">
        <w:rPr>
          <w:lang w:val="ru-RU"/>
        </w:rPr>
        <w:t xml:space="preserve">Статье </w:t>
      </w:r>
      <w:r w:rsidRPr="00DC29A2">
        <w:rPr>
          <w:lang w:val="ru-RU"/>
        </w:rPr>
        <w:t>1 Устава, Конвенции и Административных регламентах. Основные результаты: обязательные для выполнения/технического характера.</w:t>
      </w:r>
    </w:p>
    <w:p w14:paraId="3AD58E37" w14:textId="77777777" w:rsidR="00A65CE2" w:rsidRPr="00DC29A2" w:rsidRDefault="00A65CE2" w:rsidP="00363C86">
      <w:pPr>
        <w:pStyle w:val="Headingb"/>
        <w:rPr>
          <w:lang w:val="ru-RU"/>
        </w:rPr>
      </w:pPr>
      <w:r w:rsidRPr="00DC29A2">
        <w:rPr>
          <w:lang w:val="ru-RU"/>
        </w:rPr>
        <w:t>Уровень 2 – Логически необходимые виды деятельности</w:t>
      </w:r>
    </w:p>
    <w:p w14:paraId="2DBD98B1" w14:textId="49312733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 xml:space="preserve">Необходимы для реализации какой-либо основной </w:t>
      </w:r>
      <w:r w:rsidR="00EE3067" w:rsidRPr="00DC29A2">
        <w:rPr>
          <w:lang w:val="ru-RU"/>
        </w:rPr>
        <w:t xml:space="preserve">цели </w:t>
      </w:r>
      <w:r w:rsidRPr="00DC29A2">
        <w:rPr>
          <w:lang w:val="ru-RU"/>
        </w:rPr>
        <w:t>Союза (например: обучение регуляторов управлению спектром; поддержка новых технологий; преодоление цифрового разрыва).</w:t>
      </w:r>
    </w:p>
    <w:p w14:paraId="5D97876E" w14:textId="77777777" w:rsidR="00A65CE2" w:rsidRPr="00DC29A2" w:rsidRDefault="00A65CE2" w:rsidP="00363C86">
      <w:pPr>
        <w:pStyle w:val="Headingb"/>
        <w:rPr>
          <w:lang w:val="ru-RU"/>
        </w:rPr>
      </w:pPr>
      <w:r w:rsidRPr="00DC29A2">
        <w:rPr>
          <w:lang w:val="ru-RU"/>
        </w:rPr>
        <w:t>Уровень 3 – ИКТ как инструмент</w:t>
      </w:r>
    </w:p>
    <w:p w14:paraId="19336B98" w14:textId="77F6C46C" w:rsidR="00A65CE2" w:rsidRPr="00DC29A2" w:rsidRDefault="00A65CE2" w:rsidP="00A65CE2">
      <w:pPr>
        <w:rPr>
          <w:lang w:val="ru-RU"/>
        </w:rPr>
      </w:pPr>
      <w:r w:rsidRPr="00DC29A2">
        <w:rPr>
          <w:lang w:val="ru-RU"/>
        </w:rPr>
        <w:t xml:space="preserve">Общей политикой и реализацией руководят другие агентства; при этом деятельность ощутимо способствует достижению целей, предусмотренных договорными инструментами, но МСЭ должен соответствовать </w:t>
      </w:r>
      <w:r w:rsidR="00EE3067" w:rsidRPr="00DC29A2">
        <w:rPr>
          <w:lang w:val="ru-RU"/>
        </w:rPr>
        <w:t xml:space="preserve">целям </w:t>
      </w:r>
      <w:r w:rsidRPr="00DC29A2">
        <w:rPr>
          <w:lang w:val="ru-RU"/>
        </w:rPr>
        <w:t>Союза и избегать вовлечения в вопросы, связанные с общими политиками.</w:t>
      </w:r>
    </w:p>
    <w:p w14:paraId="64B35785" w14:textId="68552A24" w:rsidR="00A65CE2" w:rsidRPr="00DC29A2" w:rsidRDefault="00A65CE2" w:rsidP="00363C86">
      <w:pPr>
        <w:pStyle w:val="Headingb"/>
        <w:rPr>
          <w:lang w:val="ru-RU"/>
        </w:rPr>
      </w:pPr>
      <w:r w:rsidRPr="00DC29A2">
        <w:rPr>
          <w:lang w:val="ru-RU"/>
        </w:rPr>
        <w:t xml:space="preserve">Уровень 4 – Деятельность, лишь косвенно связанная с </w:t>
      </w:r>
      <w:r w:rsidR="00EE3067" w:rsidRPr="00DC29A2">
        <w:rPr>
          <w:lang w:val="ru-RU"/>
        </w:rPr>
        <w:t xml:space="preserve">целями </w:t>
      </w:r>
      <w:r w:rsidRPr="00DC29A2">
        <w:rPr>
          <w:lang w:val="ru-RU"/>
        </w:rPr>
        <w:t>Союза</w:t>
      </w:r>
    </w:p>
    <w:p w14:paraId="4F317716" w14:textId="0A92ABCE" w:rsidR="00A65CE2" w:rsidRPr="00DC29A2" w:rsidRDefault="00A65CE2" w:rsidP="00A65CE2">
      <w:pPr>
        <w:rPr>
          <w:lang w:val="ru-RU"/>
        </w:rPr>
      </w:pPr>
      <w:bookmarkStart w:id="7" w:name="_Hlk226977071"/>
      <w:r w:rsidRPr="00DC29A2">
        <w:rPr>
          <w:lang w:val="ru-RU"/>
        </w:rPr>
        <w:t xml:space="preserve">Инициирована </w:t>
      </w:r>
      <w:bookmarkEnd w:id="7"/>
      <w:r w:rsidR="00BF6E38" w:rsidRPr="00DC29A2">
        <w:rPr>
          <w:lang w:val="ru-RU"/>
        </w:rPr>
        <w:t>Резолюциями</w:t>
      </w:r>
      <w:r w:rsidRPr="00DC29A2">
        <w:rPr>
          <w:lang w:val="ru-RU"/>
        </w:rPr>
        <w:t>, ориентирована на определение общих политик, межучрежденческая в рамках ООН. Основная тематика подпадает под мандаты других организаций ООН. ИКТ имеют к этой деятельности лишь отдаленное отношение и имеется пересечение функций.</w:t>
      </w:r>
    </w:p>
    <w:p w14:paraId="37B264CE" w14:textId="77777777" w:rsidR="00A65CE2" w:rsidRPr="00DC29A2" w:rsidRDefault="00A65CE2" w:rsidP="00363C86">
      <w:pPr>
        <w:pStyle w:val="Headingb"/>
        <w:rPr>
          <w:lang w:val="ru-RU"/>
        </w:rPr>
      </w:pPr>
      <w:r w:rsidRPr="00DC29A2">
        <w:rPr>
          <w:lang w:val="ru-RU"/>
        </w:rPr>
        <w:t>Аспекты оценки</w:t>
      </w:r>
    </w:p>
    <w:p w14:paraId="51D1F632" w14:textId="1FFA4714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>Финансовый: регулярный бюджет и за счет добровольных взносов.</w:t>
      </w:r>
    </w:p>
    <w:p w14:paraId="7EDEC150" w14:textId="5F8326A2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>Человеческий капитал: количество штатных единиц (FTE) сотрудников МСЭ, включая высшее руководство.</w:t>
      </w:r>
    </w:p>
    <w:p w14:paraId="42AB2282" w14:textId="1836215B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>Распределение времени</w:t>
      </w:r>
      <w:r w:rsidR="00A65CE2" w:rsidRPr="00DC29A2">
        <w:rPr>
          <w:b/>
          <w:bCs/>
          <w:lang w:val="ru-RU"/>
        </w:rPr>
        <w:t>:</w:t>
      </w:r>
      <w:r w:rsidR="00A65CE2" w:rsidRPr="00DC29A2">
        <w:rPr>
          <w:lang w:val="ru-RU"/>
        </w:rPr>
        <w:t xml:space="preserve"> оценка времени Совета/ПК/секторальных конференций, направляемого на основную и периферийную деятельность.</w:t>
      </w:r>
    </w:p>
    <w:p w14:paraId="3A57A63A" w14:textId="1C2E19AB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>Анализ дублирования: пересечение с другими агентствами ООН (например, "умные" устойчивые города в сравнении с ООН</w:t>
      </w:r>
      <w:r w:rsidR="00BF6E38" w:rsidRPr="00DC29A2">
        <w:rPr>
          <w:lang w:val="ru-RU"/>
        </w:rPr>
        <w:t>-</w:t>
      </w:r>
      <w:r w:rsidR="00A65CE2" w:rsidRPr="00DC29A2">
        <w:rPr>
          <w:lang w:val="ru-RU"/>
        </w:rPr>
        <w:t>Хабитат; телемедицина в сравнении с ВОЗ; электронные отходы в сравнении с ЮНЕП).</w:t>
      </w:r>
    </w:p>
    <w:p w14:paraId="4F90C01C" w14:textId="5E1C8643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>Проекты развития: создают ли они новые устойчивые компетенции в области основной деятельности или являются краткосрочными донорскими проектами?</w:t>
      </w:r>
    </w:p>
    <w:p w14:paraId="7F26BF1F" w14:textId="107C2B51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 xml:space="preserve">Форумы: приводят ли такие мероприятия, как </w:t>
      </w:r>
      <w:r w:rsidR="00EE3067" w:rsidRPr="00DC29A2">
        <w:rPr>
          <w:lang w:val="ru-RU"/>
        </w:rPr>
        <w:t>Глобальный с</w:t>
      </w:r>
      <w:r w:rsidR="00A65CE2" w:rsidRPr="00DC29A2">
        <w:rPr>
          <w:lang w:val="ru-RU"/>
        </w:rPr>
        <w:t xml:space="preserve">аммит "ИИ во благо" или Форум </w:t>
      </w:r>
      <w:r w:rsidR="00EE3067" w:rsidRPr="00DC29A2">
        <w:rPr>
          <w:lang w:val="ru-RU"/>
        </w:rPr>
        <w:t>Всемирной встречи на высшем уровне по вопросам информационного общества</w:t>
      </w:r>
      <w:r w:rsidR="00A65CE2" w:rsidRPr="00DC29A2">
        <w:rPr>
          <w:lang w:val="ru-RU"/>
        </w:rPr>
        <w:t>, к ощутимым результатам, имеющим практическое применение?</w:t>
      </w:r>
    </w:p>
    <w:p w14:paraId="0C7EF702" w14:textId="74EEDC47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>Опросы: Государств-Членов (особенно крупных доноров); частного сектора, других учреждений ООН; сотрудников МСЭ (анонимно).</w:t>
      </w:r>
    </w:p>
    <w:p w14:paraId="7DD6CD2F" w14:textId="297F7E5E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 xml:space="preserve">Оценка ущерба ("альтернативные издержки": количественная оценка негативного влияния расползания </w:t>
      </w:r>
      <w:r w:rsidR="00EE3067" w:rsidRPr="00DC29A2">
        <w:rPr>
          <w:lang w:val="ru-RU"/>
        </w:rPr>
        <w:t xml:space="preserve">целей </w:t>
      </w:r>
      <w:r w:rsidR="00A65CE2" w:rsidRPr="00DC29A2">
        <w:rPr>
          <w:lang w:val="ru-RU"/>
        </w:rPr>
        <w:t>Союза</w:t>
      </w:r>
      <w:r w:rsidR="00DD58B8" w:rsidRPr="00DC29A2">
        <w:rPr>
          <w:lang w:val="ru-RU"/>
        </w:rPr>
        <w:t>)</w:t>
      </w:r>
      <w:r w:rsidR="00A65CE2" w:rsidRPr="00DC29A2">
        <w:rPr>
          <w:lang w:val="ru-RU"/>
        </w:rPr>
        <w:t>.</w:t>
      </w:r>
    </w:p>
    <w:p w14:paraId="348A6C86" w14:textId="6A5D52E5" w:rsidR="00A65CE2" w:rsidRPr="00DC29A2" w:rsidRDefault="00363C86" w:rsidP="00363C86">
      <w:pPr>
        <w:pStyle w:val="enumlev1"/>
        <w:rPr>
          <w:lang w:val="ru-RU"/>
        </w:rPr>
      </w:pPr>
      <w:r w:rsidRPr="00DC29A2">
        <w:rPr>
          <w:lang w:val="ru-RU"/>
        </w:rPr>
        <w:t>−</w:t>
      </w:r>
      <w:r w:rsidR="00A65CE2" w:rsidRPr="00DC29A2">
        <w:rPr>
          <w:lang w:val="ru-RU"/>
        </w:rPr>
        <w:tab/>
        <w:t>Тематические исследования: анализ и соотнесение ресурсов и результатов в основных областях (например, сроки регистрации заявок на спутниковые сети; модернизация базы данных ИФИК БР).</w:t>
      </w:r>
    </w:p>
    <w:p w14:paraId="760800B4" w14:textId="77777777" w:rsidR="00796BD3" w:rsidRPr="00DC29A2" w:rsidRDefault="00C462C5" w:rsidP="007C3C4B">
      <w:pPr>
        <w:spacing w:before="720"/>
        <w:jc w:val="center"/>
        <w:rPr>
          <w:lang w:val="ru-RU"/>
        </w:rPr>
      </w:pPr>
      <w:r w:rsidRPr="00DC29A2">
        <w:rPr>
          <w:lang w:val="ru-RU"/>
        </w:rPr>
        <w:t>______________</w:t>
      </w:r>
    </w:p>
    <w:sectPr w:rsidR="00796BD3" w:rsidRPr="00DC29A2" w:rsidSect="00796BD3">
      <w:footerReference w:type="default" r:id="rId13"/>
      <w:headerReference w:type="first" r:id="rId14"/>
      <w:footerReference w:type="first" r:id="rId1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7A02" w14:textId="77777777" w:rsidR="00B01395" w:rsidRDefault="00B01395">
      <w:r>
        <w:separator/>
      </w:r>
    </w:p>
  </w:endnote>
  <w:endnote w:type="continuationSeparator" w:id="0">
    <w:p w14:paraId="221B012C" w14:textId="77777777" w:rsidR="00B01395" w:rsidRDefault="00B0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F44B766" w14:textId="77777777" w:rsidTr="00E31DCE">
      <w:trPr>
        <w:jc w:val="center"/>
      </w:trPr>
      <w:tc>
        <w:tcPr>
          <w:tcW w:w="1803" w:type="dxa"/>
          <w:vAlign w:val="center"/>
        </w:tcPr>
        <w:p w14:paraId="6B4591EA" w14:textId="6BB1656A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A65CE2" w:rsidRPr="00A65CE2">
            <w:rPr>
              <w:noProof/>
            </w:rPr>
            <w:t>2600984</w:t>
          </w:r>
        </w:p>
      </w:tc>
      <w:tc>
        <w:tcPr>
          <w:tcW w:w="8261" w:type="dxa"/>
        </w:tcPr>
        <w:p w14:paraId="66FBA70E" w14:textId="50406D34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A65CE2">
            <w:rPr>
              <w:bCs/>
              <w:lang w:val="ru-RU"/>
            </w:rPr>
            <w:t>91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A3CB2CC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1E55897" w14:textId="77777777" w:rsidTr="00E31DCE">
      <w:trPr>
        <w:jc w:val="center"/>
      </w:trPr>
      <w:tc>
        <w:tcPr>
          <w:tcW w:w="1803" w:type="dxa"/>
          <w:vAlign w:val="center"/>
        </w:tcPr>
        <w:p w14:paraId="1FC311AF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198A18C7" w14:textId="5CAE98B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A65CE2">
            <w:rPr>
              <w:bCs/>
              <w:lang w:val="ru-RU"/>
            </w:rPr>
            <w:t>91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8491F1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40B1" w14:textId="77777777" w:rsidR="00B01395" w:rsidRDefault="00B01395">
      <w:r>
        <w:t>____________________</w:t>
      </w:r>
    </w:p>
  </w:footnote>
  <w:footnote w:type="continuationSeparator" w:id="0">
    <w:p w14:paraId="2B8D6149" w14:textId="77777777" w:rsidR="00B01395" w:rsidRDefault="00B01395">
      <w:r>
        <w:continuationSeparator/>
      </w:r>
    </w:p>
  </w:footnote>
  <w:footnote w:id="1">
    <w:p w14:paraId="1FE7E710" w14:textId="732F4785" w:rsidR="00A657E1" w:rsidRDefault="00A657E1" w:rsidP="00A65CE2">
      <w:pPr>
        <w:pStyle w:val="FootnoteText"/>
        <w:rPr>
          <w:lang w:val="ru-RU"/>
        </w:rPr>
      </w:pPr>
      <w:r w:rsidRPr="00D67DB4">
        <w:rPr>
          <w:rStyle w:val="FootnoteReference"/>
          <w:lang w:val="ru-RU"/>
        </w:rPr>
        <w:t>1</w:t>
      </w:r>
      <w:r w:rsidRPr="00D67DB4">
        <w:rPr>
          <w:lang w:val="ru-RU"/>
        </w:rPr>
        <w:tab/>
        <w:t>Например, на собрании РГС</w:t>
      </w:r>
      <w:r w:rsidR="00D67DB4">
        <w:rPr>
          <w:lang w:val="ru-RU"/>
        </w:rPr>
        <w:t>-</w:t>
      </w:r>
      <w:r w:rsidRPr="00D67DB4">
        <w:rPr>
          <w:lang w:val="ru-RU"/>
        </w:rPr>
        <w:t>ФЛР в январе 2026 года Директор БР согласился с комментариями делегатов относительно накопившихся проблем с необработанными заявками на регистрацию спутниковых сетей, отметив, что ситуация с соблюдением сроков регистрации может еще больше осложниться по мере роста количества и сложности заявок. Директор БР подчеркнул, что без модернизации ПО или увеличения штата сотрудников, занимающихся данными вопросами, ситуация</w:t>
      </w:r>
      <w:r>
        <w:rPr>
          <w:lang w:val="ru-RU"/>
        </w:rPr>
        <w:t xml:space="preserve"> не улучшится.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FE2B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20632DA2" wp14:editId="17DA60E4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32046"/>
    <w:multiLevelType w:val="hybridMultilevel"/>
    <w:tmpl w:val="8D44038C"/>
    <w:lvl w:ilvl="0" w:tplc="08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" w15:restartNumberingAfterBreak="0">
    <w:nsid w:val="374F0C96"/>
    <w:multiLevelType w:val="hybridMultilevel"/>
    <w:tmpl w:val="CE5423C6"/>
    <w:lvl w:ilvl="0" w:tplc="057A78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93786">
    <w:abstractNumId w:val="0"/>
  </w:num>
  <w:num w:numId="2" w16cid:durableId="1833716339">
    <w:abstractNumId w:val="2"/>
  </w:num>
  <w:num w:numId="3" w16cid:durableId="193648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27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63C86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4E7E27"/>
    <w:rsid w:val="004F4F3E"/>
    <w:rsid w:val="00515795"/>
    <w:rsid w:val="005A64D5"/>
    <w:rsid w:val="005B3DEC"/>
    <w:rsid w:val="005F466D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C3C4B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5625E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657E1"/>
    <w:rsid w:val="00A65CE2"/>
    <w:rsid w:val="00A71773"/>
    <w:rsid w:val="00A74304"/>
    <w:rsid w:val="00AE2C85"/>
    <w:rsid w:val="00B0107F"/>
    <w:rsid w:val="00B01395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BF6E38"/>
    <w:rsid w:val="00C462C5"/>
    <w:rsid w:val="00CD2009"/>
    <w:rsid w:val="00CF629C"/>
    <w:rsid w:val="00D17718"/>
    <w:rsid w:val="00D631AA"/>
    <w:rsid w:val="00D67DB4"/>
    <w:rsid w:val="00D92EEA"/>
    <w:rsid w:val="00DA5D4E"/>
    <w:rsid w:val="00DA770A"/>
    <w:rsid w:val="00DC29A2"/>
    <w:rsid w:val="00DD58B8"/>
    <w:rsid w:val="00DE2E58"/>
    <w:rsid w:val="00E0005B"/>
    <w:rsid w:val="00E05752"/>
    <w:rsid w:val="00E176BA"/>
    <w:rsid w:val="00E34A25"/>
    <w:rsid w:val="00E423EC"/>
    <w:rsid w:val="00E55121"/>
    <w:rsid w:val="00EB4FCB"/>
    <w:rsid w:val="00EC6BC5"/>
    <w:rsid w:val="00EE3067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9DC0A"/>
  <w15:docId w15:val="{5E84D264-2FEE-4795-9956-6E726EA6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A65CE2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WGFHR22-C-0025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6-CWGFHR22-C-0025/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6-CWGFHR22-C-0036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S25-CL-C-0086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WGFHR22-C-0025/en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0447-405E-423D-AD2A-6C6A3AD7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6</Pages>
  <Words>1480</Words>
  <Characters>11485</Characters>
  <Application>Microsoft Office Word</Application>
  <DocSecurity>0</DocSecurity>
  <Lines>212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12855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the Russian Federation - Proposal for optimization of ITU resource allocation to better align with the purposes of the Union</dc:title>
  <dc:subject>ITU Council 2026</dc:subject>
  <dc:creator>GBS</dc:creator>
  <cp:keywords>C26; C2026; Council 2026; PP26</cp:keywords>
  <dc:description/>
  <cp:lastModifiedBy>GBS</cp:lastModifiedBy>
  <cp:revision>3</cp:revision>
  <cp:lastPrinted>2006-03-28T16:12:00Z</cp:lastPrinted>
  <dcterms:created xsi:type="dcterms:W3CDTF">2026-04-26T15:29:00Z</dcterms:created>
  <dcterms:modified xsi:type="dcterms:W3CDTF">2026-04-26T15:30:00Z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