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600A03" w14:paraId="0B900C30" w14:textId="77777777" w:rsidTr="00796BDB">
        <w:trPr>
          <w:cantSplit/>
          <w:trHeight w:val="23"/>
        </w:trPr>
        <w:tc>
          <w:tcPr>
            <w:tcW w:w="3969" w:type="dxa"/>
            <w:vMerge w:val="restart"/>
            <w:tcMar>
              <w:left w:w="0" w:type="dxa"/>
            </w:tcMar>
          </w:tcPr>
          <w:p w14:paraId="369DA595" w14:textId="3B507E72" w:rsidR="00D72F49" w:rsidRPr="00600A03" w:rsidRDefault="00D72F49" w:rsidP="00796BDB">
            <w:pPr>
              <w:tabs>
                <w:tab w:val="left" w:pos="851"/>
              </w:tabs>
              <w:spacing w:before="0" w:line="240" w:lineRule="atLeast"/>
              <w:rPr>
                <w:b/>
              </w:rPr>
            </w:pPr>
            <w:r w:rsidRPr="00600A03">
              <w:rPr>
                <w:b/>
              </w:rPr>
              <w:t xml:space="preserve">Point de l'ordre du </w:t>
            </w:r>
            <w:proofErr w:type="gramStart"/>
            <w:r w:rsidRPr="00600A03">
              <w:rPr>
                <w:b/>
              </w:rPr>
              <w:t>jour:</w:t>
            </w:r>
            <w:proofErr w:type="gramEnd"/>
            <w:r w:rsidR="00052480" w:rsidRPr="00600A03">
              <w:rPr>
                <w:b/>
              </w:rPr>
              <w:t xml:space="preserve"> </w:t>
            </w:r>
            <w:r w:rsidR="00D17DE3" w:rsidRPr="00600A03">
              <w:rPr>
                <w:b/>
              </w:rPr>
              <w:t>ADM 1</w:t>
            </w:r>
          </w:p>
        </w:tc>
        <w:tc>
          <w:tcPr>
            <w:tcW w:w="5245" w:type="dxa"/>
          </w:tcPr>
          <w:p w14:paraId="58E60664" w14:textId="2183B452" w:rsidR="00D72F49" w:rsidRPr="00600A03" w:rsidRDefault="00D72F49" w:rsidP="00796BDB">
            <w:pPr>
              <w:tabs>
                <w:tab w:val="left" w:pos="851"/>
              </w:tabs>
              <w:spacing w:before="0" w:line="240" w:lineRule="atLeast"/>
              <w:jc w:val="right"/>
              <w:rPr>
                <w:b/>
              </w:rPr>
            </w:pPr>
            <w:r w:rsidRPr="00600A03">
              <w:rPr>
                <w:b/>
              </w:rPr>
              <w:t xml:space="preserve">Document </w:t>
            </w:r>
            <w:proofErr w:type="spellStart"/>
            <w:r w:rsidRPr="00600A03">
              <w:rPr>
                <w:b/>
              </w:rPr>
              <w:t>C2</w:t>
            </w:r>
            <w:r w:rsidR="00E4448E" w:rsidRPr="00600A03">
              <w:rPr>
                <w:b/>
              </w:rPr>
              <w:t>6</w:t>
            </w:r>
            <w:proofErr w:type="spellEnd"/>
            <w:r w:rsidRPr="00600A03">
              <w:rPr>
                <w:b/>
              </w:rPr>
              <w:t>/</w:t>
            </w:r>
            <w:r w:rsidR="00D17DE3" w:rsidRPr="00600A03">
              <w:rPr>
                <w:b/>
              </w:rPr>
              <w:t>91</w:t>
            </w:r>
            <w:r w:rsidRPr="00600A03">
              <w:rPr>
                <w:b/>
              </w:rPr>
              <w:t>-F</w:t>
            </w:r>
          </w:p>
        </w:tc>
      </w:tr>
      <w:tr w:rsidR="00D72F49" w:rsidRPr="00600A03" w14:paraId="67956E22" w14:textId="77777777" w:rsidTr="00796BDB">
        <w:trPr>
          <w:cantSplit/>
        </w:trPr>
        <w:tc>
          <w:tcPr>
            <w:tcW w:w="3969" w:type="dxa"/>
            <w:vMerge/>
          </w:tcPr>
          <w:p w14:paraId="30304975" w14:textId="77777777" w:rsidR="00D72F49" w:rsidRPr="00600A03" w:rsidRDefault="00D72F49" w:rsidP="00796BDB">
            <w:pPr>
              <w:tabs>
                <w:tab w:val="left" w:pos="851"/>
              </w:tabs>
              <w:spacing w:line="240" w:lineRule="atLeast"/>
              <w:rPr>
                <w:b/>
              </w:rPr>
            </w:pPr>
          </w:p>
        </w:tc>
        <w:tc>
          <w:tcPr>
            <w:tcW w:w="5245" w:type="dxa"/>
          </w:tcPr>
          <w:p w14:paraId="477ED3F0" w14:textId="1D23D95A" w:rsidR="00D72F49" w:rsidRPr="00600A03" w:rsidRDefault="00052480" w:rsidP="00796BDB">
            <w:pPr>
              <w:tabs>
                <w:tab w:val="left" w:pos="851"/>
              </w:tabs>
              <w:spacing w:before="0"/>
              <w:jc w:val="right"/>
              <w:rPr>
                <w:b/>
              </w:rPr>
            </w:pPr>
            <w:r w:rsidRPr="00600A03">
              <w:rPr>
                <w:b/>
              </w:rPr>
              <w:t>14 avril 2026</w:t>
            </w:r>
          </w:p>
        </w:tc>
      </w:tr>
      <w:tr w:rsidR="00D72F49" w:rsidRPr="00600A03" w14:paraId="3049B0F9" w14:textId="77777777" w:rsidTr="00796BDB">
        <w:trPr>
          <w:cantSplit/>
          <w:trHeight w:val="23"/>
        </w:trPr>
        <w:tc>
          <w:tcPr>
            <w:tcW w:w="3969" w:type="dxa"/>
            <w:vMerge/>
          </w:tcPr>
          <w:p w14:paraId="6AAF0749" w14:textId="77777777" w:rsidR="00D72F49" w:rsidRPr="00600A03" w:rsidRDefault="00D72F49" w:rsidP="00796BDB">
            <w:pPr>
              <w:tabs>
                <w:tab w:val="left" w:pos="851"/>
              </w:tabs>
              <w:spacing w:line="240" w:lineRule="atLeast"/>
              <w:rPr>
                <w:b/>
              </w:rPr>
            </w:pPr>
          </w:p>
        </w:tc>
        <w:tc>
          <w:tcPr>
            <w:tcW w:w="5245" w:type="dxa"/>
          </w:tcPr>
          <w:p w14:paraId="57B75BCD" w14:textId="06D8BEAD" w:rsidR="00D72F49" w:rsidRPr="00600A03" w:rsidRDefault="00D72F49" w:rsidP="00796BDB">
            <w:pPr>
              <w:tabs>
                <w:tab w:val="left" w:pos="851"/>
              </w:tabs>
              <w:spacing w:before="0" w:line="240" w:lineRule="atLeast"/>
              <w:jc w:val="right"/>
              <w:rPr>
                <w:b/>
              </w:rPr>
            </w:pPr>
            <w:proofErr w:type="gramStart"/>
            <w:r w:rsidRPr="00600A03">
              <w:rPr>
                <w:b/>
              </w:rPr>
              <w:t>Original:</w:t>
            </w:r>
            <w:proofErr w:type="gramEnd"/>
            <w:r w:rsidRPr="00600A03">
              <w:rPr>
                <w:b/>
              </w:rPr>
              <w:t xml:space="preserve"> </w:t>
            </w:r>
            <w:r w:rsidR="00D17DE3" w:rsidRPr="00600A03">
              <w:rPr>
                <w:b/>
              </w:rPr>
              <w:t>russe</w:t>
            </w:r>
          </w:p>
        </w:tc>
      </w:tr>
      <w:tr w:rsidR="00D72F49" w:rsidRPr="00600A03" w14:paraId="33E15C8B" w14:textId="77777777" w:rsidTr="00796BDB">
        <w:trPr>
          <w:cantSplit/>
          <w:trHeight w:val="23"/>
        </w:trPr>
        <w:tc>
          <w:tcPr>
            <w:tcW w:w="3969" w:type="dxa"/>
          </w:tcPr>
          <w:p w14:paraId="161710B5" w14:textId="77777777" w:rsidR="00D72F49" w:rsidRPr="00600A03" w:rsidRDefault="00D72F49" w:rsidP="00796BDB">
            <w:pPr>
              <w:tabs>
                <w:tab w:val="left" w:pos="851"/>
              </w:tabs>
              <w:spacing w:line="240" w:lineRule="atLeast"/>
              <w:rPr>
                <w:b/>
              </w:rPr>
            </w:pPr>
          </w:p>
        </w:tc>
        <w:tc>
          <w:tcPr>
            <w:tcW w:w="5245" w:type="dxa"/>
          </w:tcPr>
          <w:p w14:paraId="0DE8B7D7" w14:textId="77777777" w:rsidR="00D72F49" w:rsidRPr="00600A03" w:rsidRDefault="00D72F49" w:rsidP="00796BDB">
            <w:pPr>
              <w:tabs>
                <w:tab w:val="left" w:pos="851"/>
              </w:tabs>
              <w:spacing w:before="0" w:line="240" w:lineRule="atLeast"/>
              <w:jc w:val="right"/>
              <w:rPr>
                <w:b/>
              </w:rPr>
            </w:pPr>
          </w:p>
        </w:tc>
      </w:tr>
      <w:tr w:rsidR="00D72F49" w:rsidRPr="00600A03" w14:paraId="33D9AB84" w14:textId="77777777" w:rsidTr="00796BDB">
        <w:trPr>
          <w:cantSplit/>
        </w:trPr>
        <w:tc>
          <w:tcPr>
            <w:tcW w:w="9214" w:type="dxa"/>
            <w:gridSpan w:val="2"/>
            <w:tcMar>
              <w:left w:w="0" w:type="dxa"/>
            </w:tcMar>
          </w:tcPr>
          <w:p w14:paraId="67A80521" w14:textId="381A0B92" w:rsidR="00D72F49" w:rsidRPr="001E3DEC" w:rsidRDefault="00052480" w:rsidP="00796BDB">
            <w:pPr>
              <w:pStyle w:val="Source"/>
              <w:jc w:val="left"/>
              <w:rPr>
                <w:sz w:val="32"/>
                <w:szCs w:val="32"/>
              </w:rPr>
            </w:pPr>
            <w:r w:rsidRPr="001E3DEC">
              <w:rPr>
                <w:rFonts w:cstheme="minorHAnsi"/>
                <w:color w:val="000000"/>
                <w:sz w:val="32"/>
                <w:szCs w:val="32"/>
              </w:rPr>
              <w:t xml:space="preserve">Contribution de </w:t>
            </w:r>
            <w:r w:rsidR="00D17DE3" w:rsidRPr="001E3DEC">
              <w:rPr>
                <w:rFonts w:cstheme="minorHAnsi"/>
                <w:color w:val="000000"/>
                <w:sz w:val="32"/>
                <w:szCs w:val="32"/>
              </w:rPr>
              <w:t>la Fédération de Russie</w:t>
            </w:r>
          </w:p>
        </w:tc>
      </w:tr>
      <w:tr w:rsidR="00D72F49" w:rsidRPr="00600A03" w14:paraId="488E45E6" w14:textId="77777777" w:rsidTr="00796BDB">
        <w:trPr>
          <w:cantSplit/>
        </w:trPr>
        <w:tc>
          <w:tcPr>
            <w:tcW w:w="9214" w:type="dxa"/>
            <w:gridSpan w:val="2"/>
            <w:tcMar>
              <w:left w:w="0" w:type="dxa"/>
            </w:tcMar>
          </w:tcPr>
          <w:p w14:paraId="4095A957" w14:textId="1480EDB2" w:rsidR="00D72F49" w:rsidRPr="00600A03" w:rsidRDefault="001E3DEC" w:rsidP="00796BDB">
            <w:pPr>
              <w:pStyle w:val="Subtitle"/>
              <w:framePr w:hSpace="0" w:wrap="auto" w:hAnchor="text" w:xAlign="left" w:yAlign="inline"/>
              <w:rPr>
                <w:sz w:val="32"/>
                <w:szCs w:val="32"/>
                <w:lang w:val="fr-FR"/>
              </w:rPr>
            </w:pPr>
            <w:r w:rsidRPr="00600A03">
              <w:rPr>
                <w:color w:val="000000"/>
                <w:sz w:val="32"/>
                <w:szCs w:val="32"/>
                <w:lang w:val="fr-FR"/>
              </w:rPr>
              <w:t>PROPOSITION D'OPTIMISATION DE L'ATTRIBUTION DES RESSOURCES DE L'UIT POUR UNE MEILLEURE HARMONISATION AVEC L'OBJET DE L'UNION</w:t>
            </w:r>
          </w:p>
        </w:tc>
      </w:tr>
      <w:tr w:rsidR="00D72F49" w:rsidRPr="00600A03" w14:paraId="6700E456" w14:textId="77777777" w:rsidTr="00796BDB">
        <w:trPr>
          <w:cantSplit/>
        </w:trPr>
        <w:tc>
          <w:tcPr>
            <w:tcW w:w="9214" w:type="dxa"/>
            <w:gridSpan w:val="2"/>
            <w:tcBorders>
              <w:top w:val="single" w:sz="4" w:space="0" w:color="auto"/>
              <w:bottom w:val="single" w:sz="4" w:space="0" w:color="auto"/>
            </w:tcBorders>
            <w:tcMar>
              <w:left w:w="0" w:type="dxa"/>
            </w:tcMar>
          </w:tcPr>
          <w:p w14:paraId="151C537C" w14:textId="77777777" w:rsidR="00D72F49" w:rsidRPr="00600A03" w:rsidRDefault="00F37FE5" w:rsidP="00796BDB">
            <w:pPr>
              <w:spacing w:before="160"/>
              <w:rPr>
                <w:b/>
                <w:bCs/>
                <w:sz w:val="26"/>
                <w:szCs w:val="26"/>
              </w:rPr>
            </w:pPr>
            <w:r w:rsidRPr="00600A03">
              <w:rPr>
                <w:b/>
                <w:bCs/>
                <w:sz w:val="26"/>
                <w:szCs w:val="26"/>
              </w:rPr>
              <w:t>Objet</w:t>
            </w:r>
          </w:p>
          <w:p w14:paraId="22D5CCBD" w14:textId="1D4F7410" w:rsidR="00D17DE3" w:rsidRPr="00600A03" w:rsidRDefault="00D17DE3" w:rsidP="00D17DE3">
            <w:r w:rsidRPr="00600A03">
              <w:t xml:space="preserve">La présente contribution expose des idées précédemment présentées par la Fédération de Russie dans le </w:t>
            </w:r>
            <w:hyperlink r:id="rId7" w:history="1">
              <w:r w:rsidRPr="00600A03">
                <w:rPr>
                  <w:rStyle w:val="Hyperlink"/>
                  <w:rFonts w:eastAsia="Times New Roman" w:cs="Times New Roman"/>
                  <w:szCs w:val="20"/>
                </w:rPr>
                <w:t xml:space="preserve">Document </w:t>
              </w:r>
              <w:proofErr w:type="spellStart"/>
              <w:r w:rsidRPr="00600A03">
                <w:rPr>
                  <w:rStyle w:val="Hyperlink"/>
                  <w:rFonts w:eastAsia="Times New Roman" w:cs="Times New Roman"/>
                  <w:szCs w:val="20"/>
                </w:rPr>
                <w:t>CWG</w:t>
              </w:r>
              <w:proofErr w:type="spellEnd"/>
              <w:r w:rsidRPr="00600A03">
                <w:rPr>
                  <w:rStyle w:val="Hyperlink"/>
                  <w:rFonts w:eastAsia="Times New Roman" w:cs="Times New Roman"/>
                  <w:szCs w:val="20"/>
                </w:rPr>
                <w:t>-</w:t>
              </w:r>
              <w:proofErr w:type="spellStart"/>
              <w:r w:rsidRPr="00600A03">
                <w:rPr>
                  <w:rStyle w:val="Hyperlink"/>
                  <w:rFonts w:eastAsia="Times New Roman" w:cs="Times New Roman"/>
                  <w:szCs w:val="20"/>
                </w:rPr>
                <w:t>FHR</w:t>
              </w:r>
              <w:proofErr w:type="spellEnd"/>
              <w:r w:rsidRPr="00600A03">
                <w:rPr>
                  <w:rStyle w:val="Hyperlink"/>
                  <w:rFonts w:eastAsia="Times New Roman" w:cs="Times New Roman"/>
                  <w:szCs w:val="20"/>
                </w:rPr>
                <w:t>-22/25</w:t>
              </w:r>
            </w:hyperlink>
            <w:r w:rsidRPr="00600A03">
              <w:t xml:space="preserve"> à la 22ème réunion du Groupe de travail du Conseil sur les ressources financières et les ressources humaines (</w:t>
            </w:r>
            <w:proofErr w:type="spellStart"/>
            <w:r w:rsidRPr="00600A03">
              <w:t>GTC-FHR</w:t>
            </w:r>
            <w:proofErr w:type="spellEnd"/>
            <w:r w:rsidRPr="00600A03">
              <w:t>), en janvier 2026. Ce document met en lumière l'incapacité croissante à allouer des ressources conformément à l'objet de l'Union, tel qu'il est énoncé dans la Constitution de l'UIT et dans d'autres instruments fondamentaux, alors même que certaines fonctions essentielles de l'Union se sont dégradées.</w:t>
            </w:r>
          </w:p>
          <w:p w14:paraId="7ABB8819" w14:textId="26C990C4" w:rsidR="00D72F49" w:rsidRPr="00600A03" w:rsidRDefault="00D17DE3" w:rsidP="00D17DE3">
            <w:r w:rsidRPr="00600A03">
              <w:t>Il est proposé de mettre en œuvre une méthode de financement différenciée, qui prévoit des examens périodiques, afin de veiller à ce que les ressources soient allouées conformément à l'objet de l'UIT.</w:t>
            </w:r>
          </w:p>
          <w:p w14:paraId="07610EF0" w14:textId="77777777" w:rsidR="00D72F49" w:rsidRPr="00600A03" w:rsidRDefault="00D72F49" w:rsidP="00796BDB">
            <w:pPr>
              <w:spacing w:before="160"/>
              <w:rPr>
                <w:b/>
                <w:bCs/>
                <w:sz w:val="26"/>
                <w:szCs w:val="26"/>
              </w:rPr>
            </w:pPr>
            <w:proofErr w:type="gramStart"/>
            <w:r w:rsidRPr="00600A03">
              <w:rPr>
                <w:b/>
                <w:bCs/>
                <w:sz w:val="26"/>
                <w:szCs w:val="26"/>
              </w:rPr>
              <w:t>Suite à</w:t>
            </w:r>
            <w:proofErr w:type="gramEnd"/>
            <w:r w:rsidRPr="00600A03">
              <w:rPr>
                <w:b/>
                <w:bCs/>
                <w:sz w:val="26"/>
                <w:szCs w:val="26"/>
              </w:rPr>
              <w:t xml:space="preserve"> donner par le Conseil</w:t>
            </w:r>
          </w:p>
          <w:p w14:paraId="3186B760" w14:textId="3FBACA49" w:rsidR="00D72F49" w:rsidRPr="00600A03" w:rsidRDefault="00D17DE3" w:rsidP="00796BDB">
            <w:r w:rsidRPr="00600A03">
              <w:t>Le Conseil est invité à examiner la présente contribution et à formuler des observations en conséquence.</w:t>
            </w:r>
          </w:p>
          <w:p w14:paraId="389CC1FD" w14:textId="32BB1432" w:rsidR="00D72F49" w:rsidRPr="00600A03" w:rsidRDefault="00D72F49" w:rsidP="00D17DE3">
            <w:pPr>
              <w:tabs>
                <w:tab w:val="clear" w:pos="2268"/>
                <w:tab w:val="clear" w:pos="2835"/>
                <w:tab w:val="left" w:pos="5469"/>
              </w:tabs>
              <w:spacing w:before="160"/>
              <w:rPr>
                <w:caps/>
                <w:sz w:val="22"/>
              </w:rPr>
            </w:pPr>
            <w:r w:rsidRPr="00600A03">
              <w:rPr>
                <w:sz w:val="22"/>
              </w:rPr>
              <w:t>__________________</w:t>
            </w:r>
          </w:p>
          <w:p w14:paraId="70CAE5D7" w14:textId="77777777" w:rsidR="00D72F49" w:rsidRPr="00600A03" w:rsidRDefault="00D72F49" w:rsidP="00796BDB">
            <w:pPr>
              <w:spacing w:before="160"/>
              <w:rPr>
                <w:b/>
                <w:bCs/>
                <w:sz w:val="26"/>
                <w:szCs w:val="26"/>
              </w:rPr>
            </w:pPr>
            <w:r w:rsidRPr="00600A03">
              <w:rPr>
                <w:b/>
                <w:bCs/>
                <w:sz w:val="26"/>
                <w:szCs w:val="26"/>
              </w:rPr>
              <w:t>Références</w:t>
            </w:r>
          </w:p>
          <w:p w14:paraId="32E06EA1" w14:textId="78329A42" w:rsidR="00D72F49" w:rsidRPr="001E3DEC" w:rsidRDefault="00D17DE3" w:rsidP="00CE5172">
            <w:pPr>
              <w:pStyle w:val="Referencetext"/>
              <w:framePr w:hSpace="0" w:wrap="auto" w:vAnchor="margin" w:hAnchor="text" w:xAlign="left" w:yAlign="inline"/>
            </w:pPr>
            <w:hyperlink r:id="rId8" w:history="1">
              <w:r w:rsidRPr="001E3DEC">
                <w:rPr>
                  <w:rStyle w:val="Hyperlink"/>
                </w:rPr>
                <w:t xml:space="preserve">Document </w:t>
              </w:r>
              <w:proofErr w:type="spellStart"/>
              <w:r w:rsidRPr="001E3DEC">
                <w:rPr>
                  <w:rStyle w:val="Hyperlink"/>
                </w:rPr>
                <w:t>CWG</w:t>
              </w:r>
              <w:proofErr w:type="spellEnd"/>
              <w:r w:rsidR="002856D4" w:rsidRPr="001E3DEC">
                <w:rPr>
                  <w:rStyle w:val="Hyperlink"/>
                </w:rPr>
                <w:t>-</w:t>
              </w:r>
              <w:proofErr w:type="spellStart"/>
              <w:r w:rsidRPr="001E3DEC">
                <w:rPr>
                  <w:rStyle w:val="Hyperlink"/>
                </w:rPr>
                <w:t>FHR</w:t>
              </w:r>
              <w:proofErr w:type="spellEnd"/>
              <w:r w:rsidR="002856D4" w:rsidRPr="001E3DEC">
                <w:rPr>
                  <w:rStyle w:val="Hyperlink"/>
                </w:rPr>
                <w:t>-</w:t>
              </w:r>
              <w:r w:rsidRPr="001E3DEC">
                <w:rPr>
                  <w:rStyle w:val="Hyperlink"/>
                </w:rPr>
                <w:t>22/25</w:t>
              </w:r>
            </w:hyperlink>
            <w:r w:rsidRPr="001E3DEC">
              <w:rPr>
                <w:rStyle w:val="Hyperlink"/>
              </w:rPr>
              <w:t xml:space="preserve"> </w:t>
            </w:r>
            <w:r w:rsidRPr="001E3DEC">
              <w:rPr>
                <w:color w:val="000000"/>
              </w:rPr>
              <w:t>(Contribution de la Fédération de Russie</w:t>
            </w:r>
            <w:proofErr w:type="gramStart"/>
            <w:r w:rsidRPr="001E3DEC">
              <w:rPr>
                <w:color w:val="000000"/>
              </w:rPr>
              <w:t>);</w:t>
            </w:r>
            <w:proofErr w:type="gramEnd"/>
            <w:r w:rsidRPr="001E3DEC">
              <w:rPr>
                <w:color w:val="000000"/>
              </w:rPr>
              <w:t xml:space="preserve"> </w:t>
            </w:r>
            <w:hyperlink r:id="rId9" w:history="1">
              <w:r w:rsidRPr="001E3DEC">
                <w:rPr>
                  <w:rStyle w:val="Hyperlink"/>
                  <w:rFonts w:eastAsia="Times New Roman" w:cs="Times New Roman"/>
                </w:rPr>
                <w:t xml:space="preserve">Document </w:t>
              </w:r>
              <w:proofErr w:type="spellStart"/>
              <w:r w:rsidRPr="001E3DEC">
                <w:rPr>
                  <w:rStyle w:val="Hyperlink"/>
                  <w:rFonts w:eastAsia="Times New Roman" w:cs="Times New Roman"/>
                </w:rPr>
                <w:t>C25</w:t>
              </w:r>
              <w:proofErr w:type="spellEnd"/>
              <w:r w:rsidRPr="001E3DEC">
                <w:rPr>
                  <w:rStyle w:val="Hyperlink"/>
                  <w:rFonts w:eastAsia="Times New Roman" w:cs="Times New Roman"/>
                </w:rPr>
                <w:t>/86</w:t>
              </w:r>
            </w:hyperlink>
            <w:r w:rsidRPr="001E3DEC">
              <w:rPr>
                <w:color w:val="000000"/>
              </w:rPr>
              <w:t xml:space="preserve"> (Contribution </w:t>
            </w:r>
            <w:proofErr w:type="spellStart"/>
            <w:r w:rsidRPr="001E3DEC">
              <w:rPr>
                <w:color w:val="000000"/>
              </w:rPr>
              <w:t>multipays</w:t>
            </w:r>
            <w:proofErr w:type="spellEnd"/>
            <w:r w:rsidRPr="001E3DEC">
              <w:rPr>
                <w:color w:val="000000"/>
              </w:rPr>
              <w:t xml:space="preserve"> (Chine, Cuba et Fédération de Russie)</w:t>
            </w:r>
            <w:proofErr w:type="gramStart"/>
            <w:r w:rsidRPr="001E3DEC">
              <w:rPr>
                <w:color w:val="000000"/>
              </w:rPr>
              <w:t>);</w:t>
            </w:r>
            <w:proofErr w:type="gramEnd"/>
            <w:r w:rsidRPr="001E3DEC">
              <w:rPr>
                <w:color w:val="000000"/>
              </w:rPr>
              <w:t xml:space="preserve"> </w:t>
            </w:r>
            <w:hyperlink r:id="rId10" w:history="1">
              <w:r w:rsidRPr="001E3DEC">
                <w:rPr>
                  <w:rStyle w:val="Hyperlink"/>
                  <w:rFonts w:eastAsia="Times New Roman" w:cs="Times New Roman"/>
                </w:rPr>
                <w:t xml:space="preserve">Document </w:t>
              </w:r>
              <w:proofErr w:type="spellStart"/>
              <w:r w:rsidRPr="001E3DEC">
                <w:rPr>
                  <w:rStyle w:val="Hyperlink"/>
                  <w:rFonts w:eastAsia="Times New Roman" w:cs="Times New Roman"/>
                </w:rPr>
                <w:t>CWG</w:t>
              </w:r>
              <w:proofErr w:type="spellEnd"/>
              <w:r w:rsidRPr="001E3DEC">
                <w:rPr>
                  <w:rStyle w:val="Hyperlink"/>
                  <w:rFonts w:eastAsia="Times New Roman" w:cs="Times New Roman"/>
                </w:rPr>
                <w:t>-</w:t>
              </w:r>
              <w:proofErr w:type="spellStart"/>
              <w:r w:rsidRPr="001E3DEC">
                <w:rPr>
                  <w:rStyle w:val="Hyperlink"/>
                  <w:rFonts w:eastAsia="Times New Roman" w:cs="Times New Roman"/>
                </w:rPr>
                <w:t>FHR</w:t>
              </w:r>
              <w:proofErr w:type="spellEnd"/>
              <w:r w:rsidRPr="001E3DEC">
                <w:rPr>
                  <w:rStyle w:val="Hyperlink"/>
                  <w:rFonts w:eastAsia="Times New Roman" w:cs="Times New Roman"/>
                </w:rPr>
                <w:t>-22/36</w:t>
              </w:r>
            </w:hyperlink>
            <w:r w:rsidRPr="001E3DEC">
              <w:rPr>
                <w:color w:val="000000"/>
              </w:rPr>
              <w:t xml:space="preserve"> (Rapport de la Présidente à la 22ème réunion du </w:t>
            </w:r>
            <w:proofErr w:type="spellStart"/>
            <w:r w:rsidRPr="001E3DEC">
              <w:rPr>
                <w:color w:val="000000"/>
              </w:rPr>
              <w:t>GTC-FHR</w:t>
            </w:r>
            <w:proofErr w:type="spellEnd"/>
            <w:r w:rsidRPr="001E3DEC">
              <w:rPr>
                <w:color w:val="000000"/>
              </w:rPr>
              <w:t>)</w:t>
            </w:r>
          </w:p>
        </w:tc>
      </w:tr>
    </w:tbl>
    <w:p w14:paraId="6DA91452" w14:textId="77777777" w:rsidR="00A51849" w:rsidRPr="00600A03" w:rsidRDefault="00A51849">
      <w:pPr>
        <w:tabs>
          <w:tab w:val="clear" w:pos="567"/>
          <w:tab w:val="clear" w:pos="1134"/>
          <w:tab w:val="clear" w:pos="1701"/>
          <w:tab w:val="clear" w:pos="2268"/>
          <w:tab w:val="clear" w:pos="2835"/>
        </w:tabs>
        <w:overflowPunct/>
        <w:autoSpaceDE/>
        <w:autoSpaceDN/>
        <w:adjustRightInd/>
        <w:spacing w:before="0"/>
        <w:textAlignment w:val="auto"/>
      </w:pPr>
      <w:r w:rsidRPr="00600A03">
        <w:br w:type="page"/>
      </w:r>
    </w:p>
    <w:p w14:paraId="5FA2BB1D" w14:textId="52A43C27" w:rsidR="00052480" w:rsidRPr="00600A03" w:rsidRDefault="00052480" w:rsidP="005F6796">
      <w:pPr>
        <w:pStyle w:val="Heading1"/>
        <w:rPr>
          <w:rFonts w:eastAsia="SimSun"/>
          <w:lang w:eastAsia="zh-CN"/>
        </w:rPr>
      </w:pPr>
      <w:r w:rsidRPr="00600A03">
        <w:rPr>
          <w:rFonts w:eastAsia="SimSun"/>
          <w:lang w:eastAsia="zh-CN"/>
        </w:rPr>
        <w:lastRenderedPageBreak/>
        <w:t>1</w:t>
      </w:r>
      <w:r w:rsidRPr="00600A03">
        <w:rPr>
          <w:rFonts w:eastAsia="SimSun"/>
          <w:lang w:eastAsia="zh-CN"/>
        </w:rPr>
        <w:tab/>
      </w:r>
      <w:r w:rsidR="00D17DE3" w:rsidRPr="00600A03">
        <w:rPr>
          <w:rFonts w:eastAsia="SimSun"/>
          <w:lang w:eastAsia="zh-CN"/>
        </w:rPr>
        <w:t>Introduction</w:t>
      </w:r>
    </w:p>
    <w:p w14:paraId="20A9E513" w14:textId="715F004E" w:rsidR="00D17DE3" w:rsidRPr="00600A03" w:rsidRDefault="00D17DE3" w:rsidP="001E3DEC">
      <w:pPr>
        <w:jc w:val="both"/>
        <w:rPr>
          <w:rFonts w:eastAsia="SimSun"/>
          <w:lang w:eastAsia="zh-CN"/>
        </w:rPr>
      </w:pPr>
      <w:r w:rsidRPr="00600A03">
        <w:rPr>
          <w:rFonts w:eastAsia="SimSun"/>
          <w:lang w:eastAsia="zh-CN"/>
        </w:rPr>
        <w:t xml:space="preserve">Dans le </w:t>
      </w:r>
      <w:hyperlink r:id="rId11" w:history="1">
        <w:r w:rsidRPr="00600A03">
          <w:rPr>
            <w:rStyle w:val="Hyperlink"/>
            <w:rFonts w:eastAsia="SimSun" w:cs="Times New Roman"/>
            <w:szCs w:val="20"/>
            <w:lang w:eastAsia="zh-CN"/>
          </w:rPr>
          <w:t xml:space="preserve">Document </w:t>
        </w:r>
        <w:proofErr w:type="spellStart"/>
        <w:r w:rsidRPr="00600A03">
          <w:rPr>
            <w:rStyle w:val="Hyperlink"/>
            <w:rFonts w:eastAsia="SimSun" w:cs="Times New Roman"/>
            <w:szCs w:val="20"/>
            <w:lang w:eastAsia="zh-CN"/>
          </w:rPr>
          <w:t>CWG</w:t>
        </w:r>
        <w:proofErr w:type="spellEnd"/>
        <w:r w:rsidRPr="00600A03">
          <w:rPr>
            <w:rStyle w:val="Hyperlink"/>
            <w:rFonts w:eastAsia="SimSun" w:cs="Times New Roman"/>
            <w:szCs w:val="20"/>
            <w:lang w:eastAsia="zh-CN"/>
          </w:rPr>
          <w:t>-</w:t>
        </w:r>
        <w:proofErr w:type="spellStart"/>
        <w:r w:rsidRPr="00600A03">
          <w:rPr>
            <w:rStyle w:val="Hyperlink"/>
            <w:rFonts w:eastAsia="SimSun" w:cs="Times New Roman"/>
            <w:szCs w:val="20"/>
            <w:lang w:eastAsia="zh-CN"/>
          </w:rPr>
          <w:t>FHR</w:t>
        </w:r>
        <w:proofErr w:type="spellEnd"/>
        <w:r w:rsidRPr="00600A03">
          <w:rPr>
            <w:rStyle w:val="Hyperlink"/>
            <w:rFonts w:eastAsia="SimSun" w:cs="Times New Roman"/>
            <w:szCs w:val="20"/>
            <w:lang w:eastAsia="zh-CN"/>
          </w:rPr>
          <w:t>-22/25</w:t>
        </w:r>
      </w:hyperlink>
      <w:r w:rsidRPr="00600A03">
        <w:rPr>
          <w:rFonts w:eastAsia="SimSun"/>
          <w:lang w:eastAsia="zh-CN"/>
        </w:rPr>
        <w:t>, la Fédération de Russie a demandé que les programmes de travail de l'UIT fassent l'objet d'une évaluation et d'un examen détaillés pour déterminer s'ils sont en adéquation avec l'objet de l'Union, l'objectif étant de financer les activités essentielles dans leur intégralité.</w:t>
      </w:r>
    </w:p>
    <w:p w14:paraId="30C5C21A" w14:textId="77777777" w:rsidR="00D17DE3" w:rsidRPr="00600A03" w:rsidRDefault="00D17DE3" w:rsidP="001E3DEC">
      <w:pPr>
        <w:jc w:val="both"/>
        <w:rPr>
          <w:rFonts w:eastAsia="SimSun"/>
          <w:lang w:eastAsia="zh-CN"/>
        </w:rPr>
      </w:pPr>
      <w:r w:rsidRPr="00600A03">
        <w:rPr>
          <w:rFonts w:eastAsia="SimSun"/>
          <w:lang w:eastAsia="zh-CN"/>
        </w:rPr>
        <w:t>Les observations formulées par les participants à la 22ème réunion du Groupe de travail du Conseil sur les ressources financières et les ressources humaines (</w:t>
      </w:r>
      <w:proofErr w:type="spellStart"/>
      <w:r w:rsidRPr="00600A03">
        <w:rPr>
          <w:rFonts w:eastAsia="SimSun"/>
          <w:lang w:eastAsia="zh-CN"/>
        </w:rPr>
        <w:t>GTC-FHR</w:t>
      </w:r>
      <w:proofErr w:type="spellEnd"/>
      <w:r w:rsidRPr="00600A03">
        <w:rPr>
          <w:rFonts w:eastAsia="SimSun"/>
          <w:lang w:eastAsia="zh-CN"/>
        </w:rPr>
        <w:t>), tels qu'elles figurent dans le rapport de la Présidente de ce Groupe, sont brièvement résumées ci-après.</w:t>
      </w:r>
    </w:p>
    <w:p w14:paraId="2DB41BC4" w14:textId="77777777" w:rsidR="00D17DE3" w:rsidRPr="00600A03" w:rsidRDefault="00D17DE3" w:rsidP="001E3DEC">
      <w:pPr>
        <w:jc w:val="both"/>
        <w:rPr>
          <w:rFonts w:eastAsia="SimSun"/>
          <w:lang w:eastAsia="zh-CN"/>
        </w:rPr>
      </w:pPr>
      <w:r w:rsidRPr="00600A03">
        <w:rPr>
          <w:rFonts w:eastAsia="SimSun"/>
          <w:lang w:eastAsia="zh-CN"/>
        </w:rPr>
        <w:t>Plusieurs délégués sont convenus de la nécessité de préciser davantage l'objet fondamental de l'Union afin de hiérarchiser les activités conformément à la Constitution et à la Convention de l'UIT. Ils sont favorables à la poursuite de l'étude visant à instaurer des durées de validité pour les résolutions adoptées par la Conférence de plénipotentiaires, à condition que des critères clairs soient définis pour distinguer les activités "essentielles" des activités "non essentielles". Des délégués ont demandé des renseignements complémentaires sur le mécanisme qui serait utilisé pour mener à bien les examens quadriennaux.</w:t>
      </w:r>
    </w:p>
    <w:p w14:paraId="7199EA25" w14:textId="77777777" w:rsidR="00D17DE3" w:rsidRPr="00600A03" w:rsidRDefault="00D17DE3" w:rsidP="001E3DEC">
      <w:pPr>
        <w:jc w:val="both"/>
        <w:rPr>
          <w:rFonts w:eastAsia="SimSun"/>
          <w:lang w:eastAsia="zh-CN"/>
        </w:rPr>
      </w:pPr>
      <w:r w:rsidRPr="00600A03">
        <w:rPr>
          <w:rFonts w:eastAsia="SimSun"/>
          <w:lang w:eastAsia="zh-CN"/>
        </w:rPr>
        <w:t>D'autres délégués ont souligné la contribution de l'UIT dans des domaines tels que les changements climatiques, l'égalité hommes-femmes, l'éthique de l'intelligence artificielle (IA), la télémédecine et le téléenseignement, et ont souligné les avantages de la collaboration au sein du système des Nations Unies.</w:t>
      </w:r>
    </w:p>
    <w:p w14:paraId="7BE1A882" w14:textId="7DCC5A6F" w:rsidR="00052480" w:rsidRPr="00600A03" w:rsidRDefault="00D17DE3" w:rsidP="001E3DEC">
      <w:pPr>
        <w:jc w:val="both"/>
        <w:rPr>
          <w:rFonts w:eastAsia="SimSun"/>
          <w:lang w:eastAsia="zh-CN"/>
        </w:rPr>
      </w:pPr>
      <w:r w:rsidRPr="00600A03">
        <w:rPr>
          <w:rFonts w:eastAsia="SimSun"/>
          <w:lang w:eastAsia="zh-CN"/>
        </w:rPr>
        <w:t>La Fédération de Russie reconnaît la nécessité de tenir compte de l'évolution actuelle des télécommunications/technologies de l'information et de la communication (TIC), y compris la généralisation du numérique, lors de la définition de nouveaux objectifs pour l'UIT. Il n'en reste pas moins préoccupant que l'élargissement progressif du champ d'action à des domaines périphériques ait entraîné une pénurie de ressources, alors que les fonctions essentielles, telles que la coordination du spectre et l'élaboration de normes, ont besoin d'un soutien continu pour surmonter les défis accumulés</w:t>
      </w:r>
      <w:r w:rsidR="002856D4" w:rsidRPr="00600A03">
        <w:rPr>
          <w:rStyle w:val="FootnoteReference"/>
        </w:rPr>
        <w:footnoteReference w:customMarkFollows="1" w:id="1"/>
        <w:t>1</w:t>
      </w:r>
      <w:r w:rsidRPr="00600A03">
        <w:rPr>
          <w:rFonts w:eastAsia="SimSun"/>
          <w:lang w:eastAsia="zh-CN"/>
        </w:rPr>
        <w:t>.</w:t>
      </w:r>
    </w:p>
    <w:p w14:paraId="1B0A7858" w14:textId="1378D96B" w:rsidR="00052480" w:rsidRPr="00600A03" w:rsidRDefault="00052480" w:rsidP="00052480">
      <w:pPr>
        <w:pStyle w:val="Heading1"/>
        <w:rPr>
          <w:rFonts w:eastAsia="SimSun"/>
          <w:lang w:eastAsia="zh-CN"/>
        </w:rPr>
      </w:pPr>
      <w:r w:rsidRPr="00600A03">
        <w:rPr>
          <w:rFonts w:eastAsia="SimSun"/>
          <w:lang w:eastAsia="zh-CN"/>
        </w:rPr>
        <w:t>2</w:t>
      </w:r>
      <w:r w:rsidRPr="00600A03">
        <w:rPr>
          <w:rFonts w:eastAsia="SimSun"/>
          <w:lang w:eastAsia="zh-CN"/>
        </w:rPr>
        <w:tab/>
      </w:r>
      <w:r w:rsidR="00D17DE3" w:rsidRPr="00600A03">
        <w:rPr>
          <w:bCs/>
        </w:rPr>
        <w:t>Raisons pour lesquelles les ressources ne sont pas attribuées en fonction des besoins réels</w:t>
      </w:r>
    </w:p>
    <w:p w14:paraId="7FC5F225" w14:textId="75E5B4F0" w:rsidR="00D17DE3" w:rsidRPr="00600A03" w:rsidRDefault="00D17DE3" w:rsidP="001E3DEC">
      <w:pPr>
        <w:jc w:val="both"/>
        <w:rPr>
          <w:lang w:eastAsia="zh-CN"/>
        </w:rPr>
      </w:pPr>
      <w:r w:rsidRPr="00600A03">
        <w:rPr>
          <w:rFonts w:eastAsia="SimSun"/>
          <w:lang w:eastAsia="zh-CN"/>
        </w:rPr>
        <w:t>Les</w:t>
      </w:r>
      <w:r w:rsidRPr="00600A03">
        <w:rPr>
          <w:lang w:eastAsia="zh-CN"/>
        </w:rPr>
        <w:t xml:space="preserve"> nouvelles résolutions adoptées par la Conférence de plénipotentiaires et les conférences/assemblées des Secteurs de l'UIT attribuent à l'Union de nouveaux objectifs qui ne sont pas directement liés à son objet tel qu'il est défini dans la Constitution. Ces résolutions traitent souvent de domaines dans lesquels les TIC servent d'outils, mais où les questions de politique générale relèvent de la compétence d'autres institutions des Nations</w:t>
      </w:r>
      <w:r w:rsidR="004B0741" w:rsidRPr="00600A03">
        <w:rPr>
          <w:lang w:eastAsia="zh-CN"/>
        </w:rPr>
        <w:t> </w:t>
      </w:r>
      <w:r w:rsidRPr="00600A03">
        <w:rPr>
          <w:lang w:eastAsia="zh-CN"/>
        </w:rPr>
        <w:t>Unies. Par défaut, toutes les résolutions ont le même statut.</w:t>
      </w:r>
    </w:p>
    <w:p w14:paraId="67E76DB3" w14:textId="2F9ACD72" w:rsidR="00D17DE3" w:rsidRPr="00600A03" w:rsidRDefault="00D17DE3" w:rsidP="001E3DEC">
      <w:pPr>
        <w:jc w:val="both"/>
        <w:rPr>
          <w:lang w:eastAsia="zh-CN"/>
        </w:rPr>
      </w:pPr>
      <w:r w:rsidRPr="00600A03">
        <w:rPr>
          <w:lang w:eastAsia="zh-CN"/>
        </w:rPr>
        <w:lastRenderedPageBreak/>
        <w:t xml:space="preserve">La </w:t>
      </w:r>
      <w:r w:rsidRPr="00600A03">
        <w:rPr>
          <w:rFonts w:eastAsia="SimSun"/>
          <w:lang w:eastAsia="zh-CN"/>
        </w:rPr>
        <w:t>Fédération</w:t>
      </w:r>
      <w:r w:rsidRPr="00600A03">
        <w:rPr>
          <w:lang w:eastAsia="zh-CN"/>
        </w:rPr>
        <w:t xml:space="preserve"> de Russie affirme que le rôle unique de l'UIT, tel qu'il est énoncé dans l'article</w:t>
      </w:r>
      <w:r w:rsidR="004B0741" w:rsidRPr="00600A03">
        <w:rPr>
          <w:lang w:eastAsia="zh-CN"/>
        </w:rPr>
        <w:t> </w:t>
      </w:r>
      <w:r w:rsidRPr="00600A03">
        <w:rPr>
          <w:lang w:eastAsia="zh-CN"/>
        </w:rPr>
        <w:t xml:space="preserve">1 de la Constitution, devrait être axé sur les points </w:t>
      </w:r>
      <w:proofErr w:type="gramStart"/>
      <w:r w:rsidRPr="00600A03">
        <w:rPr>
          <w:lang w:eastAsia="zh-CN"/>
        </w:rPr>
        <w:t>suivants:</w:t>
      </w:r>
      <w:proofErr w:type="gramEnd"/>
    </w:p>
    <w:p w14:paraId="34685A66" w14:textId="74401917" w:rsidR="00D17DE3" w:rsidRPr="00600A03" w:rsidRDefault="00D17DE3" w:rsidP="001E3DEC">
      <w:pPr>
        <w:pStyle w:val="enumlev1"/>
        <w:jc w:val="both"/>
        <w:rPr>
          <w:lang w:eastAsia="zh-CN"/>
        </w:rPr>
      </w:pPr>
      <w:r w:rsidRPr="00600A03">
        <w:rPr>
          <w:lang w:eastAsia="zh-CN"/>
        </w:rPr>
        <w:t>–</w:t>
      </w:r>
      <w:r w:rsidRPr="00600A03">
        <w:rPr>
          <w:lang w:eastAsia="zh-CN"/>
        </w:rPr>
        <w:tab/>
      </w:r>
      <w:r w:rsidR="004B0741" w:rsidRPr="00600A03">
        <w:rPr>
          <w:lang w:eastAsia="zh-CN"/>
        </w:rPr>
        <w:t>L</w:t>
      </w:r>
      <w:r w:rsidRPr="00600A03">
        <w:rPr>
          <w:lang w:eastAsia="zh-CN"/>
        </w:rPr>
        <w:t>'attribution efficace des bandes de fréquences du spectre des fréquences radioélectriques, l'allotissement des fréquences radioélectriques et l'enregistrement des assignations de fréquence et, pour les services spatiaux, des positions orbitales associées sur l'orbite des satellites géostationnaires ou des caractéristiques associées de satellites sur d'autres orbites</w:t>
      </w:r>
      <w:r w:rsidR="004B0741" w:rsidRPr="00600A03">
        <w:rPr>
          <w:lang w:eastAsia="zh-CN"/>
        </w:rPr>
        <w:t>.</w:t>
      </w:r>
    </w:p>
    <w:p w14:paraId="2260C3E3" w14:textId="5C580304" w:rsidR="00D17DE3" w:rsidRPr="00600A03" w:rsidRDefault="00D17DE3" w:rsidP="001E3DEC">
      <w:pPr>
        <w:pStyle w:val="enumlev1"/>
        <w:jc w:val="both"/>
        <w:rPr>
          <w:lang w:eastAsia="zh-CN"/>
        </w:rPr>
      </w:pPr>
      <w:r w:rsidRPr="00600A03">
        <w:rPr>
          <w:lang w:eastAsia="zh-CN"/>
        </w:rPr>
        <w:t>–</w:t>
      </w:r>
      <w:r w:rsidRPr="00600A03">
        <w:rPr>
          <w:lang w:eastAsia="zh-CN"/>
        </w:rPr>
        <w:tab/>
      </w:r>
      <w:r w:rsidR="004B0741" w:rsidRPr="00600A03">
        <w:rPr>
          <w:lang w:eastAsia="zh-CN"/>
        </w:rPr>
        <w:t>L</w:t>
      </w:r>
      <w:r w:rsidRPr="00600A03">
        <w:rPr>
          <w:lang w:eastAsia="zh-CN"/>
        </w:rPr>
        <w:t>a normalisation des télécommunications/TIC à l'échelle mondiale</w:t>
      </w:r>
      <w:r w:rsidR="004B0741" w:rsidRPr="00600A03">
        <w:rPr>
          <w:lang w:eastAsia="zh-CN"/>
        </w:rPr>
        <w:t>.</w:t>
      </w:r>
    </w:p>
    <w:p w14:paraId="7547A438" w14:textId="1B40FAB3" w:rsidR="00D17DE3" w:rsidRPr="00600A03" w:rsidRDefault="00D17DE3" w:rsidP="001E3DEC">
      <w:pPr>
        <w:pStyle w:val="enumlev1"/>
        <w:jc w:val="both"/>
        <w:rPr>
          <w:lang w:eastAsia="zh-CN"/>
        </w:rPr>
      </w:pPr>
      <w:r w:rsidRPr="00600A03">
        <w:rPr>
          <w:lang w:eastAsia="zh-CN"/>
        </w:rPr>
        <w:t>–</w:t>
      </w:r>
      <w:r w:rsidRPr="00600A03">
        <w:rPr>
          <w:lang w:eastAsia="zh-CN"/>
        </w:rPr>
        <w:tab/>
      </w:r>
      <w:r w:rsidR="004B0741" w:rsidRPr="00600A03">
        <w:rPr>
          <w:lang w:eastAsia="zh-CN"/>
        </w:rPr>
        <w:t>L</w:t>
      </w:r>
      <w:r w:rsidRPr="00600A03">
        <w:rPr>
          <w:lang w:eastAsia="zh-CN"/>
        </w:rPr>
        <w:t>'attribution des ressources de numérotage, de nommage, d'adressage et d'identification (</w:t>
      </w:r>
      <w:proofErr w:type="spellStart"/>
      <w:r w:rsidRPr="00600A03">
        <w:rPr>
          <w:lang w:eastAsia="zh-CN"/>
        </w:rPr>
        <w:t>NNAI</w:t>
      </w:r>
      <w:proofErr w:type="spellEnd"/>
      <w:r w:rsidRPr="00600A03">
        <w:rPr>
          <w:lang w:eastAsia="zh-CN"/>
        </w:rPr>
        <w:t>)</w:t>
      </w:r>
      <w:r w:rsidR="004B0741" w:rsidRPr="00600A03">
        <w:rPr>
          <w:lang w:eastAsia="zh-CN"/>
        </w:rPr>
        <w:t>.</w:t>
      </w:r>
    </w:p>
    <w:p w14:paraId="5873E07E" w14:textId="3049CEC9" w:rsidR="00D17DE3" w:rsidRPr="00600A03" w:rsidRDefault="00D17DE3" w:rsidP="001E3DEC">
      <w:pPr>
        <w:pStyle w:val="enumlev1"/>
        <w:jc w:val="both"/>
        <w:rPr>
          <w:lang w:eastAsia="zh-CN"/>
        </w:rPr>
      </w:pPr>
      <w:r w:rsidRPr="00600A03">
        <w:rPr>
          <w:lang w:eastAsia="zh-CN"/>
        </w:rPr>
        <w:t>–</w:t>
      </w:r>
      <w:r w:rsidRPr="00600A03">
        <w:rPr>
          <w:lang w:eastAsia="zh-CN"/>
        </w:rPr>
        <w:tab/>
      </w:r>
      <w:r w:rsidR="004B0741" w:rsidRPr="00600A03">
        <w:rPr>
          <w:lang w:eastAsia="zh-CN"/>
        </w:rPr>
        <w:t>L</w:t>
      </w:r>
      <w:r w:rsidRPr="00600A03">
        <w:rPr>
          <w:lang w:eastAsia="zh-CN"/>
        </w:rPr>
        <w:t>'assistance technique aux pays en voie de développement</w:t>
      </w:r>
      <w:r w:rsidR="00A16990" w:rsidRPr="00600A03">
        <w:rPr>
          <w:lang w:eastAsia="zh-CN"/>
        </w:rPr>
        <w:t>.</w:t>
      </w:r>
    </w:p>
    <w:p w14:paraId="70782E31" w14:textId="23078E4B" w:rsidR="00D17DE3" w:rsidRPr="00600A03" w:rsidRDefault="00D17DE3" w:rsidP="001E3DEC">
      <w:pPr>
        <w:pStyle w:val="enumlev1"/>
        <w:jc w:val="both"/>
        <w:rPr>
          <w:lang w:eastAsia="zh-CN"/>
        </w:rPr>
      </w:pPr>
      <w:r w:rsidRPr="00600A03">
        <w:rPr>
          <w:lang w:eastAsia="zh-CN"/>
        </w:rPr>
        <w:t>–</w:t>
      </w:r>
      <w:r w:rsidRPr="00600A03">
        <w:rPr>
          <w:lang w:eastAsia="zh-CN"/>
        </w:rPr>
        <w:tab/>
      </w:r>
      <w:r w:rsidR="00A16990" w:rsidRPr="00600A03">
        <w:rPr>
          <w:lang w:eastAsia="zh-CN"/>
        </w:rPr>
        <w:t>L</w:t>
      </w:r>
      <w:r w:rsidRPr="00600A03">
        <w:rPr>
          <w:lang w:eastAsia="zh-CN"/>
        </w:rPr>
        <w:t>a création d'un environnement réglementaire propice au développement des TIC</w:t>
      </w:r>
      <w:r w:rsidR="00A16990" w:rsidRPr="00600A03">
        <w:rPr>
          <w:lang w:eastAsia="zh-CN"/>
        </w:rPr>
        <w:t>.</w:t>
      </w:r>
    </w:p>
    <w:p w14:paraId="4D9107A2" w14:textId="4FD8107E" w:rsidR="00D17DE3" w:rsidRPr="00600A03" w:rsidRDefault="00D17DE3" w:rsidP="001E3DEC">
      <w:pPr>
        <w:pStyle w:val="enumlev1"/>
        <w:jc w:val="both"/>
        <w:rPr>
          <w:lang w:eastAsia="zh-CN"/>
        </w:rPr>
      </w:pPr>
      <w:r w:rsidRPr="00600A03">
        <w:rPr>
          <w:lang w:eastAsia="zh-CN"/>
        </w:rPr>
        <w:t>–</w:t>
      </w:r>
      <w:r w:rsidRPr="00600A03">
        <w:rPr>
          <w:lang w:eastAsia="zh-CN"/>
        </w:rPr>
        <w:tab/>
      </w:r>
      <w:r w:rsidR="00A16990" w:rsidRPr="00600A03">
        <w:rPr>
          <w:lang w:eastAsia="zh-CN"/>
        </w:rPr>
        <w:t>L</w:t>
      </w:r>
      <w:r w:rsidRPr="00600A03">
        <w:rPr>
          <w:lang w:eastAsia="zh-CN"/>
        </w:rPr>
        <w:t>e déploiement d'efforts pour étendre les avantages des nouvelles technologies à tous les habitants de la planète</w:t>
      </w:r>
      <w:r w:rsidR="00A16990" w:rsidRPr="00600A03">
        <w:rPr>
          <w:lang w:eastAsia="zh-CN"/>
        </w:rPr>
        <w:t>.</w:t>
      </w:r>
    </w:p>
    <w:p w14:paraId="4FDEB92D" w14:textId="537F6E10" w:rsidR="00D17DE3" w:rsidRPr="00600A03" w:rsidRDefault="00D17DE3" w:rsidP="001E3DEC">
      <w:pPr>
        <w:pStyle w:val="enumlev1"/>
        <w:jc w:val="both"/>
        <w:rPr>
          <w:lang w:eastAsia="zh-CN"/>
        </w:rPr>
      </w:pPr>
      <w:r w:rsidRPr="00600A03">
        <w:rPr>
          <w:lang w:eastAsia="zh-CN"/>
        </w:rPr>
        <w:t>–</w:t>
      </w:r>
      <w:r w:rsidRPr="00600A03">
        <w:rPr>
          <w:lang w:eastAsia="zh-CN"/>
        </w:rPr>
        <w:tab/>
      </w:r>
      <w:r w:rsidR="00A16990" w:rsidRPr="00600A03">
        <w:rPr>
          <w:lang w:eastAsia="zh-CN"/>
        </w:rPr>
        <w:t>L</w:t>
      </w:r>
      <w:r w:rsidRPr="00600A03">
        <w:rPr>
          <w:lang w:eastAsia="zh-CN"/>
        </w:rPr>
        <w:t>a coordination entre les États Membres.</w:t>
      </w:r>
    </w:p>
    <w:p w14:paraId="15E1C8C8" w14:textId="7C34428D" w:rsidR="00052480" w:rsidRPr="00600A03" w:rsidRDefault="00D17DE3" w:rsidP="001E3DEC">
      <w:pPr>
        <w:jc w:val="both"/>
        <w:rPr>
          <w:rFonts w:eastAsia="SimSun"/>
          <w:lang w:eastAsia="zh-CN"/>
        </w:rPr>
      </w:pPr>
      <w:r w:rsidRPr="00600A03">
        <w:rPr>
          <w:rFonts w:eastAsia="SimSun"/>
          <w:lang w:eastAsia="zh-CN"/>
        </w:rPr>
        <w:t>L'objet</w:t>
      </w:r>
      <w:r w:rsidRPr="00600A03">
        <w:rPr>
          <w:lang w:eastAsia="zh-CN"/>
        </w:rPr>
        <w:t xml:space="preserve"> de l'Union est énoncé également dans les Règlements administratifs de l'UIT, à savoir le Règlement des radiocommunications et le Règlement des télécommunications internationales, qui sont des traités internationaux contraignants</w:t>
      </w:r>
      <w:r w:rsidR="00052480" w:rsidRPr="00600A03">
        <w:rPr>
          <w:rFonts w:eastAsia="SimSun"/>
          <w:lang w:eastAsia="zh-CN"/>
        </w:rPr>
        <w:t>.</w:t>
      </w:r>
    </w:p>
    <w:p w14:paraId="094B1D85" w14:textId="77777777" w:rsidR="00D17DE3" w:rsidRPr="00600A03" w:rsidRDefault="00D17DE3" w:rsidP="00D17DE3">
      <w:pPr>
        <w:pStyle w:val="Heading1"/>
      </w:pPr>
      <w:r w:rsidRPr="00600A03">
        <w:rPr>
          <w:bCs/>
        </w:rPr>
        <w:t>3</w:t>
      </w:r>
      <w:r w:rsidRPr="00600A03">
        <w:tab/>
      </w:r>
      <w:r w:rsidRPr="00600A03">
        <w:rPr>
          <w:bCs/>
        </w:rPr>
        <w:t>Mécanisme de mise en œuvre proposé</w:t>
      </w:r>
    </w:p>
    <w:p w14:paraId="21B82ACB" w14:textId="77777777" w:rsidR="00D17DE3" w:rsidRPr="00600A03" w:rsidRDefault="00D17DE3" w:rsidP="001E3DEC">
      <w:pPr>
        <w:jc w:val="both"/>
      </w:pPr>
      <w:r w:rsidRPr="00600A03">
        <w:rPr>
          <w:b/>
          <w:bCs/>
        </w:rPr>
        <w:t xml:space="preserve">Phase </w:t>
      </w:r>
      <w:proofErr w:type="gramStart"/>
      <w:r w:rsidRPr="00600A03">
        <w:rPr>
          <w:b/>
          <w:bCs/>
        </w:rPr>
        <w:t>1:</w:t>
      </w:r>
      <w:proofErr w:type="gramEnd"/>
      <w:r w:rsidRPr="00600A03">
        <w:t xml:space="preserve"> Examen pilote (mois 0 à 6)</w:t>
      </w:r>
    </w:p>
    <w:p w14:paraId="314E7F6B" w14:textId="77777777" w:rsidR="00D17DE3" w:rsidRPr="00600A03" w:rsidRDefault="00D17DE3" w:rsidP="001E3DEC">
      <w:pPr>
        <w:jc w:val="both"/>
      </w:pPr>
      <w:r w:rsidRPr="00600A03">
        <w:t xml:space="preserve">Il est proposé que la Conférence de plénipotentiaires de 2026 crée un groupe de travail intérimaire d'experts de haut niveau chargé de définir les modalités d'attribution des ressources conformément à l'objet de l'Union, composé comme </w:t>
      </w:r>
      <w:proofErr w:type="gramStart"/>
      <w:r w:rsidRPr="00600A03">
        <w:t>suit:</w:t>
      </w:r>
      <w:proofErr w:type="gramEnd"/>
    </w:p>
    <w:p w14:paraId="2B7B0543" w14:textId="4D12C59C" w:rsidR="00D17DE3" w:rsidRPr="00600A03" w:rsidRDefault="00D17DE3" w:rsidP="001E3DEC">
      <w:pPr>
        <w:pStyle w:val="enumlev1"/>
        <w:jc w:val="both"/>
      </w:pPr>
      <w:r w:rsidRPr="00600A03">
        <w:t>–</w:t>
      </w:r>
      <w:r w:rsidRPr="00600A03">
        <w:tab/>
      </w:r>
      <w:r w:rsidR="0005186A" w:rsidRPr="00600A03">
        <w:t>D</w:t>
      </w:r>
      <w:r w:rsidRPr="00600A03">
        <w:t>es représentants de 12 États Membres (avec une répartition géographique équitable)</w:t>
      </w:r>
      <w:r w:rsidR="0005186A" w:rsidRPr="00600A03">
        <w:t>.</w:t>
      </w:r>
    </w:p>
    <w:p w14:paraId="2985A991" w14:textId="6FCE3264" w:rsidR="00D17DE3" w:rsidRPr="00600A03" w:rsidRDefault="00D17DE3" w:rsidP="001E3DEC">
      <w:pPr>
        <w:pStyle w:val="enumlev1"/>
        <w:jc w:val="both"/>
      </w:pPr>
      <w:r w:rsidRPr="00600A03">
        <w:t>–</w:t>
      </w:r>
      <w:r w:rsidRPr="00600A03">
        <w:tab/>
      </w:r>
      <w:r w:rsidR="0005186A" w:rsidRPr="00600A03">
        <w:t>D</w:t>
      </w:r>
      <w:r w:rsidRPr="00600A03">
        <w:t>es représentants de trois Membres de Secteur (entreprises privées, un par Secteur)</w:t>
      </w:r>
      <w:r w:rsidR="0005186A" w:rsidRPr="00600A03">
        <w:t>.</w:t>
      </w:r>
    </w:p>
    <w:p w14:paraId="07C6EB6F" w14:textId="374ADC71" w:rsidR="00D17DE3" w:rsidRPr="00600A03" w:rsidRDefault="00D17DE3" w:rsidP="001E3DEC">
      <w:pPr>
        <w:pStyle w:val="enumlev1"/>
        <w:jc w:val="both"/>
      </w:pPr>
      <w:r w:rsidRPr="00600A03">
        <w:t>–</w:t>
      </w:r>
      <w:r w:rsidRPr="00600A03">
        <w:tab/>
      </w:r>
      <w:r w:rsidR="0005186A" w:rsidRPr="00600A03">
        <w:t>U</w:t>
      </w:r>
      <w:r w:rsidRPr="00600A03">
        <w:t>n représentant du Corps commun d'inspection du système des Nations Unies (CCI)</w:t>
      </w:r>
      <w:r w:rsidR="0005186A" w:rsidRPr="00600A03">
        <w:t>.</w:t>
      </w:r>
    </w:p>
    <w:p w14:paraId="7542A6EF" w14:textId="335C1B12" w:rsidR="00D17DE3" w:rsidRPr="00600A03" w:rsidRDefault="00D17DE3" w:rsidP="001E3DEC">
      <w:pPr>
        <w:pStyle w:val="enumlev1"/>
        <w:jc w:val="both"/>
      </w:pPr>
      <w:r w:rsidRPr="00600A03">
        <w:t>–</w:t>
      </w:r>
      <w:r w:rsidRPr="00600A03">
        <w:tab/>
      </w:r>
      <w:r w:rsidR="0005186A" w:rsidRPr="00600A03">
        <w:t>U</w:t>
      </w:r>
      <w:r w:rsidRPr="00600A03">
        <w:t>n secrétaire exécutif du Secrétariat général de l'UIT.</w:t>
      </w:r>
    </w:p>
    <w:p w14:paraId="190B2613" w14:textId="77777777" w:rsidR="00D17DE3" w:rsidRPr="00600A03" w:rsidRDefault="00D17DE3" w:rsidP="001E3DEC">
      <w:pPr>
        <w:jc w:val="both"/>
      </w:pPr>
      <w:r w:rsidRPr="00600A03">
        <w:t xml:space="preserve">Le groupe de direction (groupe d'experts de haut niveau) aurait notamment pour </w:t>
      </w:r>
      <w:proofErr w:type="gramStart"/>
      <w:r w:rsidRPr="00600A03">
        <w:t>mandat:</w:t>
      </w:r>
      <w:proofErr w:type="gramEnd"/>
    </w:p>
    <w:p w14:paraId="5BC05522" w14:textId="501133F7" w:rsidR="00D17DE3" w:rsidRPr="00600A03" w:rsidRDefault="00D17DE3" w:rsidP="001E3DEC">
      <w:pPr>
        <w:pStyle w:val="enumlev1"/>
        <w:jc w:val="both"/>
      </w:pPr>
      <w:r w:rsidRPr="00600A03">
        <w:t>–</w:t>
      </w:r>
      <w:r w:rsidRPr="00600A03">
        <w:tab/>
        <w:t>d'élaborer une méthode d'évaluation normalisée fondée sur l'Annexe 1 ci-</w:t>
      </w:r>
      <w:proofErr w:type="gramStart"/>
      <w:r w:rsidRPr="00600A03">
        <w:t>après;</w:t>
      </w:r>
      <w:proofErr w:type="gramEnd"/>
    </w:p>
    <w:p w14:paraId="7C8ED5F6" w14:textId="1C1C8AC6" w:rsidR="00D17DE3" w:rsidRPr="00600A03" w:rsidRDefault="00D17DE3" w:rsidP="001E3DEC">
      <w:pPr>
        <w:pStyle w:val="enumlev1"/>
        <w:jc w:val="both"/>
      </w:pPr>
      <w:r w:rsidRPr="00600A03">
        <w:t>–</w:t>
      </w:r>
      <w:r w:rsidRPr="00600A03">
        <w:tab/>
        <w:t xml:space="preserve">de sélectionner trois à cinq objectifs représentatifs de l'UIT pour l'essai </w:t>
      </w:r>
      <w:proofErr w:type="gramStart"/>
      <w:r w:rsidRPr="00600A03">
        <w:t>pilote;</w:t>
      </w:r>
      <w:proofErr w:type="gramEnd"/>
    </w:p>
    <w:p w14:paraId="0EB32BB1" w14:textId="0E049591" w:rsidR="00D17DE3" w:rsidRPr="00600A03" w:rsidRDefault="00D17DE3" w:rsidP="001E3DEC">
      <w:pPr>
        <w:pStyle w:val="enumlev1"/>
        <w:jc w:val="both"/>
      </w:pPr>
      <w:r w:rsidRPr="00600A03">
        <w:t>–</w:t>
      </w:r>
      <w:r w:rsidRPr="00600A03">
        <w:tab/>
        <w:t>de présenter un rapport contenant des recommandations méthodologiques à la session de 2027 du Conseil.</w:t>
      </w:r>
    </w:p>
    <w:p w14:paraId="0A9FD961" w14:textId="77777777" w:rsidR="00D17DE3" w:rsidRPr="00600A03" w:rsidRDefault="00D17DE3" w:rsidP="001E3DEC">
      <w:pPr>
        <w:jc w:val="both"/>
      </w:pPr>
      <w:r w:rsidRPr="00600A03">
        <w:rPr>
          <w:b/>
          <w:bCs/>
        </w:rPr>
        <w:t xml:space="preserve">Phase </w:t>
      </w:r>
      <w:proofErr w:type="gramStart"/>
      <w:r w:rsidRPr="00600A03">
        <w:rPr>
          <w:b/>
          <w:bCs/>
        </w:rPr>
        <w:t>2:</w:t>
      </w:r>
      <w:proofErr w:type="gramEnd"/>
      <w:r w:rsidRPr="00600A03">
        <w:t xml:space="preserve"> Examen indépendant (mois 7 à 18)</w:t>
      </w:r>
    </w:p>
    <w:p w14:paraId="31631AEE" w14:textId="77777777" w:rsidR="00D17DE3" w:rsidRPr="00600A03" w:rsidRDefault="00D17DE3" w:rsidP="001E3DEC">
      <w:pPr>
        <w:jc w:val="both"/>
      </w:pPr>
      <w:r w:rsidRPr="00600A03">
        <w:t>Le Conseil, à sa session de 2027, autorisera un examen complet et indépendant de toutes les activités de l'UIT devant être externalisées à une entité extérieure (par exemple, le CCI ou des consultants spécialisés).</w:t>
      </w:r>
    </w:p>
    <w:p w14:paraId="420CFB3F" w14:textId="77777777" w:rsidR="00D17DE3" w:rsidRPr="00600A03" w:rsidRDefault="00D17DE3" w:rsidP="001E3DEC">
      <w:pPr>
        <w:jc w:val="both"/>
      </w:pPr>
      <w:r w:rsidRPr="00600A03">
        <w:t>L'examen s'effectuera selon un système de classification par paliers (niveaux 1 à 4) et consistera à évaluer toutes les activités au regard des critères indiqués dans l'Annexe 1.</w:t>
      </w:r>
    </w:p>
    <w:p w14:paraId="070F711D" w14:textId="77777777" w:rsidR="00D17DE3" w:rsidRPr="00600A03" w:rsidRDefault="00D17DE3" w:rsidP="001E3DEC">
      <w:pPr>
        <w:keepNext/>
      </w:pPr>
      <w:r w:rsidRPr="00600A03">
        <w:lastRenderedPageBreak/>
        <w:t xml:space="preserve">Résultats </w:t>
      </w:r>
      <w:proofErr w:type="gramStart"/>
      <w:r w:rsidRPr="00600A03">
        <w:t>attendus:</w:t>
      </w:r>
      <w:proofErr w:type="gramEnd"/>
    </w:p>
    <w:p w14:paraId="7673151D" w14:textId="34CDED96" w:rsidR="00D17DE3" w:rsidRPr="00600A03" w:rsidRDefault="00D17DE3" w:rsidP="001E3DEC">
      <w:pPr>
        <w:pStyle w:val="enumlev1"/>
        <w:jc w:val="both"/>
      </w:pPr>
      <w:r w:rsidRPr="00600A03">
        <w:t>–</w:t>
      </w:r>
      <w:r w:rsidRPr="00600A03">
        <w:tab/>
      </w:r>
      <w:r w:rsidR="004B0741" w:rsidRPr="00600A03">
        <w:t>U</w:t>
      </w:r>
      <w:r w:rsidRPr="00600A03">
        <w:t>n tableau de bord public permettant de suivre l'affectation des ressources conformément à l'objet de l'Union (par activité, budget, personnel)</w:t>
      </w:r>
      <w:r w:rsidR="004B0741" w:rsidRPr="00600A03">
        <w:t>.</w:t>
      </w:r>
    </w:p>
    <w:p w14:paraId="37FDE07D" w14:textId="5B2063BD" w:rsidR="00D17DE3" w:rsidRPr="00600A03" w:rsidRDefault="00D17DE3" w:rsidP="001E3DEC">
      <w:pPr>
        <w:pStyle w:val="enumlev1"/>
        <w:jc w:val="both"/>
      </w:pPr>
      <w:r w:rsidRPr="00600A03">
        <w:t>–</w:t>
      </w:r>
      <w:r w:rsidRPr="00600A03">
        <w:tab/>
      </w:r>
      <w:r w:rsidR="004B0741" w:rsidRPr="00600A03">
        <w:t>D</w:t>
      </w:r>
      <w:r w:rsidRPr="00600A03">
        <w:t>es propositions relatives à la réaffectation des ressources pour la session de 2028 du Conseil.</w:t>
      </w:r>
    </w:p>
    <w:p w14:paraId="2199E511" w14:textId="7A041BA1" w:rsidR="00D17DE3" w:rsidRPr="00600A03" w:rsidRDefault="00D17DE3" w:rsidP="001E3DEC">
      <w:pPr>
        <w:keepNext/>
        <w:jc w:val="both"/>
      </w:pPr>
      <w:r w:rsidRPr="00600A03">
        <w:rPr>
          <w:b/>
          <w:bCs/>
        </w:rPr>
        <w:t xml:space="preserve">Phase </w:t>
      </w:r>
      <w:proofErr w:type="gramStart"/>
      <w:r w:rsidRPr="00600A03">
        <w:rPr>
          <w:b/>
          <w:bCs/>
        </w:rPr>
        <w:t>3:</w:t>
      </w:r>
      <w:proofErr w:type="gramEnd"/>
      <w:r w:rsidRPr="00600A03">
        <w:t xml:space="preserve"> Réaffectation des ressources sous la direction du Conseil (mois 19</w:t>
      </w:r>
      <w:r w:rsidR="00600A03" w:rsidRPr="00600A03">
        <w:t xml:space="preserve"> à </w:t>
      </w:r>
      <w:r w:rsidRPr="00600A03">
        <w:t>30)</w:t>
      </w:r>
    </w:p>
    <w:p w14:paraId="27F585DC" w14:textId="6FC6E96A" w:rsidR="00D17DE3" w:rsidRPr="00600A03" w:rsidRDefault="00D17DE3" w:rsidP="001E3DEC">
      <w:pPr>
        <w:keepNext/>
        <w:jc w:val="both"/>
      </w:pPr>
      <w:r w:rsidRPr="00600A03">
        <w:t xml:space="preserve">Le Conseil établira une commission permanente chargée de l'attribution des ressources conformément à l'objet de l'Union, qui sera </w:t>
      </w:r>
      <w:proofErr w:type="gramStart"/>
      <w:r w:rsidRPr="00600A03">
        <w:t>chargée:</w:t>
      </w:r>
      <w:proofErr w:type="gramEnd"/>
    </w:p>
    <w:p w14:paraId="111D03BE" w14:textId="38AFEC50" w:rsidR="00D17DE3" w:rsidRPr="00600A03" w:rsidRDefault="00D17DE3" w:rsidP="001E3DEC">
      <w:pPr>
        <w:pStyle w:val="enumlev1"/>
        <w:keepNext/>
        <w:jc w:val="both"/>
      </w:pPr>
      <w:r w:rsidRPr="00600A03">
        <w:t>–</w:t>
      </w:r>
      <w:r w:rsidRPr="00600A03">
        <w:tab/>
        <w:t xml:space="preserve">d'examiner le rapport indépendant et les données du tableau de </w:t>
      </w:r>
      <w:proofErr w:type="gramStart"/>
      <w:r w:rsidRPr="00600A03">
        <w:t>bord;</w:t>
      </w:r>
      <w:proofErr w:type="gramEnd"/>
    </w:p>
    <w:p w14:paraId="21255A0E" w14:textId="50099586" w:rsidR="00D17DE3" w:rsidRPr="00600A03" w:rsidRDefault="00D17DE3" w:rsidP="001E3DEC">
      <w:pPr>
        <w:pStyle w:val="enumlev1"/>
        <w:jc w:val="both"/>
      </w:pPr>
      <w:r w:rsidRPr="00600A03">
        <w:t>–</w:t>
      </w:r>
      <w:r w:rsidRPr="00600A03">
        <w:tab/>
        <w:t xml:space="preserve">de proposer des réaffectations budgétaires pour le prochain exercice </w:t>
      </w:r>
      <w:proofErr w:type="gramStart"/>
      <w:r w:rsidRPr="00600A03">
        <w:t>biennal;</w:t>
      </w:r>
      <w:proofErr w:type="gramEnd"/>
    </w:p>
    <w:p w14:paraId="30FC903F" w14:textId="1ABA1511" w:rsidR="00D17DE3" w:rsidRPr="00600A03" w:rsidRDefault="00D17DE3" w:rsidP="001E3DEC">
      <w:pPr>
        <w:pStyle w:val="enumlev1"/>
        <w:jc w:val="both"/>
      </w:pPr>
      <w:r w:rsidRPr="00600A03">
        <w:t>–</w:t>
      </w:r>
      <w:r w:rsidRPr="00600A03">
        <w:tab/>
        <w:t xml:space="preserve">de soumettre à la session de 2029 du Conseil un rapport contenant des recommandations sur les enjeux </w:t>
      </w:r>
      <w:proofErr w:type="gramStart"/>
      <w:r w:rsidRPr="00600A03">
        <w:t>suivants:</w:t>
      </w:r>
      <w:proofErr w:type="gramEnd"/>
    </w:p>
    <w:p w14:paraId="64368D76" w14:textId="2C4A95E5" w:rsidR="00D17DE3" w:rsidRPr="00600A03" w:rsidRDefault="00D17DE3" w:rsidP="001E3DEC">
      <w:pPr>
        <w:pStyle w:val="enumlev2"/>
        <w:jc w:val="both"/>
      </w:pPr>
      <w:r w:rsidRPr="00600A03">
        <w:t>•</w:t>
      </w:r>
      <w:r w:rsidRPr="00600A03">
        <w:tab/>
      </w:r>
      <w:r w:rsidR="0005186A" w:rsidRPr="00600A03">
        <w:t>M</w:t>
      </w:r>
      <w:r w:rsidRPr="00600A03">
        <w:t>ettre fin aux activités non essentielles de l'UIT ou les restructurer</w:t>
      </w:r>
      <w:r w:rsidR="0005186A" w:rsidRPr="00600A03">
        <w:t>.</w:t>
      </w:r>
    </w:p>
    <w:p w14:paraId="1BDDDA23" w14:textId="01B9BA45" w:rsidR="00D17DE3" w:rsidRPr="00600A03" w:rsidRDefault="00D17DE3" w:rsidP="001E3DEC">
      <w:pPr>
        <w:pStyle w:val="enumlev2"/>
        <w:jc w:val="both"/>
      </w:pPr>
      <w:r w:rsidRPr="00600A03">
        <w:t>•</w:t>
      </w:r>
      <w:r w:rsidRPr="00600A03">
        <w:tab/>
      </w:r>
      <w:r w:rsidR="0005186A" w:rsidRPr="00600A03">
        <w:t>P</w:t>
      </w:r>
      <w:r w:rsidRPr="00600A03">
        <w:t>rotéger les lignes budgétaires pour les activités de niveau 1</w:t>
      </w:r>
      <w:r w:rsidR="0005186A" w:rsidRPr="00600A03">
        <w:t>.</w:t>
      </w:r>
    </w:p>
    <w:p w14:paraId="29062444" w14:textId="1B7AC52F" w:rsidR="00D17DE3" w:rsidRPr="00600A03" w:rsidRDefault="00D17DE3" w:rsidP="001E3DEC">
      <w:pPr>
        <w:pStyle w:val="enumlev2"/>
        <w:jc w:val="both"/>
      </w:pPr>
      <w:r w:rsidRPr="00600A03">
        <w:t>•</w:t>
      </w:r>
      <w:r w:rsidRPr="00600A03">
        <w:tab/>
      </w:r>
      <w:r w:rsidR="0005186A" w:rsidRPr="00600A03">
        <w:t>F</w:t>
      </w:r>
      <w:r w:rsidRPr="00600A03">
        <w:t>aire passer les activités de niveau 3 à 4 vers un financement par le biais de dons ou de partenariats.</w:t>
      </w:r>
    </w:p>
    <w:p w14:paraId="6BAA1D57" w14:textId="77777777" w:rsidR="00D17DE3" w:rsidRPr="00600A03" w:rsidRDefault="00D17DE3" w:rsidP="001E3DEC">
      <w:pPr>
        <w:pStyle w:val="Headingb"/>
        <w:jc w:val="both"/>
      </w:pPr>
      <w:r w:rsidRPr="00600A03">
        <w:rPr>
          <w:bCs/>
        </w:rPr>
        <w:t>Institutionnalisation des examens annuels</w:t>
      </w:r>
    </w:p>
    <w:p w14:paraId="78348E3C" w14:textId="05C9CBFA" w:rsidR="00D17DE3" w:rsidRPr="00600A03" w:rsidRDefault="00D17DE3" w:rsidP="001E3DEC">
      <w:pPr>
        <w:jc w:val="both"/>
      </w:pPr>
      <w:r w:rsidRPr="00600A03">
        <w:t>Pour que ces travaux puissent se poursuivre de manière durable au-delà de la session de</w:t>
      </w:r>
      <w:r w:rsidR="00DA6373" w:rsidRPr="00600A03">
        <w:t> </w:t>
      </w:r>
      <w:r w:rsidRPr="00600A03">
        <w:t xml:space="preserve">2029 du Conseil et de la Conférence de plénipotentiaires de 2030, il </w:t>
      </w:r>
      <w:proofErr w:type="gramStart"/>
      <w:r w:rsidRPr="00600A03">
        <w:t>faudra:</w:t>
      </w:r>
      <w:proofErr w:type="gramEnd"/>
    </w:p>
    <w:p w14:paraId="134188EA" w14:textId="6A8392C7" w:rsidR="00D17DE3" w:rsidRPr="00600A03" w:rsidRDefault="00D17DE3" w:rsidP="001E3DEC">
      <w:pPr>
        <w:pStyle w:val="enumlev1"/>
        <w:jc w:val="both"/>
      </w:pPr>
      <w:r w:rsidRPr="00600A03">
        <w:t>–</w:t>
      </w:r>
      <w:r w:rsidRPr="00600A03">
        <w:tab/>
        <w:t xml:space="preserve">un examen annuel de l'affectation des ressources conformément à l'objet de l'Union, qui sera effectué par le </w:t>
      </w:r>
      <w:r w:rsidR="00DA6373" w:rsidRPr="00600A03">
        <w:t>S</w:t>
      </w:r>
      <w:r w:rsidRPr="00600A03">
        <w:t xml:space="preserve">ecrétariat et examiné par le </w:t>
      </w:r>
      <w:proofErr w:type="spellStart"/>
      <w:r w:rsidRPr="00600A03">
        <w:t>GTC-</w:t>
      </w:r>
      <w:proofErr w:type="gramStart"/>
      <w:r w:rsidRPr="00600A03">
        <w:t>FHR</w:t>
      </w:r>
      <w:proofErr w:type="spellEnd"/>
      <w:r w:rsidRPr="00600A03">
        <w:t>;</w:t>
      </w:r>
      <w:proofErr w:type="gramEnd"/>
    </w:p>
    <w:p w14:paraId="542E28E3" w14:textId="329DA047" w:rsidR="00D17DE3" w:rsidRPr="00600A03" w:rsidRDefault="00D17DE3" w:rsidP="001E3DEC">
      <w:pPr>
        <w:pStyle w:val="enumlev1"/>
        <w:jc w:val="both"/>
      </w:pPr>
      <w:r w:rsidRPr="00600A03">
        <w:t>–</w:t>
      </w:r>
      <w:r w:rsidRPr="00600A03">
        <w:tab/>
        <w:t>son intégration dans le processus d'établissement de programmes et de budgets (avec la confirmation obligatoire de la conformité à l'objet de l'Union et l'évaluation des incidences sur les ressources</w:t>
      </w:r>
      <w:proofErr w:type="gramStart"/>
      <w:r w:rsidRPr="00600A03">
        <w:t>);</w:t>
      </w:r>
      <w:proofErr w:type="gramEnd"/>
    </w:p>
    <w:p w14:paraId="09E368EE" w14:textId="641A9E74" w:rsidR="00D17DE3" w:rsidRPr="00600A03" w:rsidRDefault="00D17DE3" w:rsidP="001E3DEC">
      <w:pPr>
        <w:pStyle w:val="enumlev1"/>
        <w:jc w:val="both"/>
      </w:pPr>
      <w:r w:rsidRPr="00600A03">
        <w:t>–</w:t>
      </w:r>
      <w:r w:rsidRPr="00600A03">
        <w:tab/>
        <w:t>des dispositions établissant une période de validité de quatre ans au maximum pour toutes les nouvelles résolutions de la Conférence de plénipotentiaires, qui ne pourrait être prorogée qu'à l'issue d'un examen confirmant la conformité à l'objet de l'Union, une évaluation des incidences sur les ressources et la confirmation de l'absence de double emploi.</w:t>
      </w:r>
    </w:p>
    <w:p w14:paraId="743D2B7A" w14:textId="77777777" w:rsidR="00D17DE3" w:rsidRPr="00600A03" w:rsidRDefault="00D17DE3" w:rsidP="00D17DE3">
      <w:pPr>
        <w:pStyle w:val="Headingb"/>
      </w:pPr>
      <w:r w:rsidRPr="00600A03">
        <w:rPr>
          <w:bCs/>
        </w:rPr>
        <w:t>Transparence et participation des parties prenantes</w:t>
      </w:r>
    </w:p>
    <w:p w14:paraId="69B9F049" w14:textId="058D55D9" w:rsidR="00D17DE3" w:rsidRPr="00600A03" w:rsidRDefault="00D17DE3" w:rsidP="001E3DEC">
      <w:pPr>
        <w:pStyle w:val="enumlev1"/>
        <w:jc w:val="both"/>
      </w:pPr>
      <w:r w:rsidRPr="00600A03">
        <w:t>–</w:t>
      </w:r>
      <w:r w:rsidRPr="00600A03">
        <w:tab/>
        <w:t>Accès du public à des données agrégées sur l'attribution des ressources conformément à l'objet de l'Union.</w:t>
      </w:r>
    </w:p>
    <w:p w14:paraId="1D442239" w14:textId="1A232526" w:rsidR="00D17DE3" w:rsidRPr="00600A03" w:rsidRDefault="00D17DE3" w:rsidP="001E3DEC">
      <w:pPr>
        <w:pStyle w:val="enumlev1"/>
        <w:jc w:val="both"/>
      </w:pPr>
      <w:r w:rsidRPr="00600A03">
        <w:t>–</w:t>
      </w:r>
      <w:r w:rsidRPr="00600A03">
        <w:tab/>
        <w:t>Mécanisme de retour d'information anonyme pour le personnel de l'UIT.</w:t>
      </w:r>
    </w:p>
    <w:p w14:paraId="59E1A84B" w14:textId="5154E8F0" w:rsidR="00D17DE3" w:rsidRPr="00600A03" w:rsidRDefault="00D17DE3" w:rsidP="001E3DEC">
      <w:pPr>
        <w:pStyle w:val="enumlev1"/>
        <w:jc w:val="both"/>
      </w:pPr>
      <w:r w:rsidRPr="00600A03">
        <w:t>–</w:t>
      </w:r>
      <w:r w:rsidRPr="00600A03">
        <w:tab/>
        <w:t>Séances d'information annuelles à l'intention des États Membres sur les progrès accomplis.</w:t>
      </w:r>
    </w:p>
    <w:p w14:paraId="410218F1" w14:textId="77777777" w:rsidR="00D17DE3" w:rsidRPr="00600A03" w:rsidRDefault="00D17DE3" w:rsidP="00D17DE3">
      <w:pPr>
        <w:pStyle w:val="Headingb"/>
      </w:pPr>
      <w:r w:rsidRPr="00600A03">
        <w:rPr>
          <w:bCs/>
        </w:rPr>
        <w:t>Lien avec les cycles budgétaires</w:t>
      </w:r>
    </w:p>
    <w:p w14:paraId="0883AB46" w14:textId="77777777" w:rsidR="00D17DE3" w:rsidRPr="00600A03" w:rsidRDefault="00D17DE3" w:rsidP="001E3DEC">
      <w:pPr>
        <w:jc w:val="both"/>
      </w:pPr>
      <w:r w:rsidRPr="00600A03">
        <w:t>Les propositions de programme et de budget comprendront, pour chaque programme, une note reflétant son alignement avec l'objet de l'Union. Un financement volontaire pourrait être recommandé pour les activités des niveaux 3 et 4, à moins qu'elles ne soient reclassées dans d'autres niveaux.</w:t>
      </w:r>
    </w:p>
    <w:p w14:paraId="3E4E481D" w14:textId="77777777" w:rsidR="00D17DE3" w:rsidRPr="00600A03" w:rsidRDefault="00D17DE3" w:rsidP="00D17DE3">
      <w:pPr>
        <w:pStyle w:val="Headingb"/>
      </w:pPr>
      <w:r w:rsidRPr="00600A03">
        <w:rPr>
          <w:bCs/>
        </w:rPr>
        <w:lastRenderedPageBreak/>
        <w:t xml:space="preserve">Renforcement du rôle du </w:t>
      </w:r>
      <w:proofErr w:type="spellStart"/>
      <w:r w:rsidRPr="00600A03">
        <w:rPr>
          <w:bCs/>
        </w:rPr>
        <w:t>GTC-FHR</w:t>
      </w:r>
      <w:proofErr w:type="spellEnd"/>
    </w:p>
    <w:p w14:paraId="5C315667" w14:textId="5DD8F22E" w:rsidR="00D17DE3" w:rsidRPr="00600A03" w:rsidRDefault="00D17DE3" w:rsidP="001E3DEC">
      <w:pPr>
        <w:jc w:val="both"/>
      </w:pPr>
      <w:r w:rsidRPr="00600A03">
        <w:t xml:space="preserve">Le </w:t>
      </w:r>
      <w:proofErr w:type="spellStart"/>
      <w:r w:rsidRPr="00600A03">
        <w:t>GTC-FHR</w:t>
      </w:r>
      <w:proofErr w:type="spellEnd"/>
      <w:r w:rsidRPr="00600A03">
        <w:t xml:space="preserve"> procèdera à un examen annuel pour s'assurer que les ressources sont attribuées conformément à l'objet de l'Union. Le </w:t>
      </w:r>
      <w:r w:rsidR="00DA6373" w:rsidRPr="00600A03">
        <w:t>S</w:t>
      </w:r>
      <w:r w:rsidRPr="00600A03">
        <w:t xml:space="preserve">ecrétariat rendra </w:t>
      </w:r>
      <w:proofErr w:type="gramStart"/>
      <w:r w:rsidRPr="00600A03">
        <w:t>compte:</w:t>
      </w:r>
      <w:proofErr w:type="gramEnd"/>
    </w:p>
    <w:p w14:paraId="6BCC8D66" w14:textId="6C3DC019" w:rsidR="00D17DE3" w:rsidRPr="00600A03" w:rsidRDefault="00D17DE3" w:rsidP="001E3DEC">
      <w:pPr>
        <w:pStyle w:val="enumlev1"/>
        <w:jc w:val="both"/>
      </w:pPr>
      <w:r w:rsidRPr="00600A03">
        <w:t>–</w:t>
      </w:r>
      <w:r w:rsidRPr="00600A03">
        <w:tab/>
        <w:t xml:space="preserve">de la répartition du temps de travail du personnel et du budget pour chaque niveau </w:t>
      </w:r>
      <w:proofErr w:type="gramStart"/>
      <w:r w:rsidRPr="00600A03">
        <w:t>d'activité;</w:t>
      </w:r>
      <w:proofErr w:type="gramEnd"/>
    </w:p>
    <w:p w14:paraId="2159760C" w14:textId="17FF77DF" w:rsidR="00D17DE3" w:rsidRPr="00600A03" w:rsidRDefault="00D17DE3" w:rsidP="001E3DEC">
      <w:pPr>
        <w:pStyle w:val="enumlev1"/>
        <w:jc w:val="both"/>
      </w:pPr>
      <w:r w:rsidRPr="00600A03">
        <w:t>–</w:t>
      </w:r>
      <w:r w:rsidRPr="00600A03">
        <w:tab/>
        <w:t xml:space="preserve">des progrès réalisés dans la suppression ou la restructuration d'activités non </w:t>
      </w:r>
      <w:proofErr w:type="gramStart"/>
      <w:r w:rsidRPr="00600A03">
        <w:t>essentielles;</w:t>
      </w:r>
      <w:proofErr w:type="gramEnd"/>
    </w:p>
    <w:p w14:paraId="001264BC" w14:textId="3EA651FF" w:rsidR="00D17DE3" w:rsidRPr="00600A03" w:rsidRDefault="00D17DE3" w:rsidP="001E3DEC">
      <w:pPr>
        <w:pStyle w:val="enumlev1"/>
        <w:jc w:val="both"/>
      </w:pPr>
      <w:r w:rsidRPr="00600A03">
        <w:t>–</w:t>
      </w:r>
      <w:r w:rsidRPr="00600A03">
        <w:tab/>
        <w:t>des nouvelles activités, en précisant en quoi elles sont conformes à l'objet de l'Union.</w:t>
      </w:r>
    </w:p>
    <w:p w14:paraId="5CAF2084" w14:textId="77777777" w:rsidR="00D17DE3" w:rsidRPr="00600A03" w:rsidRDefault="00D17DE3" w:rsidP="001E3DEC">
      <w:pPr>
        <w:pStyle w:val="Heading1"/>
        <w:jc w:val="both"/>
      </w:pPr>
      <w:r w:rsidRPr="00600A03">
        <w:rPr>
          <w:bCs/>
        </w:rPr>
        <w:t>4</w:t>
      </w:r>
      <w:r w:rsidRPr="00600A03">
        <w:tab/>
      </w:r>
      <w:r w:rsidRPr="00600A03">
        <w:rPr>
          <w:bCs/>
        </w:rPr>
        <w:t>Conclusion</w:t>
      </w:r>
    </w:p>
    <w:p w14:paraId="457F45D7" w14:textId="77777777" w:rsidR="00D17DE3" w:rsidRPr="00600A03" w:rsidRDefault="00D17DE3" w:rsidP="001E3DEC">
      <w:pPr>
        <w:jc w:val="both"/>
      </w:pPr>
      <w:r w:rsidRPr="00600A03">
        <w:t>L'UIT doit adopter une approche qui lui permette de se recentrer sur son objet et ses fonctions fondamentales afin d'étendre son influence, de renforcer sa crédibilité technique, de rationaliser ses opérations et de gagner la confiance des parties prenantes. L'objectif n'est pas de réduire le champ d'action de l'UIT, mais de se recentrer stratégiquement sur ses principaux avantages comparatifs.</w:t>
      </w:r>
    </w:p>
    <w:p w14:paraId="2CAC92D2" w14:textId="515F8A5F" w:rsidR="00D17DE3" w:rsidRPr="00600A03" w:rsidRDefault="00D17DE3" w:rsidP="00600A03">
      <w:pPr>
        <w:spacing w:before="840"/>
      </w:pPr>
      <w:proofErr w:type="gramStart"/>
      <w:r w:rsidRPr="00600A03">
        <w:rPr>
          <w:b/>
          <w:bCs/>
        </w:rPr>
        <w:t>Annexe:</w:t>
      </w:r>
      <w:proofErr w:type="gramEnd"/>
      <w:r w:rsidRPr="00600A03">
        <w:t xml:space="preserve"> 1</w:t>
      </w:r>
      <w:r w:rsidRPr="00600A03">
        <w:br w:type="page"/>
      </w:r>
    </w:p>
    <w:p w14:paraId="5B658E83" w14:textId="77777777" w:rsidR="00D17DE3" w:rsidRPr="00600A03" w:rsidRDefault="00D17DE3" w:rsidP="00D17DE3">
      <w:pPr>
        <w:pStyle w:val="AnnexNo"/>
      </w:pPr>
      <w:r w:rsidRPr="00600A03">
        <w:lastRenderedPageBreak/>
        <w:t>ANNEXE 1</w:t>
      </w:r>
    </w:p>
    <w:p w14:paraId="7B16E895" w14:textId="77777777" w:rsidR="00D17DE3" w:rsidRPr="00600A03" w:rsidRDefault="00D17DE3" w:rsidP="00D17DE3">
      <w:pPr>
        <w:pStyle w:val="Headingb"/>
      </w:pPr>
      <w:r w:rsidRPr="00600A03">
        <w:rPr>
          <w:bCs/>
        </w:rPr>
        <w:t>Indicateurs</w:t>
      </w:r>
    </w:p>
    <w:p w14:paraId="38E585EE" w14:textId="68F7B8B0" w:rsidR="00D17DE3" w:rsidRPr="00600A03" w:rsidRDefault="00D17DE3" w:rsidP="001E3DEC">
      <w:pPr>
        <w:pStyle w:val="enumlev1"/>
        <w:jc w:val="both"/>
      </w:pPr>
      <w:r w:rsidRPr="00600A03">
        <w:t>–</w:t>
      </w:r>
      <w:r w:rsidRPr="00600A03">
        <w:tab/>
        <w:t xml:space="preserve">L'activité est-elle mentionnée dans les instruments de </w:t>
      </w:r>
      <w:proofErr w:type="gramStart"/>
      <w:r w:rsidRPr="00600A03">
        <w:t>l'Union?</w:t>
      </w:r>
      <w:proofErr w:type="gramEnd"/>
    </w:p>
    <w:p w14:paraId="584FC138" w14:textId="0275318D" w:rsidR="00D17DE3" w:rsidRPr="00600A03" w:rsidRDefault="00D17DE3" w:rsidP="001E3DEC">
      <w:pPr>
        <w:pStyle w:val="enumlev1"/>
        <w:jc w:val="both"/>
      </w:pPr>
      <w:r w:rsidRPr="00600A03">
        <w:t>–</w:t>
      </w:r>
      <w:r w:rsidRPr="00600A03">
        <w:tab/>
        <w:t xml:space="preserve">L'UIT est-elle la seule instance technique au monde compétente en la </w:t>
      </w:r>
      <w:proofErr w:type="gramStart"/>
      <w:r w:rsidRPr="00600A03">
        <w:t>matière?</w:t>
      </w:r>
      <w:proofErr w:type="gramEnd"/>
    </w:p>
    <w:p w14:paraId="06B45F4F" w14:textId="64FA9A21" w:rsidR="00D17DE3" w:rsidRPr="00600A03" w:rsidRDefault="00D17DE3" w:rsidP="001E3DEC">
      <w:pPr>
        <w:pStyle w:val="enumlev1"/>
        <w:jc w:val="both"/>
      </w:pPr>
      <w:r w:rsidRPr="00600A03">
        <w:t>–</w:t>
      </w:r>
      <w:r w:rsidRPr="00600A03">
        <w:tab/>
        <w:t xml:space="preserve">D'autres institutions des Nations Unies reconnaissent-elles explicitement le rôle de chef de file de </w:t>
      </w:r>
      <w:proofErr w:type="gramStart"/>
      <w:r w:rsidRPr="00600A03">
        <w:t>l'UIT?</w:t>
      </w:r>
      <w:proofErr w:type="gramEnd"/>
    </w:p>
    <w:p w14:paraId="50B904A2" w14:textId="77777777" w:rsidR="00D17DE3" w:rsidRPr="00600A03" w:rsidRDefault="00D17DE3" w:rsidP="00D17DE3">
      <w:pPr>
        <w:pStyle w:val="Headingb"/>
      </w:pPr>
      <w:r w:rsidRPr="00600A03">
        <w:rPr>
          <w:bCs/>
        </w:rPr>
        <w:t>Questions clés pour chaque activité</w:t>
      </w:r>
    </w:p>
    <w:p w14:paraId="64F397C3" w14:textId="7CF7CEC3" w:rsidR="00D17DE3" w:rsidRPr="00600A03" w:rsidRDefault="00D17DE3" w:rsidP="001E3DEC">
      <w:pPr>
        <w:pStyle w:val="enumlev1"/>
        <w:jc w:val="both"/>
      </w:pPr>
      <w:r w:rsidRPr="00600A03">
        <w:t>–</w:t>
      </w:r>
      <w:r w:rsidRPr="00600A03">
        <w:tab/>
        <w:t xml:space="preserve">L'activité contribue-t-elle directement à la réalisation de l'objet fondamental de l'Union (UIT-R, UIT-T, UIT-D), tel qu'il est défini dans la Constitution, la Convention, le Règlement des radiocommunications et le Règlement des télécommunications </w:t>
      </w:r>
      <w:proofErr w:type="gramStart"/>
      <w:r w:rsidRPr="00600A03">
        <w:t>internationales?</w:t>
      </w:r>
      <w:proofErr w:type="gramEnd"/>
    </w:p>
    <w:p w14:paraId="7011F6AB" w14:textId="49C3F976" w:rsidR="00D17DE3" w:rsidRPr="00600A03" w:rsidRDefault="00D17DE3" w:rsidP="001E3DEC">
      <w:pPr>
        <w:pStyle w:val="enumlev1"/>
        <w:jc w:val="both"/>
      </w:pPr>
      <w:r w:rsidRPr="00600A03">
        <w:t>–</w:t>
      </w:r>
      <w:r w:rsidRPr="00600A03">
        <w:tab/>
        <w:t xml:space="preserve">L'activité est-elle nécessaire, efficace et appropriée compte tenu de l'objet de l'Union et de ses avantages </w:t>
      </w:r>
      <w:proofErr w:type="gramStart"/>
      <w:r w:rsidRPr="00600A03">
        <w:t>comparatifs?</w:t>
      </w:r>
      <w:proofErr w:type="gramEnd"/>
    </w:p>
    <w:p w14:paraId="7C30EE5C" w14:textId="7E460FFC" w:rsidR="00D17DE3" w:rsidRPr="00600A03" w:rsidRDefault="00D17DE3" w:rsidP="001E3DEC">
      <w:pPr>
        <w:pStyle w:val="enumlev1"/>
        <w:jc w:val="both"/>
      </w:pPr>
      <w:r w:rsidRPr="00600A03">
        <w:t>–</w:t>
      </w:r>
      <w:r w:rsidRPr="00600A03">
        <w:tab/>
        <w:t xml:space="preserve">L'UIT possède-t-elle des compétences techniques uniques, ou l'activité </w:t>
      </w:r>
      <w:proofErr w:type="spellStart"/>
      <w:r w:rsidRPr="00600A03">
        <w:t>fait-elle</w:t>
      </w:r>
      <w:proofErr w:type="spellEnd"/>
      <w:r w:rsidRPr="00600A03">
        <w:t xml:space="preserve"> double emploi avec les travaux d'une autre institution des Nations Unies (PNUD, UNESCO, </w:t>
      </w:r>
      <w:proofErr w:type="spellStart"/>
      <w:r w:rsidRPr="00600A03">
        <w:t>PNUE</w:t>
      </w:r>
      <w:proofErr w:type="spellEnd"/>
      <w:r w:rsidRPr="00600A03">
        <w:t>, OMS, etc.</w:t>
      </w:r>
      <w:proofErr w:type="gramStart"/>
      <w:r w:rsidRPr="00600A03">
        <w:t>)?</w:t>
      </w:r>
      <w:proofErr w:type="gramEnd"/>
    </w:p>
    <w:p w14:paraId="7C354384" w14:textId="60E03ADE" w:rsidR="00D17DE3" w:rsidRPr="00600A03" w:rsidRDefault="00D17DE3" w:rsidP="001E3DEC">
      <w:pPr>
        <w:pStyle w:val="enumlev1"/>
        <w:jc w:val="both"/>
      </w:pPr>
      <w:r w:rsidRPr="00600A03">
        <w:t>–</w:t>
      </w:r>
      <w:r w:rsidRPr="00600A03">
        <w:tab/>
        <w:t xml:space="preserve">Même si l'activité répond à de bonnes intentions, l'approche de l'UIT est-elle efficace ou </w:t>
      </w:r>
      <w:proofErr w:type="spellStart"/>
      <w:r w:rsidRPr="00600A03">
        <w:t>sort-elle</w:t>
      </w:r>
      <w:proofErr w:type="spellEnd"/>
      <w:r w:rsidRPr="00600A03">
        <w:t xml:space="preserve"> de son domaine de compétence (par exemple, questions sociopolitiques, droit international humanitaire</w:t>
      </w:r>
      <w:proofErr w:type="gramStart"/>
      <w:r w:rsidRPr="00600A03">
        <w:t>)?</w:t>
      </w:r>
      <w:proofErr w:type="gramEnd"/>
    </w:p>
    <w:p w14:paraId="226C2826" w14:textId="153F4E76" w:rsidR="00D17DE3" w:rsidRPr="00600A03" w:rsidRDefault="00D17DE3" w:rsidP="001E3DEC">
      <w:pPr>
        <w:pStyle w:val="enumlev1"/>
        <w:jc w:val="both"/>
      </w:pPr>
      <w:r w:rsidRPr="00600A03">
        <w:t>–</w:t>
      </w:r>
      <w:r w:rsidRPr="00600A03">
        <w:tab/>
        <w:t>L'activité détourne-t-elle des ressources des fonctions essentielles de l'UIT (par exemple, la préparation des CMR, le respect des délais de traitement des fiches de notification, la préservation de l'intégrité des bases de données et l'élaboration de normes</w:t>
      </w:r>
      <w:proofErr w:type="gramStart"/>
      <w:r w:rsidRPr="00600A03">
        <w:t>)?</w:t>
      </w:r>
      <w:proofErr w:type="gramEnd"/>
    </w:p>
    <w:p w14:paraId="2A4D03C3" w14:textId="77777777" w:rsidR="00D17DE3" w:rsidRPr="00600A03" w:rsidRDefault="00D17DE3" w:rsidP="001E3DEC">
      <w:pPr>
        <w:jc w:val="both"/>
      </w:pPr>
      <w:r w:rsidRPr="00600A03">
        <w:t>L'examen permettra également d'évaluer les résultats, à savoir le degré d'adoption par les parties prenantes cibles des politiques élaborées, l'amélioration durable des compétences techniques et les résultats concrets obtenus par les forums.</w:t>
      </w:r>
    </w:p>
    <w:p w14:paraId="67960E07" w14:textId="77777777" w:rsidR="00D17DE3" w:rsidRPr="00600A03" w:rsidRDefault="00D17DE3" w:rsidP="00D17DE3">
      <w:pPr>
        <w:pStyle w:val="Headingb"/>
      </w:pPr>
      <w:r w:rsidRPr="00600A03">
        <w:rPr>
          <w:bCs/>
        </w:rPr>
        <w:t>Catégorisation et classification par niveaux</w:t>
      </w:r>
    </w:p>
    <w:p w14:paraId="02A5199C" w14:textId="77777777" w:rsidR="00D17DE3" w:rsidRPr="00600A03" w:rsidRDefault="00D17DE3" w:rsidP="001E3DEC">
      <w:pPr>
        <w:jc w:val="both"/>
      </w:pPr>
      <w:r w:rsidRPr="00600A03">
        <w:t>Toutes les activités, tous les projets, tous les produits et toutes les réunions du cycle quadriennal précédent devraient être classés en fonction des dispositions spécifiques de la Constitution, de la Convention, du Règlement des radiocommunications et du Règlement des télécommunications internationales.</w:t>
      </w:r>
    </w:p>
    <w:p w14:paraId="12D41AD7" w14:textId="77777777" w:rsidR="00D17DE3" w:rsidRPr="00600A03" w:rsidRDefault="00D17DE3" w:rsidP="00D17DE3">
      <w:pPr>
        <w:pStyle w:val="Headingb"/>
      </w:pPr>
      <w:r w:rsidRPr="00600A03">
        <w:rPr>
          <w:bCs/>
        </w:rPr>
        <w:t>Niveau 1 – Activités fondées sur les traités internationaux</w:t>
      </w:r>
    </w:p>
    <w:p w14:paraId="6E16612D" w14:textId="77777777" w:rsidR="00D17DE3" w:rsidRPr="00600A03" w:rsidRDefault="00D17DE3" w:rsidP="001E3DEC">
      <w:pPr>
        <w:jc w:val="both"/>
      </w:pPr>
      <w:r w:rsidRPr="00600A03">
        <w:t xml:space="preserve">Ces activités découlent directement de l'objet de l'Union et ne dépendent pas des résolutions adoptées (par exemple, la tenue à jour du Fichier de référence international des </w:t>
      </w:r>
      <w:proofErr w:type="gramStart"/>
      <w:r w:rsidRPr="00600A03">
        <w:t>fréquences;</w:t>
      </w:r>
      <w:proofErr w:type="gramEnd"/>
      <w:r w:rsidRPr="00600A03">
        <w:t xml:space="preserve"> l'élaboration de Recommandations en matière d'interopérabilité). Elles sont énoncées dans l'article 1 de la Constitution, ainsi que dans la Convention et les Règlements administratifs. Les produits de base sont de nature obligatoire/technique.</w:t>
      </w:r>
    </w:p>
    <w:p w14:paraId="6B9AFF98" w14:textId="77777777" w:rsidR="00D17DE3" w:rsidRPr="00600A03" w:rsidRDefault="00D17DE3" w:rsidP="00D17DE3">
      <w:pPr>
        <w:pStyle w:val="Headingb"/>
        <w:rPr>
          <w:b w:val="0"/>
          <w:bCs/>
        </w:rPr>
      </w:pPr>
      <w:r w:rsidRPr="00600A03">
        <w:rPr>
          <w:bCs/>
        </w:rPr>
        <w:t>Niveau 2 – Activités complémentaires nécessaires</w:t>
      </w:r>
    </w:p>
    <w:p w14:paraId="344C5AFD" w14:textId="77777777" w:rsidR="00D17DE3" w:rsidRPr="00600A03" w:rsidRDefault="00D17DE3" w:rsidP="001E3DEC">
      <w:pPr>
        <w:jc w:val="both"/>
      </w:pPr>
      <w:r w:rsidRPr="00600A03">
        <w:t>Ces activités sont nécessaires pour répondre à l'objet de l'Union (par exemple, la formation des régulateurs de la gestion du spectre, l'appui aux nouvelles technologies, la réduction de la fracture numérique).</w:t>
      </w:r>
    </w:p>
    <w:p w14:paraId="704B5D9F" w14:textId="77777777" w:rsidR="00D17DE3" w:rsidRPr="00600A03" w:rsidRDefault="00D17DE3" w:rsidP="00D17DE3">
      <w:pPr>
        <w:pStyle w:val="Headingb"/>
        <w:rPr>
          <w:b w:val="0"/>
          <w:bCs/>
        </w:rPr>
      </w:pPr>
      <w:r w:rsidRPr="00600A03">
        <w:rPr>
          <w:bCs/>
        </w:rPr>
        <w:lastRenderedPageBreak/>
        <w:t>Niveau 3 – Les TIC en tant qu'outil</w:t>
      </w:r>
    </w:p>
    <w:p w14:paraId="16538211" w14:textId="77777777" w:rsidR="00D17DE3" w:rsidRPr="00600A03" w:rsidRDefault="00D17DE3" w:rsidP="001E3DEC">
      <w:pPr>
        <w:jc w:val="both"/>
      </w:pPr>
      <w:r w:rsidRPr="00600A03">
        <w:t>D'autres organismes sont chargés de définir la politique générale et de mettre en œuvre ces activités. Bien que ces activités contribuent de manière significative à la réalisation de l'objet énoncé dans les instruments de l'Union, l'UIT doit se conformer à son objet principal et éviter de s'investir dans des questions de politique générale.</w:t>
      </w:r>
    </w:p>
    <w:p w14:paraId="1CB18FD5" w14:textId="77777777" w:rsidR="00D17DE3" w:rsidRPr="00600A03" w:rsidRDefault="00D17DE3" w:rsidP="00D17DE3">
      <w:pPr>
        <w:pStyle w:val="Headingb"/>
        <w:rPr>
          <w:b w:val="0"/>
          <w:bCs/>
        </w:rPr>
      </w:pPr>
      <w:r w:rsidRPr="00600A03">
        <w:rPr>
          <w:bCs/>
        </w:rPr>
        <w:t>Niveau 4 – Activités n'ayant qu'un lien indirect avec l'objet de l'Union</w:t>
      </w:r>
    </w:p>
    <w:p w14:paraId="62E7A70F" w14:textId="77777777" w:rsidR="00D17DE3" w:rsidRPr="00600A03" w:rsidRDefault="00D17DE3" w:rsidP="001E3DEC">
      <w:pPr>
        <w:jc w:val="both"/>
      </w:pPr>
      <w:r w:rsidRPr="00600A03">
        <w:t>Ces activités découlent de l'adoption de résolutions, visent à définir une politique générale et font intervenir d'autres institutions des Nations Unies. Leurs principaux thèmes relèvent des mandats d'autres organisations des Nations Unies. Il existe un chevauchement fonctionnel, et ces activités ne sont que vaguement liées aux TIC.</w:t>
      </w:r>
    </w:p>
    <w:p w14:paraId="6C00CBA1" w14:textId="2FBA125F" w:rsidR="00D17DE3" w:rsidRPr="00600A03" w:rsidRDefault="00D17DE3" w:rsidP="00D17DE3">
      <w:pPr>
        <w:pStyle w:val="Headingb"/>
        <w:rPr>
          <w:b w:val="0"/>
          <w:bCs/>
        </w:rPr>
      </w:pPr>
      <w:r w:rsidRPr="00600A03">
        <w:rPr>
          <w:bCs/>
        </w:rPr>
        <w:t>Critères d'évaluation</w:t>
      </w:r>
    </w:p>
    <w:p w14:paraId="7590CFE1" w14:textId="7D9F6B3E" w:rsidR="00D17DE3" w:rsidRPr="00600A03" w:rsidRDefault="00D17DE3" w:rsidP="001E3DEC">
      <w:pPr>
        <w:pStyle w:val="enumlev1"/>
        <w:jc w:val="both"/>
      </w:pPr>
      <w:r w:rsidRPr="00600A03">
        <w:t>–</w:t>
      </w:r>
      <w:r w:rsidRPr="00600A03">
        <w:tab/>
      </w:r>
      <w:proofErr w:type="gramStart"/>
      <w:r w:rsidRPr="00600A03">
        <w:t>Finances:</w:t>
      </w:r>
      <w:proofErr w:type="gramEnd"/>
      <w:r w:rsidRPr="00600A03">
        <w:t xml:space="preserve"> </w:t>
      </w:r>
      <w:r w:rsidR="00600A03" w:rsidRPr="00600A03">
        <w:t>B</w:t>
      </w:r>
      <w:r w:rsidRPr="00600A03">
        <w:t>udget ordinaire et contributions volontaires.</w:t>
      </w:r>
    </w:p>
    <w:p w14:paraId="4F83D642" w14:textId="376BD5B7" w:rsidR="00D17DE3" w:rsidRPr="00600A03" w:rsidRDefault="00D17DE3" w:rsidP="001E3DEC">
      <w:pPr>
        <w:pStyle w:val="enumlev1"/>
        <w:jc w:val="both"/>
      </w:pPr>
      <w:r w:rsidRPr="00600A03">
        <w:t>–</w:t>
      </w:r>
      <w:r w:rsidRPr="00600A03">
        <w:tab/>
        <w:t xml:space="preserve">Ressources </w:t>
      </w:r>
      <w:proofErr w:type="gramStart"/>
      <w:r w:rsidRPr="00600A03">
        <w:t>humaines:</w:t>
      </w:r>
      <w:proofErr w:type="gramEnd"/>
      <w:r w:rsidRPr="00600A03">
        <w:t xml:space="preserve"> Nombre de postes équivalents temps plein à l'UIT, y compris postes de direction.</w:t>
      </w:r>
    </w:p>
    <w:p w14:paraId="0FBF94FF" w14:textId="17865C49" w:rsidR="00D17DE3" w:rsidRPr="00600A03" w:rsidRDefault="00D17DE3" w:rsidP="001E3DEC">
      <w:pPr>
        <w:pStyle w:val="enumlev1"/>
        <w:jc w:val="both"/>
      </w:pPr>
      <w:r w:rsidRPr="00600A03">
        <w:t>–</w:t>
      </w:r>
      <w:r w:rsidRPr="00600A03">
        <w:tab/>
        <w:t xml:space="preserve">Répartition du </w:t>
      </w:r>
      <w:proofErr w:type="gramStart"/>
      <w:r w:rsidRPr="00600A03">
        <w:t>temps:</w:t>
      </w:r>
      <w:proofErr w:type="gramEnd"/>
      <w:r w:rsidRPr="00600A03">
        <w:t xml:space="preserve"> Estimation du temps alloué par Conseil/la Conférence de plénipotentiaires/les conférences des Secteurs aux activités essentielles et périphériques.</w:t>
      </w:r>
    </w:p>
    <w:p w14:paraId="43C3A725" w14:textId="7843BBF3" w:rsidR="00D17DE3" w:rsidRPr="00600A03" w:rsidRDefault="00D17DE3" w:rsidP="001E3DEC">
      <w:pPr>
        <w:pStyle w:val="enumlev1"/>
        <w:jc w:val="both"/>
      </w:pPr>
      <w:r w:rsidRPr="00600A03">
        <w:t>–</w:t>
      </w:r>
      <w:r w:rsidRPr="00600A03">
        <w:tab/>
        <w:t xml:space="preserve">Analyse des doubles </w:t>
      </w:r>
      <w:proofErr w:type="gramStart"/>
      <w:r w:rsidRPr="00600A03">
        <w:t>emplois:</w:t>
      </w:r>
      <w:proofErr w:type="gramEnd"/>
      <w:r w:rsidRPr="00600A03">
        <w:t xml:space="preserve"> Chevauchement avec d'autres institutions des Nations</w:t>
      </w:r>
      <w:r w:rsidR="00ED62F2" w:rsidRPr="00600A03">
        <w:t> </w:t>
      </w:r>
      <w:r w:rsidRPr="00600A03">
        <w:t xml:space="preserve">Unies (par exemple, avec ONU-Habitat sur les villes intelligentes et </w:t>
      </w:r>
      <w:proofErr w:type="gramStart"/>
      <w:r w:rsidRPr="00600A03">
        <w:t>durables;</w:t>
      </w:r>
      <w:proofErr w:type="gramEnd"/>
      <w:r w:rsidRPr="00600A03">
        <w:t xml:space="preserve"> avec l'OMS sur la </w:t>
      </w:r>
      <w:proofErr w:type="gramStart"/>
      <w:r w:rsidRPr="00600A03">
        <w:t>télémédecine;</w:t>
      </w:r>
      <w:proofErr w:type="gramEnd"/>
      <w:r w:rsidRPr="00600A03">
        <w:t xml:space="preserve"> et avec le </w:t>
      </w:r>
      <w:proofErr w:type="spellStart"/>
      <w:r w:rsidRPr="00600A03">
        <w:t>PNUE</w:t>
      </w:r>
      <w:proofErr w:type="spellEnd"/>
      <w:r w:rsidRPr="00600A03">
        <w:t xml:space="preserve"> sur les déchets d'équipements électriques et électroniques).</w:t>
      </w:r>
    </w:p>
    <w:p w14:paraId="43F00C3C" w14:textId="46DDB359" w:rsidR="00D17DE3" w:rsidRPr="00600A03" w:rsidRDefault="00D17DE3" w:rsidP="001E3DEC">
      <w:pPr>
        <w:pStyle w:val="enumlev1"/>
        <w:jc w:val="both"/>
      </w:pPr>
      <w:r w:rsidRPr="00600A03">
        <w:t>–</w:t>
      </w:r>
      <w:r w:rsidRPr="00600A03">
        <w:tab/>
        <w:t xml:space="preserve">Projets de </w:t>
      </w:r>
      <w:proofErr w:type="gramStart"/>
      <w:r w:rsidRPr="00600A03">
        <w:t>développement:</w:t>
      </w:r>
      <w:proofErr w:type="gramEnd"/>
      <w:r w:rsidRPr="00600A03">
        <w:t xml:space="preserve"> Se poser la question de savoir si ces projets créent de nouvelles compétences durables dans une activité essentielle ou s'il s'agit de projets donateurs à court terme.</w:t>
      </w:r>
    </w:p>
    <w:p w14:paraId="6B1232CF" w14:textId="42362F4E" w:rsidR="00D17DE3" w:rsidRPr="00600A03" w:rsidRDefault="00D17DE3" w:rsidP="001E3DEC">
      <w:pPr>
        <w:pStyle w:val="enumlev1"/>
        <w:jc w:val="both"/>
      </w:pPr>
      <w:r w:rsidRPr="00600A03">
        <w:t>–</w:t>
      </w:r>
      <w:r w:rsidRPr="00600A03">
        <w:tab/>
      </w:r>
      <w:proofErr w:type="gramStart"/>
      <w:r w:rsidRPr="00600A03">
        <w:t>Forums:</w:t>
      </w:r>
      <w:proofErr w:type="gramEnd"/>
      <w:r w:rsidRPr="00600A03">
        <w:t xml:space="preserve"> Se poser la question de savoir si le Sommet mondial sur l'intelligence artificielle au service du bien social ou le Forum du Sommet mondial sur la société de l'information débouchent sur des résultats concrets ayant des applications pratiques.</w:t>
      </w:r>
    </w:p>
    <w:p w14:paraId="3434274F" w14:textId="33C1923D" w:rsidR="00D17DE3" w:rsidRPr="00600A03" w:rsidRDefault="00D17DE3" w:rsidP="001E3DEC">
      <w:pPr>
        <w:pStyle w:val="enumlev1"/>
        <w:jc w:val="both"/>
      </w:pPr>
      <w:r w:rsidRPr="00600A03">
        <w:t>–</w:t>
      </w:r>
      <w:r w:rsidRPr="00600A03">
        <w:tab/>
      </w:r>
      <w:proofErr w:type="gramStart"/>
      <w:r w:rsidRPr="00600A03">
        <w:t>Enquêtes:</w:t>
      </w:r>
      <w:proofErr w:type="gramEnd"/>
      <w:r w:rsidRPr="00600A03">
        <w:t xml:space="preserve"> États Membres (en particulier les grands bailleurs de fonds</w:t>
      </w:r>
      <w:proofErr w:type="gramStart"/>
      <w:r w:rsidRPr="00600A03">
        <w:t>);</w:t>
      </w:r>
      <w:proofErr w:type="gramEnd"/>
      <w:r w:rsidRPr="00600A03">
        <w:t xml:space="preserve"> secteur </w:t>
      </w:r>
      <w:proofErr w:type="gramStart"/>
      <w:r w:rsidRPr="00600A03">
        <w:t>privé;</w:t>
      </w:r>
      <w:proofErr w:type="gramEnd"/>
      <w:r w:rsidRPr="00600A03">
        <w:t xml:space="preserve"> institutions des Nations </w:t>
      </w:r>
      <w:proofErr w:type="gramStart"/>
      <w:r w:rsidRPr="00600A03">
        <w:t>Unies;</w:t>
      </w:r>
      <w:proofErr w:type="gramEnd"/>
      <w:r w:rsidRPr="00600A03">
        <w:t xml:space="preserve"> personnel de l'UIT (anonyme).</w:t>
      </w:r>
    </w:p>
    <w:p w14:paraId="4FD4E222" w14:textId="2413EBE7" w:rsidR="00D17DE3" w:rsidRPr="00600A03" w:rsidRDefault="00D17DE3" w:rsidP="001E3DEC">
      <w:pPr>
        <w:pStyle w:val="enumlev1"/>
        <w:jc w:val="both"/>
      </w:pPr>
      <w:r w:rsidRPr="00600A03">
        <w:t>–</w:t>
      </w:r>
      <w:r w:rsidRPr="00600A03">
        <w:tab/>
        <w:t>Évaluation des incidences négatives (coûts d'opportunité</w:t>
      </w:r>
      <w:proofErr w:type="gramStart"/>
      <w:r w:rsidRPr="00600A03">
        <w:t>):</w:t>
      </w:r>
      <w:proofErr w:type="gramEnd"/>
      <w:r w:rsidRPr="00600A03">
        <w:t xml:space="preserve"> Évaluation quantitative des effets négatifs de l'élargissement des missions sur l'objet de l'Union.</w:t>
      </w:r>
    </w:p>
    <w:p w14:paraId="34F4036D" w14:textId="2B4DCA2C" w:rsidR="00D17DE3" w:rsidRDefault="00D17DE3" w:rsidP="001E3DEC">
      <w:pPr>
        <w:pStyle w:val="enumlev1"/>
        <w:jc w:val="both"/>
      </w:pPr>
      <w:r w:rsidRPr="00600A03">
        <w:t>–</w:t>
      </w:r>
      <w:r w:rsidRPr="00600A03">
        <w:tab/>
        <w:t xml:space="preserve">Études de </w:t>
      </w:r>
      <w:proofErr w:type="gramStart"/>
      <w:r w:rsidRPr="00600A03">
        <w:t>cas:</w:t>
      </w:r>
      <w:proofErr w:type="gramEnd"/>
      <w:r w:rsidRPr="00600A03">
        <w:t xml:space="preserve"> Analyse et corrélation entre les ressources et les produits dans les domaines essentiels (par exemple, les délais de traitement des fiches de notification des réseaux à </w:t>
      </w:r>
      <w:proofErr w:type="gramStart"/>
      <w:r w:rsidRPr="00600A03">
        <w:t>satellite;</w:t>
      </w:r>
      <w:proofErr w:type="gramEnd"/>
      <w:r w:rsidRPr="00600A03">
        <w:t xml:space="preserve"> la modernisation de la base de données de la BR </w:t>
      </w:r>
      <w:proofErr w:type="spellStart"/>
      <w:r w:rsidRPr="00600A03">
        <w:t>IFIC</w:t>
      </w:r>
      <w:proofErr w:type="spellEnd"/>
      <w:r w:rsidRPr="00600A03">
        <w:t>).</w:t>
      </w:r>
    </w:p>
    <w:p w14:paraId="60BEEDC8" w14:textId="77777777" w:rsidR="001E3DEC" w:rsidRPr="00600A03" w:rsidRDefault="001E3DEC" w:rsidP="001E3DEC">
      <w:pPr>
        <w:pStyle w:val="enumlev1"/>
        <w:jc w:val="both"/>
      </w:pPr>
    </w:p>
    <w:p w14:paraId="69FC80C9" w14:textId="16E59C61" w:rsidR="001E3DEC" w:rsidRPr="00600A03" w:rsidRDefault="00D17DE3" w:rsidP="001E3DEC">
      <w:pPr>
        <w:jc w:val="center"/>
      </w:pPr>
      <w:r w:rsidRPr="00600A03">
        <w:t>______________</w:t>
      </w:r>
    </w:p>
    <w:sectPr w:rsidR="001E3DEC" w:rsidRPr="00600A03"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7878" w14:textId="77777777" w:rsidR="007F18EF" w:rsidRDefault="007F18EF">
      <w:r>
        <w:separator/>
      </w:r>
    </w:p>
  </w:endnote>
  <w:endnote w:type="continuationSeparator" w:id="0">
    <w:p w14:paraId="69783CC6" w14:textId="77777777" w:rsidR="007F18EF" w:rsidRDefault="007F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06AE" w14:textId="4791D881" w:rsidR="00732045" w:rsidRPr="00600A03" w:rsidRDefault="00ED62F2">
    <w:pPr>
      <w:pStyle w:val="Footer"/>
      <w:rPr>
        <w:lang w:val="en-US"/>
      </w:rPr>
    </w:pPr>
    <w:r>
      <w:fldChar w:fldCharType="begin"/>
    </w:r>
    <w:r w:rsidRPr="00600A03">
      <w:rPr>
        <w:lang w:val="en-US"/>
      </w:rPr>
      <w:instrText xml:space="preserve"> FILENAME \p \* MERGEFORMAT </w:instrText>
    </w:r>
    <w:r>
      <w:fldChar w:fldCharType="separate"/>
    </w:r>
    <w:r w:rsidR="00600A03" w:rsidRPr="00600A03">
      <w:rPr>
        <w:lang w:val="en-US"/>
      </w:rPr>
      <w:t>P:\FRA\gDoc\SG\C26\2600984F.docx</w:t>
    </w:r>
    <w:r>
      <w:fldChar w:fldCharType="end"/>
    </w:r>
    <w:r w:rsidR="00732045" w:rsidRPr="00600A03">
      <w:rPr>
        <w:lang w:val="en-US"/>
      </w:rPr>
      <w:tab/>
    </w:r>
    <w:r w:rsidR="002F1B76">
      <w:fldChar w:fldCharType="begin"/>
    </w:r>
    <w:r w:rsidR="00732045">
      <w:instrText xml:space="preserve"> savedate \@ dd.MM.yy </w:instrText>
    </w:r>
    <w:r w:rsidR="002F1B76">
      <w:fldChar w:fldCharType="separate"/>
    </w:r>
    <w:r w:rsidR="00C8148E">
      <w:t>27.04.26</w:t>
    </w:r>
    <w:r w:rsidR="002F1B76">
      <w:fldChar w:fldCharType="end"/>
    </w:r>
    <w:r w:rsidR="00732045" w:rsidRPr="00600A03">
      <w:rPr>
        <w:lang w:val="en-US"/>
      </w:rPr>
      <w:tab/>
    </w:r>
    <w:r w:rsidR="002F1B76">
      <w:fldChar w:fldCharType="begin"/>
    </w:r>
    <w:r w:rsidR="00732045">
      <w:instrText xml:space="preserve"> printdate \@ dd.MM.yy </w:instrText>
    </w:r>
    <w:r w:rsidR="002F1B76">
      <w:fldChar w:fldCharType="separate"/>
    </w:r>
    <w:r w:rsidR="00600A0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14AD2A2" w14:textId="77777777" w:rsidTr="00E31DCE">
      <w:trPr>
        <w:jc w:val="center"/>
      </w:trPr>
      <w:tc>
        <w:tcPr>
          <w:tcW w:w="1803" w:type="dxa"/>
          <w:vAlign w:val="center"/>
        </w:tcPr>
        <w:p w14:paraId="2669259D" w14:textId="695343B0" w:rsidR="00A51849" w:rsidRDefault="00052480" w:rsidP="00A51849">
          <w:pPr>
            <w:pStyle w:val="Header"/>
            <w:jc w:val="left"/>
            <w:rPr>
              <w:noProof/>
            </w:rPr>
          </w:pPr>
          <w:r>
            <w:rPr>
              <w:noProof/>
            </w:rPr>
            <w:t>2600</w:t>
          </w:r>
          <w:r w:rsidR="004B0741">
            <w:rPr>
              <w:noProof/>
            </w:rPr>
            <w:t>984</w:t>
          </w:r>
        </w:p>
      </w:tc>
      <w:tc>
        <w:tcPr>
          <w:tcW w:w="8261" w:type="dxa"/>
        </w:tcPr>
        <w:p w14:paraId="2AD4D061" w14:textId="59CECA5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B0741">
            <w:rPr>
              <w:bCs/>
            </w:rPr>
            <w:t>9</w:t>
          </w:r>
          <w:r w:rsidR="00052480">
            <w:rPr>
              <w:bCs/>
            </w:rPr>
            <w:t>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E7F6FE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E95CE58" w14:textId="77777777" w:rsidTr="00E31DCE">
      <w:trPr>
        <w:jc w:val="center"/>
      </w:trPr>
      <w:tc>
        <w:tcPr>
          <w:tcW w:w="1803" w:type="dxa"/>
          <w:vAlign w:val="center"/>
        </w:tcPr>
        <w:p w14:paraId="30E2840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CF00251" w14:textId="7F899A2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17DE3">
            <w:rPr>
              <w:bCs/>
            </w:rPr>
            <w:t>9</w:t>
          </w:r>
          <w:r w:rsidR="00052480">
            <w:rPr>
              <w:bCs/>
            </w:rPr>
            <w:t>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419D59D"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BC99" w14:textId="77777777" w:rsidR="007F18EF" w:rsidRDefault="007F18EF">
      <w:r>
        <w:t>____________________</w:t>
      </w:r>
    </w:p>
  </w:footnote>
  <w:footnote w:type="continuationSeparator" w:id="0">
    <w:p w14:paraId="6581C1A0" w14:textId="77777777" w:rsidR="007F18EF" w:rsidRDefault="007F18EF">
      <w:r>
        <w:continuationSeparator/>
      </w:r>
    </w:p>
  </w:footnote>
  <w:footnote w:id="1">
    <w:p w14:paraId="0B7BD861" w14:textId="23B662D7" w:rsidR="002856D4" w:rsidRPr="004B73A7" w:rsidRDefault="002856D4" w:rsidP="001E3DEC">
      <w:pPr>
        <w:pStyle w:val="FootnoteText"/>
        <w:jc w:val="both"/>
      </w:pPr>
      <w:r w:rsidRPr="001E3DEC">
        <w:rPr>
          <w:rStyle w:val="FootnoteReference"/>
        </w:rPr>
        <w:t>1</w:t>
      </w:r>
      <w:r>
        <w:tab/>
        <w:t xml:space="preserve">Par exemple, à la réunion du </w:t>
      </w:r>
      <w:proofErr w:type="spellStart"/>
      <w:r>
        <w:t>GTC-FHR</w:t>
      </w:r>
      <w:proofErr w:type="spellEnd"/>
      <w:r>
        <w:t xml:space="preserve"> tenue en janvier 2026, le Directeur du BR a souscrit aux observations des délégués concernant l'arriéré dans le traitement des fiches de notification des réseaux à satellite et a fait observer que la situation en ce qui concerne le respect des délais d'inscription pourrait se compliquer davantage à mesure que le nombre et la complexité des fiches de notification augmentent. Le Directeur du BR a souligné que la situation ne s'améliorerait pas sans une modernisation des logiciels ou un renforcement des effectifs.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FA3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792A004"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F331"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AC379"/>
    <w:multiLevelType w:val="singleLevel"/>
    <w:tmpl w:val="047AC379"/>
    <w:lvl w:ilvl="0">
      <w:start w:val="1"/>
      <w:numFmt w:val="decimal"/>
      <w:lvlText w:val="%1)"/>
      <w:lvlJc w:val="left"/>
      <w:pPr>
        <w:ind w:left="0" w:firstLine="0"/>
      </w:pPr>
    </w:lvl>
  </w:abstractNum>
  <w:abstractNum w:abstractNumId="11" w15:restartNumberingAfterBreak="0">
    <w:nsid w:val="330AE28C"/>
    <w:multiLevelType w:val="singleLevel"/>
    <w:tmpl w:val="330AE28C"/>
    <w:lvl w:ilvl="0">
      <w:start w:val="1"/>
      <w:numFmt w:val="decimal"/>
      <w:lvlText w:val="%1)"/>
      <w:lvlJc w:val="left"/>
      <w:pPr>
        <w:ind w:left="0" w:firstLine="0"/>
      </w:pPr>
    </w:lvl>
  </w:abstractNum>
  <w:num w:numId="1" w16cid:durableId="915554207">
    <w:abstractNumId w:val="9"/>
  </w:num>
  <w:num w:numId="2" w16cid:durableId="1367176571">
    <w:abstractNumId w:val="7"/>
  </w:num>
  <w:num w:numId="3" w16cid:durableId="109319045">
    <w:abstractNumId w:val="6"/>
  </w:num>
  <w:num w:numId="4" w16cid:durableId="1282999811">
    <w:abstractNumId w:val="5"/>
  </w:num>
  <w:num w:numId="5" w16cid:durableId="1008021780">
    <w:abstractNumId w:val="4"/>
  </w:num>
  <w:num w:numId="6" w16cid:durableId="1481341564">
    <w:abstractNumId w:val="8"/>
  </w:num>
  <w:num w:numId="7" w16cid:durableId="1190534833">
    <w:abstractNumId w:val="3"/>
  </w:num>
  <w:num w:numId="8" w16cid:durableId="596056326">
    <w:abstractNumId w:val="2"/>
  </w:num>
  <w:num w:numId="9" w16cid:durableId="2047220958">
    <w:abstractNumId w:val="1"/>
  </w:num>
  <w:num w:numId="10" w16cid:durableId="1842699310">
    <w:abstractNumId w:val="0"/>
  </w:num>
  <w:num w:numId="11" w16cid:durableId="1270239748">
    <w:abstractNumId w:val="8"/>
  </w:num>
  <w:num w:numId="12" w16cid:durableId="942221773">
    <w:abstractNumId w:val="3"/>
  </w:num>
  <w:num w:numId="13" w16cid:durableId="1280185169">
    <w:abstractNumId w:val="2"/>
  </w:num>
  <w:num w:numId="14" w16cid:durableId="1438521457">
    <w:abstractNumId w:val="1"/>
  </w:num>
  <w:num w:numId="15" w16cid:durableId="180289646">
    <w:abstractNumId w:val="0"/>
  </w:num>
  <w:num w:numId="16" w16cid:durableId="446699317">
    <w:abstractNumId w:val="10"/>
    <w:lvlOverride w:ilvl="0">
      <w:startOverride w:val="1"/>
    </w:lvlOverride>
  </w:num>
  <w:num w:numId="17" w16cid:durableId="529538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EF"/>
    <w:rsid w:val="0005186A"/>
    <w:rsid w:val="00052480"/>
    <w:rsid w:val="00076A2C"/>
    <w:rsid w:val="000D0D0A"/>
    <w:rsid w:val="001029C3"/>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3DEC"/>
    <w:rsid w:val="001E4D21"/>
    <w:rsid w:val="00204598"/>
    <w:rsid w:val="00207CD1"/>
    <w:rsid w:val="00226657"/>
    <w:rsid w:val="002477A2"/>
    <w:rsid w:val="00261127"/>
    <w:rsid w:val="00263A51"/>
    <w:rsid w:val="00267E02"/>
    <w:rsid w:val="00271321"/>
    <w:rsid w:val="00273D55"/>
    <w:rsid w:val="00277DEA"/>
    <w:rsid w:val="002856D4"/>
    <w:rsid w:val="00296C82"/>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35C7D"/>
    <w:rsid w:val="0044618F"/>
    <w:rsid w:val="00465C35"/>
    <w:rsid w:val="0046769A"/>
    <w:rsid w:val="00475FB3"/>
    <w:rsid w:val="004B0741"/>
    <w:rsid w:val="004C37A9"/>
    <w:rsid w:val="004D1D50"/>
    <w:rsid w:val="004F259E"/>
    <w:rsid w:val="004F633A"/>
    <w:rsid w:val="00502F3B"/>
    <w:rsid w:val="00504C7F"/>
    <w:rsid w:val="00507770"/>
    <w:rsid w:val="00511F1D"/>
    <w:rsid w:val="00520F36"/>
    <w:rsid w:val="00524E8D"/>
    <w:rsid w:val="00534E13"/>
    <w:rsid w:val="00540615"/>
    <w:rsid w:val="00540A6D"/>
    <w:rsid w:val="00553536"/>
    <w:rsid w:val="00566679"/>
    <w:rsid w:val="00571EEA"/>
    <w:rsid w:val="00575417"/>
    <w:rsid w:val="005768E1"/>
    <w:rsid w:val="005B1938"/>
    <w:rsid w:val="005C3890"/>
    <w:rsid w:val="005F6796"/>
    <w:rsid w:val="005F7BFE"/>
    <w:rsid w:val="00600017"/>
    <w:rsid w:val="00600A03"/>
    <w:rsid w:val="00602682"/>
    <w:rsid w:val="006235CA"/>
    <w:rsid w:val="0062366E"/>
    <w:rsid w:val="0064504B"/>
    <w:rsid w:val="006643AB"/>
    <w:rsid w:val="006A11AE"/>
    <w:rsid w:val="006B224B"/>
    <w:rsid w:val="006E0D75"/>
    <w:rsid w:val="006F0A53"/>
    <w:rsid w:val="0071402E"/>
    <w:rsid w:val="007210CD"/>
    <w:rsid w:val="00732045"/>
    <w:rsid w:val="0073275D"/>
    <w:rsid w:val="007369DB"/>
    <w:rsid w:val="0077110E"/>
    <w:rsid w:val="007956C2"/>
    <w:rsid w:val="00796BDB"/>
    <w:rsid w:val="007A187E"/>
    <w:rsid w:val="007C72C2"/>
    <w:rsid w:val="007D1F64"/>
    <w:rsid w:val="007D4436"/>
    <w:rsid w:val="007F18EF"/>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16990"/>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3704F"/>
    <w:rsid w:val="00B51005"/>
    <w:rsid w:val="00B51535"/>
    <w:rsid w:val="00B61619"/>
    <w:rsid w:val="00BB38C1"/>
    <w:rsid w:val="00BB4545"/>
    <w:rsid w:val="00BD5873"/>
    <w:rsid w:val="00BF4B60"/>
    <w:rsid w:val="00C049D7"/>
    <w:rsid w:val="00C04BE3"/>
    <w:rsid w:val="00C0599D"/>
    <w:rsid w:val="00C25D29"/>
    <w:rsid w:val="00C2625E"/>
    <w:rsid w:val="00C27A7C"/>
    <w:rsid w:val="00C42437"/>
    <w:rsid w:val="00C66D81"/>
    <w:rsid w:val="00C8148E"/>
    <w:rsid w:val="00CA08ED"/>
    <w:rsid w:val="00CC6EAA"/>
    <w:rsid w:val="00CE4DD1"/>
    <w:rsid w:val="00CE5172"/>
    <w:rsid w:val="00CF0534"/>
    <w:rsid w:val="00CF183B"/>
    <w:rsid w:val="00D17DE3"/>
    <w:rsid w:val="00D375CD"/>
    <w:rsid w:val="00D37B53"/>
    <w:rsid w:val="00D43F99"/>
    <w:rsid w:val="00D553A2"/>
    <w:rsid w:val="00D72F49"/>
    <w:rsid w:val="00D774D3"/>
    <w:rsid w:val="00D904E8"/>
    <w:rsid w:val="00DA08C3"/>
    <w:rsid w:val="00DA6373"/>
    <w:rsid w:val="00DB5A3E"/>
    <w:rsid w:val="00DC22AA"/>
    <w:rsid w:val="00DD1A99"/>
    <w:rsid w:val="00DE62C6"/>
    <w:rsid w:val="00DF74DD"/>
    <w:rsid w:val="00E25AD0"/>
    <w:rsid w:val="00E4428F"/>
    <w:rsid w:val="00E4448E"/>
    <w:rsid w:val="00E47427"/>
    <w:rsid w:val="00E93668"/>
    <w:rsid w:val="00E95647"/>
    <w:rsid w:val="00EB15EE"/>
    <w:rsid w:val="00EB6350"/>
    <w:rsid w:val="00ED62F2"/>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AB94A"/>
  <w15:docId w15:val="{AF0DCD09-7997-4D75-AF33-848B4611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5/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u.int/md/S26-CWGFHR22-C-0025/fr"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WGFHR22-C-0025/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md/S26-CWGFHR22-C-0036/fr" TargetMode="External"/><Relationship Id="rId4" Type="http://schemas.openxmlformats.org/officeDocument/2006/relationships/webSettings" Target="webSettings.xml"/><Relationship Id="rId9" Type="http://schemas.openxmlformats.org/officeDocument/2006/relationships/hyperlink" Target="https://www.itu.int/md/S25-CL-C-0086/fr"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7</Pages>
  <Words>2197</Words>
  <Characters>13507</Characters>
  <Application>Microsoft Office Word</Application>
  <DocSecurity>0</DocSecurity>
  <Lines>643</Lines>
  <Paragraphs>461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15243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d'optimisation de l'attribution des ressources de l'UIT pour une meilleure harmonisation avec l'objet de l'Union</dc:title>
  <dc:subject>Conseil 2026 de l'UIT</dc:subject>
  <cp:keywords>C26; C2026; Council 2026; PP26</cp:keywords>
  <dc:description/>
  <cp:lastPrinted>2000-07-18T08:55:00Z</cp:lastPrinted>
  <dcterms:created xsi:type="dcterms:W3CDTF">2026-04-29T17:52:00Z</dcterms:created>
  <dcterms:modified xsi:type="dcterms:W3CDTF">2026-04-29T17:54:00Z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