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22325D" w14:paraId="27F1A1CC" w14:textId="77777777" w:rsidTr="00954C49">
        <w:trPr>
          <w:cantSplit/>
          <w:trHeight w:val="23"/>
        </w:trPr>
        <w:tc>
          <w:tcPr>
            <w:tcW w:w="3969" w:type="dxa"/>
            <w:vMerge w:val="restart"/>
            <w:tcMar>
              <w:left w:w="0" w:type="dxa"/>
            </w:tcMar>
          </w:tcPr>
          <w:p w14:paraId="322B6E0D" w14:textId="08FBB7A9" w:rsidR="00AD3606" w:rsidRPr="0022325D"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22325D">
              <w:rPr>
                <w:b/>
                <w:color w:val="000000"/>
                <w:lang w:val="en-GB"/>
              </w:rPr>
              <w:t xml:space="preserve">Agenda item: </w:t>
            </w:r>
            <w:r w:rsidR="00E845A4" w:rsidRPr="0022325D">
              <w:rPr>
                <w:b/>
                <w:color w:val="000000"/>
                <w:lang w:val="en-GB"/>
              </w:rPr>
              <w:t>ADM 1</w:t>
            </w:r>
          </w:p>
        </w:tc>
        <w:tc>
          <w:tcPr>
            <w:tcW w:w="5245" w:type="dxa"/>
          </w:tcPr>
          <w:p w14:paraId="4729C183" w14:textId="4BF36FDF" w:rsidR="00AD3606" w:rsidRPr="0022325D" w:rsidRDefault="00AD3606" w:rsidP="00954C49">
            <w:pPr>
              <w:tabs>
                <w:tab w:val="left" w:pos="851"/>
              </w:tabs>
              <w:spacing w:before="0" w:line="240" w:lineRule="atLeast"/>
              <w:jc w:val="right"/>
              <w:rPr>
                <w:b/>
                <w:lang w:val="en-GB"/>
              </w:rPr>
            </w:pPr>
            <w:r w:rsidRPr="0022325D">
              <w:rPr>
                <w:b/>
                <w:color w:val="000000"/>
                <w:lang w:val="en-GB"/>
              </w:rPr>
              <w:t>Document C2</w:t>
            </w:r>
            <w:r w:rsidR="00DE532B" w:rsidRPr="0022325D">
              <w:rPr>
                <w:b/>
                <w:color w:val="000000"/>
                <w:lang w:val="en-GB"/>
              </w:rPr>
              <w:t>6</w:t>
            </w:r>
            <w:r w:rsidRPr="0022325D">
              <w:rPr>
                <w:b/>
                <w:color w:val="000000"/>
                <w:lang w:val="en-GB"/>
              </w:rPr>
              <w:t>/</w:t>
            </w:r>
            <w:r w:rsidR="00E845A4" w:rsidRPr="0022325D">
              <w:rPr>
                <w:b/>
                <w:color w:val="000000"/>
                <w:lang w:val="en-GB"/>
              </w:rPr>
              <w:t>91</w:t>
            </w:r>
            <w:r w:rsidRPr="0022325D">
              <w:rPr>
                <w:b/>
                <w:color w:val="000000"/>
                <w:lang w:val="en-GB"/>
              </w:rPr>
              <w:t>-E</w:t>
            </w:r>
          </w:p>
        </w:tc>
      </w:tr>
      <w:tr w:rsidR="00AD3606" w:rsidRPr="0022325D" w14:paraId="43E84F3F" w14:textId="77777777" w:rsidTr="00954C49">
        <w:trPr>
          <w:cantSplit/>
        </w:trPr>
        <w:tc>
          <w:tcPr>
            <w:tcW w:w="3969" w:type="dxa"/>
            <w:vMerge/>
          </w:tcPr>
          <w:p w14:paraId="7BD8D577" w14:textId="77777777" w:rsidR="00AD3606" w:rsidRPr="0022325D"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48822593" w14:textId="33D92831" w:rsidR="00AD3606" w:rsidRPr="0022325D" w:rsidRDefault="00E845A4" w:rsidP="00954C49">
            <w:pPr>
              <w:tabs>
                <w:tab w:val="left" w:pos="851"/>
              </w:tabs>
              <w:spacing w:before="0"/>
              <w:jc w:val="right"/>
              <w:rPr>
                <w:b/>
                <w:lang w:val="en-GB"/>
              </w:rPr>
            </w:pPr>
            <w:r w:rsidRPr="0022325D">
              <w:rPr>
                <w:b/>
                <w:color w:val="000000"/>
                <w:lang w:val="en-GB"/>
              </w:rPr>
              <w:t>14 April 2026</w:t>
            </w:r>
          </w:p>
        </w:tc>
      </w:tr>
      <w:tr w:rsidR="00AD3606" w:rsidRPr="0022325D" w14:paraId="5724BEB3" w14:textId="77777777" w:rsidTr="00954C49">
        <w:trPr>
          <w:cantSplit/>
          <w:trHeight w:val="23"/>
        </w:trPr>
        <w:tc>
          <w:tcPr>
            <w:tcW w:w="3969" w:type="dxa"/>
            <w:vMerge/>
          </w:tcPr>
          <w:p w14:paraId="4234EB5E" w14:textId="77777777" w:rsidR="00AD3606" w:rsidRPr="0022325D" w:rsidRDefault="00AD3606" w:rsidP="00954C49">
            <w:pPr>
              <w:tabs>
                <w:tab w:val="left" w:pos="851"/>
              </w:tabs>
              <w:spacing w:line="240" w:lineRule="atLeast"/>
              <w:rPr>
                <w:b/>
                <w:lang w:val="en-GB"/>
              </w:rPr>
            </w:pPr>
            <w:bookmarkStart w:id="7" w:name="dorlang" w:colFirst="1" w:colLast="1"/>
            <w:bookmarkEnd w:id="6"/>
          </w:p>
        </w:tc>
        <w:tc>
          <w:tcPr>
            <w:tcW w:w="5245" w:type="dxa"/>
          </w:tcPr>
          <w:p w14:paraId="033659EE" w14:textId="1D638537" w:rsidR="00AD3606" w:rsidRPr="0022325D" w:rsidRDefault="00AD3606" w:rsidP="00954C49">
            <w:pPr>
              <w:tabs>
                <w:tab w:val="left" w:pos="851"/>
              </w:tabs>
              <w:spacing w:before="0" w:line="240" w:lineRule="atLeast"/>
              <w:jc w:val="right"/>
              <w:rPr>
                <w:b/>
                <w:lang w:val="en-GB"/>
              </w:rPr>
            </w:pPr>
            <w:r w:rsidRPr="0022325D">
              <w:rPr>
                <w:b/>
                <w:color w:val="000000"/>
                <w:lang w:val="en-GB"/>
              </w:rPr>
              <w:t xml:space="preserve">Original: </w:t>
            </w:r>
            <w:r w:rsidR="00E845A4" w:rsidRPr="0022325D">
              <w:rPr>
                <w:b/>
                <w:color w:val="000000"/>
                <w:lang w:val="en-GB"/>
              </w:rPr>
              <w:t>Russian</w:t>
            </w:r>
          </w:p>
        </w:tc>
      </w:tr>
      <w:tr w:rsidR="00472BAD" w:rsidRPr="0022325D" w14:paraId="7ABFE26A" w14:textId="77777777" w:rsidTr="00954C49">
        <w:trPr>
          <w:cantSplit/>
          <w:trHeight w:val="23"/>
        </w:trPr>
        <w:tc>
          <w:tcPr>
            <w:tcW w:w="3969" w:type="dxa"/>
          </w:tcPr>
          <w:p w14:paraId="37B4BE8F" w14:textId="77777777" w:rsidR="00472BAD" w:rsidRPr="0022325D" w:rsidRDefault="00472BAD" w:rsidP="00954C49">
            <w:pPr>
              <w:tabs>
                <w:tab w:val="left" w:pos="851"/>
              </w:tabs>
              <w:spacing w:line="240" w:lineRule="atLeast"/>
              <w:rPr>
                <w:b/>
                <w:lang w:val="en-GB"/>
              </w:rPr>
            </w:pPr>
          </w:p>
        </w:tc>
        <w:tc>
          <w:tcPr>
            <w:tcW w:w="5245" w:type="dxa"/>
          </w:tcPr>
          <w:p w14:paraId="2BFF4326" w14:textId="77777777" w:rsidR="00472BAD" w:rsidRPr="0022325D" w:rsidRDefault="00472BAD" w:rsidP="00954C49">
            <w:pPr>
              <w:tabs>
                <w:tab w:val="left" w:pos="851"/>
              </w:tabs>
              <w:spacing w:before="0" w:line="240" w:lineRule="atLeast"/>
              <w:jc w:val="right"/>
              <w:rPr>
                <w:b/>
                <w:lang w:val="en-GB"/>
              </w:rPr>
            </w:pPr>
          </w:p>
        </w:tc>
      </w:tr>
      <w:tr w:rsidR="00AD3606" w:rsidRPr="00F96FCE" w14:paraId="681913D3" w14:textId="77777777" w:rsidTr="00954C49">
        <w:trPr>
          <w:cantSplit/>
        </w:trPr>
        <w:tc>
          <w:tcPr>
            <w:tcW w:w="9214" w:type="dxa"/>
            <w:gridSpan w:val="2"/>
            <w:tcMar>
              <w:left w:w="0" w:type="dxa"/>
            </w:tcMar>
          </w:tcPr>
          <w:p w14:paraId="2E5E0601" w14:textId="488C3713" w:rsidR="00AD3606" w:rsidRPr="0022325D" w:rsidRDefault="00E845A4" w:rsidP="004B73A7">
            <w:pPr>
              <w:pStyle w:val="Source"/>
              <w:jc w:val="left"/>
              <w:rPr>
                <w:sz w:val="34"/>
                <w:szCs w:val="34"/>
                <w:lang w:val="en-GB"/>
              </w:rPr>
            </w:pPr>
            <w:bookmarkStart w:id="8" w:name="dsource" w:colFirst="0" w:colLast="0"/>
            <w:bookmarkEnd w:id="7"/>
            <w:r w:rsidRPr="0022325D">
              <w:rPr>
                <w:color w:val="000000"/>
                <w:sz w:val="34"/>
                <w:szCs w:val="34"/>
                <w:lang w:val="en-GB"/>
              </w:rPr>
              <w:t xml:space="preserve">Contribution </w:t>
            </w:r>
            <w:r w:rsidR="008F5312" w:rsidRPr="0022325D">
              <w:rPr>
                <w:color w:val="000000"/>
                <w:sz w:val="34"/>
                <w:szCs w:val="34"/>
                <w:lang w:val="en-GB"/>
              </w:rPr>
              <w:t xml:space="preserve">by </w:t>
            </w:r>
            <w:r w:rsidRPr="0022325D">
              <w:rPr>
                <w:color w:val="000000"/>
                <w:sz w:val="34"/>
                <w:szCs w:val="34"/>
                <w:lang w:val="en-GB"/>
              </w:rPr>
              <w:t>the Russian Federation</w:t>
            </w:r>
          </w:p>
        </w:tc>
      </w:tr>
      <w:tr w:rsidR="00AD3606" w:rsidRPr="00F96FCE" w14:paraId="04B09E31" w14:textId="77777777" w:rsidTr="00954C49">
        <w:trPr>
          <w:cantSplit/>
        </w:trPr>
        <w:tc>
          <w:tcPr>
            <w:tcW w:w="9214" w:type="dxa"/>
            <w:gridSpan w:val="2"/>
            <w:tcMar>
              <w:left w:w="0" w:type="dxa"/>
            </w:tcMar>
          </w:tcPr>
          <w:p w14:paraId="251A8016" w14:textId="4A2ABC07" w:rsidR="00AD3606" w:rsidRPr="0022325D" w:rsidRDefault="00BF1FDE" w:rsidP="00954C49">
            <w:pPr>
              <w:pStyle w:val="Subtitle"/>
              <w:framePr w:hSpace="0" w:wrap="auto" w:hAnchor="text" w:xAlign="left" w:yAlign="inline"/>
            </w:pPr>
            <w:bookmarkStart w:id="9" w:name="dtitle1" w:colFirst="0" w:colLast="0"/>
            <w:bookmarkEnd w:id="8"/>
            <w:r w:rsidRPr="0022325D">
              <w:rPr>
                <w:color w:val="000000"/>
              </w:rPr>
              <w:t xml:space="preserve">PROPOSAL </w:t>
            </w:r>
            <w:r w:rsidR="00CA3AA5" w:rsidRPr="0022325D">
              <w:rPr>
                <w:color w:val="000000"/>
              </w:rPr>
              <w:t>FOR</w:t>
            </w:r>
            <w:r w:rsidRPr="0022325D">
              <w:rPr>
                <w:color w:val="000000"/>
              </w:rPr>
              <w:t xml:space="preserve"> OPTIMIZ</w:t>
            </w:r>
            <w:r w:rsidR="008F5312" w:rsidRPr="0022325D">
              <w:rPr>
                <w:color w:val="000000"/>
              </w:rPr>
              <w:t>ATION</w:t>
            </w:r>
            <w:r w:rsidR="00CA3AA5" w:rsidRPr="0022325D">
              <w:rPr>
                <w:color w:val="000000"/>
              </w:rPr>
              <w:t xml:space="preserve"> </w:t>
            </w:r>
            <w:r w:rsidR="008F5312" w:rsidRPr="0022325D">
              <w:rPr>
                <w:color w:val="000000"/>
              </w:rPr>
              <w:t>OF ITU RESOURCE</w:t>
            </w:r>
            <w:r w:rsidR="00CA3AA5" w:rsidRPr="0022325D">
              <w:rPr>
                <w:color w:val="000000"/>
              </w:rPr>
              <w:t xml:space="preserve"> ALLOCATION</w:t>
            </w:r>
            <w:r w:rsidRPr="0022325D">
              <w:rPr>
                <w:color w:val="000000"/>
              </w:rPr>
              <w:t xml:space="preserve"> TO BETTER </w:t>
            </w:r>
            <w:r w:rsidR="00AA6F56" w:rsidRPr="0022325D">
              <w:rPr>
                <w:color w:val="000000"/>
              </w:rPr>
              <w:t>ALIGN WITH</w:t>
            </w:r>
            <w:r w:rsidRPr="0022325D">
              <w:rPr>
                <w:color w:val="000000"/>
              </w:rPr>
              <w:t xml:space="preserve"> THE PURPOSES OF THE UNION</w:t>
            </w:r>
          </w:p>
        </w:tc>
      </w:tr>
      <w:tr w:rsidR="00AD3606" w:rsidRPr="00F96FCE" w14:paraId="1D3CA3DF" w14:textId="77777777" w:rsidTr="00954C49">
        <w:trPr>
          <w:cantSplit/>
        </w:trPr>
        <w:tc>
          <w:tcPr>
            <w:tcW w:w="9214" w:type="dxa"/>
            <w:gridSpan w:val="2"/>
            <w:tcBorders>
              <w:top w:val="single" w:sz="4" w:space="0" w:color="auto"/>
              <w:bottom w:val="single" w:sz="4" w:space="0" w:color="auto"/>
            </w:tcBorders>
            <w:tcMar>
              <w:left w:w="0" w:type="dxa"/>
            </w:tcMar>
          </w:tcPr>
          <w:p w14:paraId="06B17B3F" w14:textId="77777777" w:rsidR="00AD3606" w:rsidRPr="0022325D" w:rsidRDefault="00F16BAB" w:rsidP="00954C49">
            <w:pPr>
              <w:spacing w:before="160"/>
              <w:rPr>
                <w:b/>
                <w:bCs/>
                <w:sz w:val="26"/>
                <w:szCs w:val="26"/>
                <w:lang w:val="en-GB"/>
              </w:rPr>
            </w:pPr>
            <w:r w:rsidRPr="0022325D">
              <w:rPr>
                <w:b/>
                <w:bCs/>
                <w:color w:val="000000"/>
                <w:sz w:val="26"/>
                <w:szCs w:val="26"/>
                <w:lang w:val="en-GB"/>
              </w:rPr>
              <w:t>Purpose</w:t>
            </w:r>
          </w:p>
          <w:p w14:paraId="61D1D143" w14:textId="32E9BC38" w:rsidR="00AD3606" w:rsidRPr="0022325D" w:rsidRDefault="00E845A4" w:rsidP="00954C49">
            <w:pPr>
              <w:rPr>
                <w:rFonts w:asciiTheme="minorHAnsi" w:eastAsia="Georgia" w:hAnsiTheme="minorHAnsi" w:cstheme="minorHAnsi"/>
                <w:szCs w:val="24"/>
                <w:lang w:val="en-GB"/>
              </w:rPr>
            </w:pPr>
            <w:r w:rsidRPr="0022325D">
              <w:rPr>
                <w:color w:val="000000"/>
                <w:lang w:val="en-GB"/>
              </w:rPr>
              <w:t xml:space="preserve">This contribution develops ideas previously presented by the Russian Federation in </w:t>
            </w:r>
            <w:r w:rsidR="008C4D76" w:rsidRPr="0022325D">
              <w:rPr>
                <w:color w:val="000000"/>
                <w:szCs w:val="24"/>
                <w:lang w:val="en-GB"/>
              </w:rPr>
              <w:t xml:space="preserve">Document </w:t>
            </w:r>
            <w:hyperlink r:id="rId8" w:tgtFrame="/private/var/folders/w1/r6xq73091_gfxzys7smktfw40000gn/T/com.kingsoft.wpsoffice.mac.global/wps-macos/x/_blank" w:history="1">
              <w:r w:rsidR="004B73A7" w:rsidRPr="0022325D">
                <w:rPr>
                  <w:color w:val="4F81BD" w:themeColor="accent1"/>
                  <w:szCs w:val="24"/>
                  <w:u w:val="single"/>
                  <w:lang w:val="en-GB"/>
                </w:rPr>
                <w:t>CWG-FHR-22/25</w:t>
              </w:r>
            </w:hyperlink>
            <w:r w:rsidRPr="0022325D">
              <w:rPr>
                <w:color w:val="000000"/>
                <w:szCs w:val="24"/>
                <w:lang w:val="en-GB"/>
              </w:rPr>
              <w:t xml:space="preserve"> at the 22nd</w:t>
            </w:r>
            <w:r w:rsidRPr="0022325D">
              <w:rPr>
                <w:color w:val="000000"/>
                <w:lang w:val="en-GB"/>
              </w:rPr>
              <w:t xml:space="preserve"> meeting of the Council Working Group on </w:t>
            </w:r>
            <w:r w:rsidR="004B4F64" w:rsidRPr="0022325D">
              <w:rPr>
                <w:color w:val="000000"/>
                <w:lang w:val="en-GB"/>
              </w:rPr>
              <w:t>financial and human resources</w:t>
            </w:r>
            <w:r w:rsidRPr="0022325D">
              <w:rPr>
                <w:color w:val="000000"/>
                <w:lang w:val="en-GB"/>
              </w:rPr>
              <w:t xml:space="preserve"> (CWG-FHR) in January 2026. That document highlighted </w:t>
            </w:r>
            <w:r w:rsidR="00A9001E" w:rsidRPr="0022325D">
              <w:rPr>
                <w:color w:val="000000"/>
                <w:lang w:val="en-GB"/>
              </w:rPr>
              <w:t xml:space="preserve">a </w:t>
            </w:r>
            <w:r w:rsidR="008C4D76" w:rsidRPr="0022325D">
              <w:rPr>
                <w:color w:val="000000"/>
                <w:lang w:val="en-GB"/>
              </w:rPr>
              <w:t xml:space="preserve">growing </w:t>
            </w:r>
            <w:r w:rsidR="00A9001E" w:rsidRPr="0022325D">
              <w:rPr>
                <w:color w:val="000000"/>
                <w:lang w:val="en-GB"/>
              </w:rPr>
              <w:t xml:space="preserve">failure to allocate resources </w:t>
            </w:r>
            <w:r w:rsidR="00CF1BEF" w:rsidRPr="0022325D">
              <w:rPr>
                <w:color w:val="000000"/>
                <w:lang w:val="en-GB"/>
              </w:rPr>
              <w:t>in accordance with</w:t>
            </w:r>
            <w:r w:rsidR="00A9001E" w:rsidRPr="0022325D">
              <w:rPr>
                <w:color w:val="000000"/>
                <w:lang w:val="en-GB"/>
              </w:rPr>
              <w:t xml:space="preserve"> the purposes</w:t>
            </w:r>
            <w:r w:rsidR="00966B8C" w:rsidRPr="0022325D">
              <w:rPr>
                <w:color w:val="000000"/>
                <w:lang w:val="en-GB"/>
              </w:rPr>
              <w:t xml:space="preserve"> of the Union, as</w:t>
            </w:r>
            <w:r w:rsidR="00A9001E" w:rsidRPr="0022325D">
              <w:rPr>
                <w:lang w:val="en-GB"/>
              </w:rPr>
              <w:t xml:space="preserve"> </w:t>
            </w:r>
            <w:r w:rsidR="00A9001E" w:rsidRPr="0022325D">
              <w:rPr>
                <w:color w:val="000000"/>
                <w:lang w:val="en-GB"/>
              </w:rPr>
              <w:t xml:space="preserve">enshrined in the </w:t>
            </w:r>
            <w:r w:rsidR="00966B8C" w:rsidRPr="0022325D">
              <w:rPr>
                <w:color w:val="000000"/>
                <w:lang w:val="en-GB"/>
              </w:rPr>
              <w:t xml:space="preserve">ITU </w:t>
            </w:r>
            <w:r w:rsidR="00A9001E" w:rsidRPr="0022325D">
              <w:rPr>
                <w:color w:val="000000"/>
                <w:lang w:val="en-GB"/>
              </w:rPr>
              <w:t xml:space="preserve">Constitution and other </w:t>
            </w:r>
            <w:r w:rsidR="008F5312" w:rsidRPr="0022325D">
              <w:rPr>
                <w:color w:val="000000"/>
                <w:lang w:val="en-GB"/>
              </w:rPr>
              <w:t xml:space="preserve">basic </w:t>
            </w:r>
            <w:r w:rsidR="00A9001E" w:rsidRPr="0022325D">
              <w:rPr>
                <w:color w:val="000000"/>
                <w:lang w:val="en-GB"/>
              </w:rPr>
              <w:t>instruments</w:t>
            </w:r>
            <w:r w:rsidR="008F5312" w:rsidRPr="0022325D">
              <w:rPr>
                <w:color w:val="000000"/>
                <w:lang w:val="en-GB"/>
              </w:rPr>
              <w:t xml:space="preserve">, even as some </w:t>
            </w:r>
            <w:r w:rsidR="00966B8C" w:rsidRPr="0022325D">
              <w:rPr>
                <w:color w:val="000000"/>
                <w:lang w:val="en-GB"/>
              </w:rPr>
              <w:t>core</w:t>
            </w:r>
            <w:r w:rsidR="008F5312" w:rsidRPr="0022325D">
              <w:rPr>
                <w:color w:val="000000"/>
                <w:lang w:val="en-GB"/>
              </w:rPr>
              <w:t xml:space="preserve"> functions of ITU degrad</w:t>
            </w:r>
            <w:r w:rsidR="00966B8C" w:rsidRPr="0022325D">
              <w:rPr>
                <w:color w:val="000000"/>
                <w:lang w:val="en-GB"/>
              </w:rPr>
              <w:t>ed</w:t>
            </w:r>
            <w:r w:rsidR="00DE19FE" w:rsidRPr="0022325D">
              <w:rPr>
                <w:color w:val="000000"/>
                <w:lang w:val="en-GB"/>
              </w:rPr>
              <w:t>.</w:t>
            </w:r>
            <w:hyperlink r:id="rId9" w:tgtFrame="/private/var/folders/w1/r6xq73091_gfxzys7smktfw40000gn/T/com.kingsoft.wpsoffice.mac.global/wps-macos/x/_blank" w:history="1"/>
          </w:p>
          <w:p w14:paraId="49F202D2" w14:textId="34F880ED" w:rsidR="00E845A4" w:rsidRPr="0022325D" w:rsidRDefault="00E845A4" w:rsidP="00954C49">
            <w:pPr>
              <w:rPr>
                <w:lang w:val="en-GB"/>
              </w:rPr>
            </w:pPr>
            <w:r w:rsidRPr="0022325D">
              <w:rPr>
                <w:color w:val="000000"/>
                <w:lang w:val="en-GB"/>
              </w:rPr>
              <w:t xml:space="preserve">It is proposed to implement a differentiated </w:t>
            </w:r>
            <w:r w:rsidR="0054685B" w:rsidRPr="0022325D">
              <w:rPr>
                <w:color w:val="000000"/>
                <w:lang w:val="en-GB"/>
              </w:rPr>
              <w:t xml:space="preserve">funding </w:t>
            </w:r>
            <w:r w:rsidRPr="0022325D">
              <w:rPr>
                <w:color w:val="000000"/>
                <w:lang w:val="en-GB"/>
              </w:rPr>
              <w:t xml:space="preserve">approach </w:t>
            </w:r>
            <w:r w:rsidR="008C4D76" w:rsidRPr="0022325D">
              <w:rPr>
                <w:color w:val="000000"/>
                <w:lang w:val="en-GB"/>
              </w:rPr>
              <w:t xml:space="preserve">that features </w:t>
            </w:r>
            <w:r w:rsidRPr="0022325D">
              <w:rPr>
                <w:color w:val="000000"/>
                <w:lang w:val="en-GB"/>
              </w:rPr>
              <w:t>periodic review</w:t>
            </w:r>
            <w:r w:rsidR="00A9001E" w:rsidRPr="0022325D">
              <w:rPr>
                <w:color w:val="000000"/>
                <w:lang w:val="en-GB"/>
              </w:rPr>
              <w:t xml:space="preserve">s in order to ensure </w:t>
            </w:r>
            <w:r w:rsidRPr="0022325D">
              <w:rPr>
                <w:color w:val="000000"/>
                <w:lang w:val="en-GB"/>
              </w:rPr>
              <w:t>that</w:t>
            </w:r>
            <w:r w:rsidR="008C4D76" w:rsidRPr="0022325D">
              <w:rPr>
                <w:lang w:val="en-GB"/>
              </w:rPr>
              <w:t xml:space="preserve"> </w:t>
            </w:r>
            <w:r w:rsidR="008C4D76" w:rsidRPr="0022325D">
              <w:rPr>
                <w:color w:val="000000"/>
                <w:lang w:val="en-GB"/>
              </w:rPr>
              <w:t xml:space="preserve">resources are </w:t>
            </w:r>
            <w:r w:rsidRPr="0022325D">
              <w:rPr>
                <w:color w:val="000000"/>
                <w:lang w:val="en-GB"/>
              </w:rPr>
              <w:t>allocat</w:t>
            </w:r>
            <w:r w:rsidR="008C4D76" w:rsidRPr="0022325D">
              <w:rPr>
                <w:color w:val="000000"/>
                <w:lang w:val="en-GB"/>
              </w:rPr>
              <w:t>ed</w:t>
            </w:r>
            <w:r w:rsidR="00CF1BEF" w:rsidRPr="0022325D">
              <w:rPr>
                <w:lang w:val="en-GB"/>
              </w:rPr>
              <w:t xml:space="preserve"> </w:t>
            </w:r>
            <w:r w:rsidR="00CF1BEF" w:rsidRPr="0022325D">
              <w:rPr>
                <w:color w:val="000000"/>
                <w:lang w:val="en-GB"/>
              </w:rPr>
              <w:t xml:space="preserve">in accordance with </w:t>
            </w:r>
            <w:r w:rsidRPr="0022325D">
              <w:rPr>
                <w:color w:val="000000"/>
                <w:lang w:val="en-GB"/>
              </w:rPr>
              <w:t xml:space="preserve">the </w:t>
            </w:r>
            <w:r w:rsidR="00A9001E" w:rsidRPr="0022325D">
              <w:rPr>
                <w:color w:val="000000"/>
                <w:lang w:val="en-GB"/>
              </w:rPr>
              <w:t xml:space="preserve">purposes </w:t>
            </w:r>
            <w:r w:rsidRPr="0022325D">
              <w:rPr>
                <w:color w:val="000000"/>
                <w:lang w:val="en-GB"/>
              </w:rPr>
              <w:t>of ITU.</w:t>
            </w:r>
          </w:p>
          <w:p w14:paraId="4955EC14" w14:textId="77777777" w:rsidR="00AD3606" w:rsidRPr="0022325D" w:rsidRDefault="00AD3606" w:rsidP="00954C49">
            <w:pPr>
              <w:spacing w:before="160"/>
              <w:rPr>
                <w:b/>
                <w:bCs/>
                <w:sz w:val="26"/>
                <w:szCs w:val="26"/>
                <w:lang w:val="en-GB"/>
              </w:rPr>
            </w:pPr>
            <w:r w:rsidRPr="0022325D">
              <w:rPr>
                <w:b/>
                <w:bCs/>
                <w:color w:val="000000"/>
                <w:sz w:val="26"/>
                <w:szCs w:val="26"/>
                <w:lang w:val="en-GB"/>
              </w:rPr>
              <w:t>Action required</w:t>
            </w:r>
            <w:r w:rsidR="00F16BAB" w:rsidRPr="0022325D">
              <w:rPr>
                <w:b/>
                <w:bCs/>
                <w:color w:val="000000"/>
                <w:sz w:val="26"/>
                <w:szCs w:val="26"/>
                <w:lang w:val="en-GB"/>
              </w:rPr>
              <w:t xml:space="preserve"> by the Council</w:t>
            </w:r>
          </w:p>
          <w:p w14:paraId="004E94F6" w14:textId="7CE593FA" w:rsidR="00722551" w:rsidRPr="0022325D" w:rsidRDefault="00E845A4" w:rsidP="00954C49">
            <w:pPr>
              <w:rPr>
                <w:lang w:val="en-GB"/>
              </w:rPr>
            </w:pPr>
            <w:r w:rsidRPr="0022325D">
              <w:rPr>
                <w:color w:val="000000"/>
                <w:lang w:val="en-GB"/>
              </w:rPr>
              <w:t xml:space="preserve">The </w:t>
            </w:r>
            <w:r w:rsidR="0029538B" w:rsidRPr="0022325D">
              <w:rPr>
                <w:color w:val="000000"/>
                <w:lang w:val="en-GB"/>
              </w:rPr>
              <w:t>C</w:t>
            </w:r>
            <w:r w:rsidRPr="0022325D">
              <w:rPr>
                <w:color w:val="000000"/>
                <w:lang w:val="en-GB"/>
              </w:rPr>
              <w:t>ouncil is invited to consider this contribution and provide any necessary comments.</w:t>
            </w:r>
          </w:p>
          <w:p w14:paraId="32F8C3A9" w14:textId="77777777" w:rsidR="00C0458D" w:rsidRPr="0022325D" w:rsidRDefault="00C0458D" w:rsidP="00954C49">
            <w:pPr>
              <w:rPr>
                <w:lang w:val="en-GB"/>
              </w:rPr>
            </w:pPr>
            <w:r w:rsidRPr="0022325D">
              <w:rPr>
                <w:color w:val="000000"/>
                <w:lang w:val="en-GB"/>
              </w:rPr>
              <w:t>_______________</w:t>
            </w:r>
          </w:p>
          <w:p w14:paraId="0C76FAB9" w14:textId="77777777" w:rsidR="00AD3606" w:rsidRPr="0022325D" w:rsidRDefault="00AD3606" w:rsidP="00954C49">
            <w:pPr>
              <w:spacing w:before="160"/>
              <w:rPr>
                <w:b/>
                <w:bCs/>
                <w:sz w:val="26"/>
                <w:szCs w:val="26"/>
                <w:lang w:val="en-GB"/>
              </w:rPr>
            </w:pPr>
            <w:r w:rsidRPr="0022325D">
              <w:rPr>
                <w:b/>
                <w:bCs/>
                <w:color w:val="000000"/>
                <w:sz w:val="26"/>
                <w:szCs w:val="26"/>
                <w:lang w:val="en-GB"/>
              </w:rPr>
              <w:t>References</w:t>
            </w:r>
          </w:p>
          <w:p w14:paraId="4B7D33E5" w14:textId="20B319A6" w:rsidR="00AD3606" w:rsidRPr="0022325D" w:rsidRDefault="00966B8C" w:rsidP="00954C49">
            <w:pPr>
              <w:spacing w:after="160"/>
              <w:rPr>
                <w:i/>
                <w:iCs/>
                <w:sz w:val="22"/>
                <w:szCs w:val="22"/>
                <w:lang w:val="en-GB"/>
              </w:rPr>
            </w:pPr>
            <w:r w:rsidRPr="0022325D">
              <w:rPr>
                <w:i/>
                <w:iCs/>
                <w:color w:val="000000"/>
                <w:lang w:val="en-GB"/>
              </w:rPr>
              <w:t>Contribution by the Russian Federation</w:t>
            </w:r>
            <w:r w:rsidR="004B4F64" w:rsidRPr="0022325D">
              <w:rPr>
                <w:i/>
                <w:iCs/>
                <w:color w:val="000000"/>
                <w:lang w:val="en-GB"/>
              </w:rPr>
              <w:t xml:space="preserve"> </w:t>
            </w:r>
            <w:hyperlink r:id="rId10" w:history="1">
              <w:r w:rsidR="00E845A4" w:rsidRPr="0022325D">
                <w:rPr>
                  <w:rStyle w:val="Hyperlink"/>
                  <w:rFonts w:eastAsia="Times New Roman" w:cs="Times New Roman"/>
                  <w:i/>
                  <w:iCs/>
                  <w:szCs w:val="20"/>
                  <w:lang w:val="en-GB"/>
                </w:rPr>
                <w:t>CWG–FHR–22/25</w:t>
              </w:r>
            </w:hyperlink>
            <w:r w:rsidR="00E845A4" w:rsidRPr="0022325D">
              <w:rPr>
                <w:i/>
                <w:iCs/>
                <w:color w:val="000000"/>
                <w:lang w:val="en-GB"/>
              </w:rPr>
              <w:t xml:space="preserve">; </w:t>
            </w:r>
            <w:r w:rsidRPr="0022325D">
              <w:rPr>
                <w:i/>
                <w:iCs/>
                <w:color w:val="000000"/>
                <w:lang w:val="en-GB"/>
              </w:rPr>
              <w:t xml:space="preserve">Multi-country contribution (China, Cuba and Russian Federation) </w:t>
            </w:r>
            <w:hyperlink r:id="rId11" w:history="1">
              <w:r w:rsidR="00E845A4" w:rsidRPr="0022325D">
                <w:rPr>
                  <w:rStyle w:val="Hyperlink"/>
                  <w:rFonts w:eastAsia="Times New Roman" w:cs="Times New Roman"/>
                  <w:i/>
                  <w:iCs/>
                  <w:szCs w:val="20"/>
                  <w:lang w:val="en-GB"/>
                </w:rPr>
                <w:t>C25/86</w:t>
              </w:r>
            </w:hyperlink>
            <w:r w:rsidR="00E845A4" w:rsidRPr="0022325D">
              <w:rPr>
                <w:i/>
                <w:iCs/>
                <w:color w:val="000000"/>
                <w:lang w:val="en-GB"/>
              </w:rPr>
              <w:t xml:space="preserve">; </w:t>
            </w:r>
            <w:r w:rsidR="00325417" w:rsidRPr="0022325D">
              <w:rPr>
                <w:i/>
                <w:iCs/>
                <w:color w:val="000000"/>
                <w:lang w:val="en-GB"/>
              </w:rPr>
              <w:t>Report of the Chair on the 22</w:t>
            </w:r>
            <w:r w:rsidR="00325417" w:rsidRPr="0022325D">
              <w:rPr>
                <w:i/>
                <w:iCs/>
                <w:color w:val="000000"/>
                <w:vertAlign w:val="superscript"/>
                <w:lang w:val="en-GB"/>
              </w:rPr>
              <w:t>nd</w:t>
            </w:r>
            <w:r w:rsidR="00325417" w:rsidRPr="0022325D">
              <w:rPr>
                <w:i/>
                <w:iCs/>
                <w:color w:val="000000"/>
                <w:lang w:val="en-GB"/>
              </w:rPr>
              <w:t xml:space="preserve"> meeting of CWG-FHR</w:t>
            </w:r>
            <w:r w:rsidR="00325417" w:rsidRPr="0022325D">
              <w:rPr>
                <w:color w:val="000000"/>
                <w:lang w:val="en-GB"/>
              </w:rPr>
              <w:t xml:space="preserve"> </w:t>
            </w:r>
            <w:hyperlink r:id="rId12" w:history="1">
              <w:r w:rsidR="00E845A4" w:rsidRPr="0022325D">
                <w:rPr>
                  <w:rStyle w:val="Hyperlink"/>
                  <w:rFonts w:eastAsia="Times New Roman" w:cs="Times New Roman"/>
                  <w:i/>
                  <w:iCs/>
                  <w:szCs w:val="20"/>
                  <w:lang w:val="en-GB"/>
                </w:rPr>
                <w:t>CWG-FHR-22/36</w:t>
              </w:r>
            </w:hyperlink>
            <w:hyperlink r:id="rId13" w:tgtFrame="/private/var/folders/w1/r6xq73091_gfxzys7smktfw40000gn/T/com.kingsoft.wpsoffice.mac.global/wps-macos/x/_blank" w:history="1"/>
            <w:hyperlink r:id="rId14" w:history="1"/>
            <w:hyperlink r:id="rId15" w:tgtFrame="/private/var/folders/w1/r6xq73091_gfxzys7smktfw40000gn/T/com.kingsoft.wpsoffice.mac.global/wps-macos/x/_blank" w:history="1"/>
          </w:p>
        </w:tc>
      </w:tr>
    </w:tbl>
    <w:p w14:paraId="3A676705" w14:textId="77777777" w:rsidR="00E227F3" w:rsidRPr="0022325D"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2BE80FD2" w14:textId="77777777" w:rsidR="0090147A" w:rsidRPr="0022325D"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22325D">
        <w:rPr>
          <w:lang w:val="en-GB"/>
        </w:rPr>
        <w:br w:type="page"/>
      </w:r>
    </w:p>
    <w:bookmarkEnd w:id="5"/>
    <w:bookmarkEnd w:id="10"/>
    <w:p w14:paraId="6F6D2124" w14:textId="294A5937" w:rsidR="00E845A4" w:rsidRPr="0022325D" w:rsidRDefault="00E845A4" w:rsidP="00E845A4">
      <w:pPr>
        <w:pStyle w:val="Heading1"/>
        <w:rPr>
          <w:lang w:val="en-GB"/>
        </w:rPr>
      </w:pPr>
      <w:r w:rsidRPr="0022325D">
        <w:rPr>
          <w:bCs/>
          <w:lang w:val="en-GB"/>
        </w:rPr>
        <w:lastRenderedPageBreak/>
        <w:t>1</w:t>
      </w:r>
      <w:r w:rsidRPr="0022325D">
        <w:rPr>
          <w:lang w:val="en-GB"/>
        </w:rPr>
        <w:tab/>
      </w:r>
      <w:r w:rsidRPr="0022325D">
        <w:rPr>
          <w:bCs/>
          <w:lang w:val="en-GB"/>
        </w:rPr>
        <w:t>Introduction</w:t>
      </w:r>
    </w:p>
    <w:p w14:paraId="489D4210" w14:textId="54382C8E" w:rsidR="00E845A4" w:rsidRPr="0022325D" w:rsidRDefault="0054685B" w:rsidP="00E845A4">
      <w:pPr>
        <w:rPr>
          <w:lang w:val="en-GB"/>
        </w:rPr>
      </w:pPr>
      <w:r w:rsidRPr="0022325D">
        <w:rPr>
          <w:lang w:val="en-GB"/>
        </w:rPr>
        <w:t xml:space="preserve">In Document </w:t>
      </w:r>
      <w:hyperlink r:id="rId16" w:history="1">
        <w:r w:rsidRPr="0022325D">
          <w:rPr>
            <w:rStyle w:val="Hyperlink"/>
            <w:rFonts w:eastAsia="Times New Roman" w:cs="Times New Roman"/>
            <w:szCs w:val="20"/>
            <w:lang w:val="en-GB"/>
          </w:rPr>
          <w:t>CWG-FHR-22/25</w:t>
        </w:r>
      </w:hyperlink>
      <w:r w:rsidRPr="0022325D">
        <w:rPr>
          <w:lang w:val="en-GB"/>
        </w:rPr>
        <w:t>, t</w:t>
      </w:r>
      <w:r w:rsidR="00E845A4" w:rsidRPr="0022325D">
        <w:rPr>
          <w:lang w:val="en-GB"/>
        </w:rPr>
        <w:t>he Russian Federation called for a comprehensive evaluation</w:t>
      </w:r>
      <w:r w:rsidR="0052560B" w:rsidRPr="0022325D">
        <w:rPr>
          <w:lang w:val="en-GB"/>
        </w:rPr>
        <w:t xml:space="preserve"> and review</w:t>
      </w:r>
      <w:r w:rsidR="00E845A4" w:rsidRPr="0022325D">
        <w:rPr>
          <w:lang w:val="en-GB"/>
        </w:rPr>
        <w:t xml:space="preserve"> of </w:t>
      </w:r>
      <w:r w:rsidR="004B4F64" w:rsidRPr="0022325D">
        <w:rPr>
          <w:lang w:val="en-GB"/>
        </w:rPr>
        <w:t xml:space="preserve">the </w:t>
      </w:r>
      <w:r w:rsidR="00E845A4" w:rsidRPr="0022325D">
        <w:rPr>
          <w:lang w:val="en-GB"/>
        </w:rPr>
        <w:t xml:space="preserve">work programmes </w:t>
      </w:r>
      <w:r w:rsidR="00C40ACC" w:rsidRPr="0022325D">
        <w:rPr>
          <w:lang w:val="en-GB"/>
        </w:rPr>
        <w:t xml:space="preserve">of ITU </w:t>
      </w:r>
      <w:r w:rsidR="006D4C34" w:rsidRPr="0022325D">
        <w:rPr>
          <w:lang w:val="en-GB"/>
        </w:rPr>
        <w:t>to determine their</w:t>
      </w:r>
      <w:r w:rsidR="00E845A4" w:rsidRPr="0022325D">
        <w:rPr>
          <w:lang w:val="en-GB"/>
        </w:rPr>
        <w:t xml:space="preserve"> </w:t>
      </w:r>
      <w:r w:rsidR="00C40ACC" w:rsidRPr="0022325D">
        <w:rPr>
          <w:lang w:val="en-GB"/>
        </w:rPr>
        <w:t>alignment</w:t>
      </w:r>
      <w:r w:rsidR="00E845A4" w:rsidRPr="0022325D">
        <w:rPr>
          <w:lang w:val="en-GB"/>
        </w:rPr>
        <w:t xml:space="preserve"> with the purposes of the Union</w:t>
      </w:r>
      <w:r w:rsidR="0085109C" w:rsidRPr="0022325D">
        <w:rPr>
          <w:lang w:val="en-GB"/>
        </w:rPr>
        <w:t>, with the aim of</w:t>
      </w:r>
      <w:r w:rsidR="004B4F64" w:rsidRPr="0022325D">
        <w:rPr>
          <w:lang w:val="en-GB"/>
        </w:rPr>
        <w:t xml:space="preserve"> </w:t>
      </w:r>
      <w:r w:rsidR="0052560B" w:rsidRPr="0022325D">
        <w:rPr>
          <w:lang w:val="en-GB"/>
        </w:rPr>
        <w:t xml:space="preserve">fully </w:t>
      </w:r>
      <w:r w:rsidR="004B4F64" w:rsidRPr="0022325D">
        <w:rPr>
          <w:lang w:val="en-GB"/>
        </w:rPr>
        <w:t>funding</w:t>
      </w:r>
      <w:r w:rsidR="00C40ACC" w:rsidRPr="0022325D">
        <w:rPr>
          <w:lang w:val="en-GB"/>
        </w:rPr>
        <w:t xml:space="preserve"> </w:t>
      </w:r>
      <w:r w:rsidR="006D4C34" w:rsidRPr="0022325D">
        <w:rPr>
          <w:lang w:val="en-GB"/>
        </w:rPr>
        <w:t>core</w:t>
      </w:r>
      <w:r w:rsidR="0085109C" w:rsidRPr="0022325D">
        <w:rPr>
          <w:lang w:val="en-GB"/>
        </w:rPr>
        <w:t xml:space="preserve"> </w:t>
      </w:r>
      <w:r w:rsidR="00C40ACC" w:rsidRPr="0022325D">
        <w:rPr>
          <w:lang w:val="en-GB"/>
        </w:rPr>
        <w:t>activities</w:t>
      </w:r>
      <w:r w:rsidR="00E845A4" w:rsidRPr="0022325D">
        <w:rPr>
          <w:lang w:val="en-GB"/>
        </w:rPr>
        <w:t xml:space="preserve">. </w:t>
      </w:r>
      <w:hyperlink r:id="rId17" w:tgtFrame="/private/var/folders/w1/r6xq73091_gfxzys7smktfw40000gn/T/com.kingsoft.wpsoffice.mac.global/wps-macos/x/_blank" w:history="1"/>
    </w:p>
    <w:p w14:paraId="53FC2D83" w14:textId="2E2982E1" w:rsidR="00E845A4" w:rsidRPr="0022325D" w:rsidRDefault="00E845A4" w:rsidP="00E845A4">
      <w:pPr>
        <w:rPr>
          <w:lang w:val="en-GB"/>
        </w:rPr>
      </w:pPr>
      <w:r w:rsidRPr="0022325D">
        <w:rPr>
          <w:lang w:val="en-GB"/>
        </w:rPr>
        <w:t>The comments of the participants of the 22</w:t>
      </w:r>
      <w:r w:rsidRPr="0022325D">
        <w:rPr>
          <w:vertAlign w:val="superscript"/>
          <w:lang w:val="en-GB"/>
        </w:rPr>
        <w:t>nd</w:t>
      </w:r>
      <w:r w:rsidRPr="0022325D">
        <w:rPr>
          <w:lang w:val="en-GB"/>
        </w:rPr>
        <w:t xml:space="preserve"> meeting of the </w:t>
      </w:r>
      <w:r w:rsidR="004B4F64" w:rsidRPr="0022325D">
        <w:rPr>
          <w:lang w:val="en-GB"/>
        </w:rPr>
        <w:t>Council Working Group on financial and human resources (CWG-FHR)</w:t>
      </w:r>
      <w:r w:rsidRPr="0022325D">
        <w:rPr>
          <w:lang w:val="en-GB"/>
        </w:rPr>
        <w:t>, as reflected in its Chair's report, are summarized</w:t>
      </w:r>
      <w:r w:rsidR="009514AA" w:rsidRPr="0022325D">
        <w:rPr>
          <w:lang w:val="en-GB"/>
        </w:rPr>
        <w:t xml:space="preserve"> in brief</w:t>
      </w:r>
      <w:r w:rsidRPr="0022325D">
        <w:rPr>
          <w:lang w:val="en-GB"/>
        </w:rPr>
        <w:t xml:space="preserve"> below.</w:t>
      </w:r>
    </w:p>
    <w:p w14:paraId="0C6AE24B" w14:textId="6C86AF87" w:rsidR="00E845A4" w:rsidRPr="0022325D" w:rsidRDefault="00E845A4" w:rsidP="00E845A4">
      <w:pPr>
        <w:rPr>
          <w:lang w:val="en-GB"/>
        </w:rPr>
      </w:pPr>
      <w:r w:rsidRPr="0022325D">
        <w:rPr>
          <w:lang w:val="en-GB"/>
        </w:rPr>
        <w:t xml:space="preserve">Several delegates agreed on the need to further clarify the core </w:t>
      </w:r>
      <w:r w:rsidR="0054685B" w:rsidRPr="0022325D">
        <w:rPr>
          <w:lang w:val="en-GB"/>
        </w:rPr>
        <w:t>purposes</w:t>
      </w:r>
      <w:r w:rsidR="00B80152" w:rsidRPr="0022325D">
        <w:rPr>
          <w:lang w:val="en-GB"/>
        </w:rPr>
        <w:t xml:space="preserve"> </w:t>
      </w:r>
      <w:r w:rsidRPr="0022325D">
        <w:rPr>
          <w:lang w:val="en-GB"/>
        </w:rPr>
        <w:t xml:space="preserve">of the Union </w:t>
      </w:r>
      <w:r w:rsidR="005F3055" w:rsidRPr="0022325D">
        <w:rPr>
          <w:lang w:val="en-GB"/>
        </w:rPr>
        <w:t>in order to</w:t>
      </w:r>
      <w:r w:rsidRPr="0022325D">
        <w:rPr>
          <w:lang w:val="en-GB"/>
        </w:rPr>
        <w:t xml:space="preserve"> prioriti</w:t>
      </w:r>
      <w:r w:rsidR="005F3055" w:rsidRPr="0022325D">
        <w:rPr>
          <w:lang w:val="en-GB"/>
        </w:rPr>
        <w:t>ze</w:t>
      </w:r>
      <w:r w:rsidRPr="0022325D">
        <w:rPr>
          <w:lang w:val="en-GB"/>
        </w:rPr>
        <w:t xml:space="preserve"> activities </w:t>
      </w:r>
      <w:r w:rsidR="005F3055" w:rsidRPr="0022325D">
        <w:rPr>
          <w:lang w:val="en-GB"/>
        </w:rPr>
        <w:t>aligned</w:t>
      </w:r>
      <w:r w:rsidRPr="0022325D">
        <w:rPr>
          <w:lang w:val="en-GB"/>
        </w:rPr>
        <w:t xml:space="preserve"> with the </w:t>
      </w:r>
      <w:r w:rsidR="005F4DC9" w:rsidRPr="0022325D">
        <w:rPr>
          <w:lang w:val="en-GB"/>
        </w:rPr>
        <w:t xml:space="preserve">ITU </w:t>
      </w:r>
      <w:r w:rsidRPr="0022325D">
        <w:rPr>
          <w:lang w:val="en-GB"/>
        </w:rPr>
        <w:t xml:space="preserve">Constitution and Convention. They supported further study of </w:t>
      </w:r>
      <w:r w:rsidR="00576ADD" w:rsidRPr="0022325D">
        <w:rPr>
          <w:lang w:val="en-GB"/>
        </w:rPr>
        <w:t xml:space="preserve">the </w:t>
      </w:r>
      <w:r w:rsidR="0054685B" w:rsidRPr="0022325D">
        <w:rPr>
          <w:lang w:val="en-GB"/>
        </w:rPr>
        <w:t>introduc</w:t>
      </w:r>
      <w:r w:rsidR="00576ADD" w:rsidRPr="0022325D">
        <w:rPr>
          <w:lang w:val="en-GB"/>
        </w:rPr>
        <w:t>tion of</w:t>
      </w:r>
      <w:r w:rsidR="0054685B" w:rsidRPr="0022325D">
        <w:rPr>
          <w:lang w:val="en-GB"/>
        </w:rPr>
        <w:t xml:space="preserve"> periods of validity </w:t>
      </w:r>
      <w:r w:rsidR="00C40ACC" w:rsidRPr="0022325D">
        <w:rPr>
          <w:lang w:val="en-GB"/>
        </w:rPr>
        <w:t xml:space="preserve">for resolutions </w:t>
      </w:r>
      <w:r w:rsidRPr="0022325D">
        <w:rPr>
          <w:lang w:val="en-GB"/>
        </w:rPr>
        <w:t xml:space="preserve">adopted by </w:t>
      </w:r>
      <w:r w:rsidR="005F4DC9" w:rsidRPr="0022325D">
        <w:rPr>
          <w:lang w:val="en-GB"/>
        </w:rPr>
        <w:t>the P</w:t>
      </w:r>
      <w:r w:rsidRPr="0022325D">
        <w:rPr>
          <w:lang w:val="en-GB"/>
        </w:rPr>
        <w:t xml:space="preserve">lenipotentiary </w:t>
      </w:r>
      <w:r w:rsidR="005F4DC9" w:rsidRPr="0022325D">
        <w:rPr>
          <w:lang w:val="en-GB"/>
        </w:rPr>
        <w:t>C</w:t>
      </w:r>
      <w:r w:rsidRPr="0022325D">
        <w:rPr>
          <w:lang w:val="en-GB"/>
        </w:rPr>
        <w:t xml:space="preserve">onference, </w:t>
      </w:r>
      <w:r w:rsidR="0054685B" w:rsidRPr="0022325D">
        <w:rPr>
          <w:lang w:val="en-GB"/>
        </w:rPr>
        <w:t xml:space="preserve">provided </w:t>
      </w:r>
      <w:r w:rsidR="00E03B6D" w:rsidRPr="0022325D">
        <w:rPr>
          <w:lang w:val="en-GB"/>
        </w:rPr>
        <w:t xml:space="preserve">that </w:t>
      </w:r>
      <w:r w:rsidR="0054685B" w:rsidRPr="0022325D">
        <w:rPr>
          <w:lang w:val="en-GB"/>
        </w:rPr>
        <w:t xml:space="preserve">there were </w:t>
      </w:r>
      <w:r w:rsidRPr="0022325D">
        <w:rPr>
          <w:lang w:val="en-GB"/>
        </w:rPr>
        <w:t xml:space="preserve">clear criteria for distinguishing between </w:t>
      </w:r>
      <w:r w:rsidR="004B73A7" w:rsidRPr="0022325D">
        <w:rPr>
          <w:lang w:val="en-GB"/>
        </w:rPr>
        <w:t>"</w:t>
      </w:r>
      <w:r w:rsidRPr="0022325D">
        <w:rPr>
          <w:lang w:val="en-GB"/>
        </w:rPr>
        <w:t>core</w:t>
      </w:r>
      <w:r w:rsidR="004B73A7" w:rsidRPr="0022325D">
        <w:rPr>
          <w:lang w:val="en-GB"/>
        </w:rPr>
        <w:t>"</w:t>
      </w:r>
      <w:r w:rsidRPr="0022325D">
        <w:rPr>
          <w:lang w:val="en-GB"/>
        </w:rPr>
        <w:t xml:space="preserve"> and </w:t>
      </w:r>
      <w:r w:rsidR="004B73A7" w:rsidRPr="0022325D">
        <w:rPr>
          <w:lang w:val="en-GB"/>
        </w:rPr>
        <w:t>"</w:t>
      </w:r>
      <w:r w:rsidRPr="0022325D">
        <w:rPr>
          <w:lang w:val="en-GB"/>
        </w:rPr>
        <w:t>non-core</w:t>
      </w:r>
      <w:r w:rsidR="004B73A7" w:rsidRPr="0022325D">
        <w:rPr>
          <w:lang w:val="en-GB"/>
        </w:rPr>
        <w:t>"</w:t>
      </w:r>
      <w:r w:rsidRPr="0022325D">
        <w:rPr>
          <w:lang w:val="en-GB"/>
        </w:rPr>
        <w:t xml:space="preserve"> activities. </w:t>
      </w:r>
      <w:r w:rsidR="0085109C" w:rsidRPr="0022325D">
        <w:rPr>
          <w:lang w:val="en-GB"/>
        </w:rPr>
        <w:t>Delegates</w:t>
      </w:r>
      <w:r w:rsidRPr="0022325D">
        <w:rPr>
          <w:lang w:val="en-GB"/>
        </w:rPr>
        <w:t xml:space="preserve"> requested further information on the mechanism that would be used </w:t>
      </w:r>
      <w:r w:rsidR="0085109C" w:rsidRPr="0022325D">
        <w:rPr>
          <w:lang w:val="en-GB"/>
        </w:rPr>
        <w:t>to undertake</w:t>
      </w:r>
      <w:r w:rsidRPr="0022325D">
        <w:rPr>
          <w:lang w:val="en-GB"/>
        </w:rPr>
        <w:t xml:space="preserve"> the four-year review</w:t>
      </w:r>
      <w:r w:rsidR="0054685B" w:rsidRPr="0022325D">
        <w:rPr>
          <w:lang w:val="en-GB"/>
        </w:rPr>
        <w:t>s</w:t>
      </w:r>
      <w:r w:rsidRPr="0022325D">
        <w:rPr>
          <w:lang w:val="en-GB"/>
        </w:rPr>
        <w:t>.</w:t>
      </w:r>
    </w:p>
    <w:p w14:paraId="7B7819B4" w14:textId="266CB074" w:rsidR="00E845A4" w:rsidRPr="0022325D" w:rsidRDefault="00E845A4" w:rsidP="00E845A4">
      <w:pPr>
        <w:rPr>
          <w:lang w:val="en-GB"/>
        </w:rPr>
      </w:pPr>
      <w:r w:rsidRPr="0022325D">
        <w:rPr>
          <w:lang w:val="en-GB"/>
        </w:rPr>
        <w:t xml:space="preserve">Other </w:t>
      </w:r>
      <w:r w:rsidR="0085109C" w:rsidRPr="0022325D">
        <w:rPr>
          <w:lang w:val="en-GB"/>
        </w:rPr>
        <w:t>delegates</w:t>
      </w:r>
      <w:r w:rsidRPr="0022325D">
        <w:rPr>
          <w:lang w:val="en-GB"/>
        </w:rPr>
        <w:t xml:space="preserve"> highlighted </w:t>
      </w:r>
      <w:r w:rsidR="0085109C" w:rsidRPr="0022325D">
        <w:rPr>
          <w:lang w:val="en-GB"/>
        </w:rPr>
        <w:t xml:space="preserve">the </w:t>
      </w:r>
      <w:r w:rsidRPr="0022325D">
        <w:rPr>
          <w:lang w:val="en-GB"/>
        </w:rPr>
        <w:t xml:space="preserve">contribution </w:t>
      </w:r>
      <w:r w:rsidR="0085109C" w:rsidRPr="0022325D">
        <w:rPr>
          <w:lang w:val="en-GB"/>
        </w:rPr>
        <w:t xml:space="preserve">of ITU </w:t>
      </w:r>
      <w:r w:rsidRPr="0022325D">
        <w:rPr>
          <w:lang w:val="en-GB"/>
        </w:rPr>
        <w:t>in areas such as climate change, gender equality, AI ethics, telemedicine and tele-education, noting the benefits of collaboration within the U</w:t>
      </w:r>
      <w:r w:rsidR="001D43F8" w:rsidRPr="0022325D">
        <w:rPr>
          <w:lang w:val="en-GB"/>
        </w:rPr>
        <w:t xml:space="preserve">nited </w:t>
      </w:r>
      <w:r w:rsidRPr="0022325D">
        <w:rPr>
          <w:lang w:val="en-GB"/>
        </w:rPr>
        <w:t>N</w:t>
      </w:r>
      <w:r w:rsidR="001D43F8" w:rsidRPr="0022325D">
        <w:rPr>
          <w:lang w:val="en-GB"/>
        </w:rPr>
        <w:t>ations</w:t>
      </w:r>
      <w:r w:rsidR="0052560B" w:rsidRPr="0022325D">
        <w:rPr>
          <w:lang w:val="en-GB"/>
        </w:rPr>
        <w:t xml:space="preserve"> system</w:t>
      </w:r>
      <w:r w:rsidRPr="0022325D">
        <w:rPr>
          <w:lang w:val="en-GB"/>
        </w:rPr>
        <w:t>.</w:t>
      </w:r>
    </w:p>
    <w:p w14:paraId="497F1303" w14:textId="0F714F8A" w:rsidR="00E845A4" w:rsidRPr="0022325D" w:rsidRDefault="00E845A4" w:rsidP="00E845A4">
      <w:pPr>
        <w:rPr>
          <w:rFonts w:asciiTheme="minorHAnsi" w:hAnsiTheme="minorHAnsi" w:cstheme="minorHAnsi"/>
          <w:lang w:val="en-GB"/>
        </w:rPr>
      </w:pPr>
      <w:r w:rsidRPr="0022325D">
        <w:rPr>
          <w:lang w:val="en-GB"/>
        </w:rPr>
        <w:t xml:space="preserve">The Russian Federation recognizes the need to take into account </w:t>
      </w:r>
      <w:r w:rsidR="001D43F8" w:rsidRPr="0022325D">
        <w:rPr>
          <w:lang w:val="en-GB"/>
        </w:rPr>
        <w:t xml:space="preserve">ongoing </w:t>
      </w:r>
      <w:r w:rsidRPr="0022325D">
        <w:rPr>
          <w:lang w:val="en-GB"/>
        </w:rPr>
        <w:t>changes in telecommunication</w:t>
      </w:r>
      <w:r w:rsidR="001560DE" w:rsidRPr="0022325D">
        <w:rPr>
          <w:lang w:val="en-GB"/>
        </w:rPr>
        <w:t>s</w:t>
      </w:r>
      <w:r w:rsidRPr="0022325D">
        <w:rPr>
          <w:lang w:val="en-GB"/>
        </w:rPr>
        <w:t>/</w:t>
      </w:r>
      <w:r w:rsidR="001D43F8" w:rsidRPr="0022325D">
        <w:rPr>
          <w:lang w:val="en-GB"/>
        </w:rPr>
        <w:t>information and communication technologies (ICTs)</w:t>
      </w:r>
      <w:r w:rsidRPr="0022325D">
        <w:rPr>
          <w:lang w:val="en-GB"/>
        </w:rPr>
        <w:t xml:space="preserve">, including digitalization, when identifying new </w:t>
      </w:r>
      <w:r w:rsidR="008F3B04" w:rsidRPr="0022325D">
        <w:rPr>
          <w:lang w:val="en-GB"/>
        </w:rPr>
        <w:t xml:space="preserve">objectives </w:t>
      </w:r>
      <w:r w:rsidRPr="0022325D">
        <w:rPr>
          <w:lang w:val="en-GB"/>
        </w:rPr>
        <w:t xml:space="preserve">for ITU. However, </w:t>
      </w:r>
      <w:r w:rsidR="001D43F8" w:rsidRPr="0022325D">
        <w:rPr>
          <w:lang w:val="en-GB"/>
        </w:rPr>
        <w:t>it remains concerning</w:t>
      </w:r>
      <w:r w:rsidRPr="0022325D">
        <w:rPr>
          <w:lang w:val="en-GB"/>
        </w:rPr>
        <w:t xml:space="preserve"> that </w:t>
      </w:r>
      <w:r w:rsidR="00C40ACC" w:rsidRPr="0022325D">
        <w:rPr>
          <w:lang w:val="en-GB"/>
        </w:rPr>
        <w:t>mission creep</w:t>
      </w:r>
      <w:r w:rsidR="0085109C" w:rsidRPr="0022325D">
        <w:rPr>
          <w:lang w:val="en-GB"/>
        </w:rPr>
        <w:t xml:space="preserve"> into peripheral </w:t>
      </w:r>
      <w:r w:rsidR="005F3055" w:rsidRPr="0022325D">
        <w:rPr>
          <w:lang w:val="en-GB"/>
        </w:rPr>
        <w:t>subject matters</w:t>
      </w:r>
      <w:r w:rsidR="0085109C" w:rsidRPr="0022325D">
        <w:rPr>
          <w:lang w:val="en-GB"/>
        </w:rPr>
        <w:t xml:space="preserve"> </w:t>
      </w:r>
      <w:r w:rsidRPr="0022325D">
        <w:rPr>
          <w:lang w:val="en-GB"/>
        </w:rPr>
        <w:t xml:space="preserve">has resulted in a shortage of resources </w:t>
      </w:r>
      <w:r w:rsidR="0085109C" w:rsidRPr="0022325D">
        <w:rPr>
          <w:lang w:val="en-GB"/>
        </w:rPr>
        <w:t>while</w:t>
      </w:r>
      <w:r w:rsidRPr="0022325D">
        <w:rPr>
          <w:lang w:val="en-GB"/>
        </w:rPr>
        <w:t xml:space="preserve"> core functions</w:t>
      </w:r>
      <w:r w:rsidR="00C40ACC" w:rsidRPr="0022325D">
        <w:rPr>
          <w:lang w:val="en-GB"/>
        </w:rPr>
        <w:t>,</w:t>
      </w:r>
      <w:r w:rsidRPr="0022325D">
        <w:rPr>
          <w:lang w:val="en-GB"/>
        </w:rPr>
        <w:t xml:space="preserve"> such as spectrum coordination and standards development, </w:t>
      </w:r>
      <w:r w:rsidR="005F3055" w:rsidRPr="0022325D">
        <w:rPr>
          <w:lang w:val="en-GB"/>
        </w:rPr>
        <w:t>are in need of</w:t>
      </w:r>
      <w:r w:rsidRPr="0022325D">
        <w:rPr>
          <w:lang w:val="en-GB"/>
        </w:rPr>
        <w:t xml:space="preserve"> </w:t>
      </w:r>
      <w:r w:rsidR="009514AA" w:rsidRPr="0022325D">
        <w:rPr>
          <w:lang w:val="en-GB"/>
        </w:rPr>
        <w:t xml:space="preserve">ongoing </w:t>
      </w:r>
      <w:r w:rsidRPr="0022325D">
        <w:rPr>
          <w:lang w:val="en-GB"/>
        </w:rPr>
        <w:t xml:space="preserve">support to overcome </w:t>
      </w:r>
      <w:r w:rsidR="005F4DC9" w:rsidRPr="0022325D">
        <w:rPr>
          <w:lang w:val="en-GB"/>
        </w:rPr>
        <w:t>accumulated challenges</w:t>
      </w:r>
      <w:r w:rsidR="004B73A7" w:rsidRPr="0022325D">
        <w:rPr>
          <w:rStyle w:val="FootnoteReference"/>
          <w:lang w:val="en-GB"/>
        </w:rPr>
        <w:footnoteReference w:customMarkFollows="1" w:id="1"/>
        <w:t>1</w:t>
      </w:r>
      <w:r w:rsidRPr="0022325D">
        <w:rPr>
          <w:lang w:val="en-GB"/>
        </w:rPr>
        <w:t>.</w:t>
      </w:r>
    </w:p>
    <w:p w14:paraId="2B094769" w14:textId="2F16189B" w:rsidR="00E845A4" w:rsidRPr="0022325D" w:rsidRDefault="00E845A4" w:rsidP="00E845A4">
      <w:pPr>
        <w:pStyle w:val="Heading1"/>
        <w:rPr>
          <w:lang w:val="en-GB"/>
        </w:rPr>
      </w:pPr>
      <w:r w:rsidRPr="0022325D">
        <w:rPr>
          <w:bCs/>
          <w:lang w:val="en-GB"/>
        </w:rPr>
        <w:t>2</w:t>
      </w:r>
      <w:r w:rsidRPr="0022325D">
        <w:rPr>
          <w:lang w:val="en-GB"/>
        </w:rPr>
        <w:tab/>
      </w:r>
      <w:r w:rsidRPr="0022325D">
        <w:rPr>
          <w:bCs/>
          <w:lang w:val="en-GB"/>
        </w:rPr>
        <w:t xml:space="preserve">Reasons for the </w:t>
      </w:r>
      <w:r w:rsidR="005F3055" w:rsidRPr="0022325D">
        <w:rPr>
          <w:bCs/>
          <w:lang w:val="en-GB"/>
        </w:rPr>
        <w:t xml:space="preserve">failure to </w:t>
      </w:r>
      <w:r w:rsidRPr="0022325D">
        <w:rPr>
          <w:bCs/>
          <w:lang w:val="en-GB"/>
        </w:rPr>
        <w:t>allocat</w:t>
      </w:r>
      <w:r w:rsidR="005F3055" w:rsidRPr="0022325D">
        <w:rPr>
          <w:bCs/>
          <w:lang w:val="en-GB"/>
        </w:rPr>
        <w:t>e resources according to actual</w:t>
      </w:r>
      <w:r w:rsidRPr="0022325D">
        <w:rPr>
          <w:bCs/>
          <w:lang w:val="en-GB"/>
        </w:rPr>
        <w:t xml:space="preserve"> needs</w:t>
      </w:r>
    </w:p>
    <w:p w14:paraId="1E056183" w14:textId="32166FD3" w:rsidR="00E845A4" w:rsidRPr="0022325D" w:rsidRDefault="005F4DC9" w:rsidP="00E845A4">
      <w:pPr>
        <w:rPr>
          <w:lang w:val="en-GB"/>
        </w:rPr>
      </w:pPr>
      <w:r w:rsidRPr="0022325D">
        <w:rPr>
          <w:lang w:val="en-GB"/>
        </w:rPr>
        <w:t>N</w:t>
      </w:r>
      <w:r w:rsidR="00E845A4" w:rsidRPr="0022325D">
        <w:rPr>
          <w:lang w:val="en-GB"/>
        </w:rPr>
        <w:t xml:space="preserve">ew resolutions </w:t>
      </w:r>
      <w:r w:rsidR="008B4A9A" w:rsidRPr="0022325D">
        <w:rPr>
          <w:lang w:val="en-GB"/>
        </w:rPr>
        <w:t xml:space="preserve">adopted </w:t>
      </w:r>
      <w:r w:rsidR="00E845A4" w:rsidRPr="0022325D">
        <w:rPr>
          <w:lang w:val="en-GB"/>
        </w:rPr>
        <w:t xml:space="preserve">by </w:t>
      </w:r>
      <w:r w:rsidRPr="0022325D">
        <w:rPr>
          <w:lang w:val="en-GB"/>
        </w:rPr>
        <w:t xml:space="preserve">the Plenipotentiary Conference </w:t>
      </w:r>
      <w:r w:rsidR="00E845A4" w:rsidRPr="0022325D">
        <w:rPr>
          <w:lang w:val="en-GB"/>
        </w:rPr>
        <w:t xml:space="preserve">and </w:t>
      </w:r>
      <w:r w:rsidR="00A14C8C" w:rsidRPr="0022325D">
        <w:rPr>
          <w:lang w:val="en-GB"/>
        </w:rPr>
        <w:t xml:space="preserve">the </w:t>
      </w:r>
      <w:r w:rsidR="00576ADD" w:rsidRPr="0022325D">
        <w:rPr>
          <w:lang w:val="en-GB"/>
        </w:rPr>
        <w:t>ITU</w:t>
      </w:r>
      <w:r w:rsidR="009514AA" w:rsidRPr="0022325D">
        <w:rPr>
          <w:lang w:val="en-GB"/>
        </w:rPr>
        <w:t xml:space="preserve"> Sector</w:t>
      </w:r>
      <w:r w:rsidR="00576ADD" w:rsidRPr="0022325D">
        <w:rPr>
          <w:lang w:val="en-GB"/>
        </w:rPr>
        <w:t xml:space="preserve"> </w:t>
      </w:r>
      <w:r w:rsidR="00E845A4" w:rsidRPr="0022325D">
        <w:rPr>
          <w:lang w:val="en-GB"/>
        </w:rPr>
        <w:t xml:space="preserve">conferences/assemblies </w:t>
      </w:r>
      <w:r w:rsidR="00576ADD" w:rsidRPr="0022325D">
        <w:rPr>
          <w:lang w:val="en-GB"/>
        </w:rPr>
        <w:t>assign</w:t>
      </w:r>
      <w:r w:rsidR="00E845A4" w:rsidRPr="0022325D">
        <w:rPr>
          <w:lang w:val="en-GB"/>
        </w:rPr>
        <w:t xml:space="preserve"> additional </w:t>
      </w:r>
      <w:r w:rsidR="00576ADD" w:rsidRPr="0022325D">
        <w:rPr>
          <w:lang w:val="en-GB"/>
        </w:rPr>
        <w:t xml:space="preserve">objectives to </w:t>
      </w:r>
      <w:r w:rsidR="00E845A4" w:rsidRPr="0022325D">
        <w:rPr>
          <w:lang w:val="en-GB"/>
        </w:rPr>
        <w:t xml:space="preserve">the Union that are not directly related to its purposes as defined in </w:t>
      </w:r>
      <w:r w:rsidRPr="0022325D">
        <w:rPr>
          <w:lang w:val="en-GB"/>
        </w:rPr>
        <w:t>the</w:t>
      </w:r>
      <w:r w:rsidR="00A14C8C" w:rsidRPr="0022325D">
        <w:rPr>
          <w:lang w:val="en-GB"/>
        </w:rPr>
        <w:t xml:space="preserve"> </w:t>
      </w:r>
      <w:r w:rsidR="00E845A4" w:rsidRPr="0022325D">
        <w:rPr>
          <w:lang w:val="en-GB"/>
        </w:rPr>
        <w:t xml:space="preserve">Constitution. </w:t>
      </w:r>
      <w:r w:rsidR="005F3055" w:rsidRPr="0022325D">
        <w:rPr>
          <w:lang w:val="en-GB"/>
        </w:rPr>
        <w:t xml:space="preserve">These resolutions often </w:t>
      </w:r>
      <w:r w:rsidRPr="0022325D">
        <w:rPr>
          <w:lang w:val="en-GB"/>
        </w:rPr>
        <w:t>address</w:t>
      </w:r>
      <w:r w:rsidR="005F3055" w:rsidRPr="0022325D">
        <w:rPr>
          <w:lang w:val="en-GB"/>
        </w:rPr>
        <w:t xml:space="preserve"> </w:t>
      </w:r>
      <w:r w:rsidR="007A4A14" w:rsidRPr="0022325D">
        <w:rPr>
          <w:lang w:val="en-GB"/>
        </w:rPr>
        <w:t>areas where</w:t>
      </w:r>
      <w:r w:rsidR="005F3055" w:rsidRPr="0022325D">
        <w:rPr>
          <w:lang w:val="en-GB"/>
        </w:rPr>
        <w:t xml:space="preserve"> ICTs serve as tools </w:t>
      </w:r>
      <w:r w:rsidR="007A4A14" w:rsidRPr="0022325D">
        <w:rPr>
          <w:lang w:val="en-GB"/>
        </w:rPr>
        <w:t xml:space="preserve">but </w:t>
      </w:r>
      <w:r w:rsidR="00E03B6D" w:rsidRPr="0022325D">
        <w:rPr>
          <w:lang w:val="en-GB"/>
        </w:rPr>
        <w:t xml:space="preserve">general </w:t>
      </w:r>
      <w:r w:rsidR="00FE5284" w:rsidRPr="0022325D">
        <w:rPr>
          <w:lang w:val="en-GB"/>
        </w:rPr>
        <w:t>polic</w:t>
      </w:r>
      <w:r w:rsidR="00A31C25" w:rsidRPr="0022325D">
        <w:rPr>
          <w:lang w:val="en-GB"/>
        </w:rPr>
        <w:t xml:space="preserve">y issues </w:t>
      </w:r>
      <w:r w:rsidR="00A14C8C" w:rsidRPr="0022325D">
        <w:rPr>
          <w:lang w:val="en-GB"/>
        </w:rPr>
        <w:t xml:space="preserve">fall </w:t>
      </w:r>
      <w:r w:rsidR="007A4A14" w:rsidRPr="0022325D">
        <w:rPr>
          <w:lang w:val="en-GB"/>
        </w:rPr>
        <w:t xml:space="preserve">under </w:t>
      </w:r>
      <w:r w:rsidR="005F3055" w:rsidRPr="0022325D">
        <w:rPr>
          <w:lang w:val="en-GB"/>
        </w:rPr>
        <w:t xml:space="preserve">the purview of other </w:t>
      </w:r>
      <w:r w:rsidR="007A4A14" w:rsidRPr="0022325D">
        <w:rPr>
          <w:lang w:val="en-GB"/>
        </w:rPr>
        <w:t xml:space="preserve">United Nations </w:t>
      </w:r>
      <w:r w:rsidR="005F3055" w:rsidRPr="0022325D">
        <w:rPr>
          <w:lang w:val="en-GB"/>
        </w:rPr>
        <w:t xml:space="preserve">agencies. </w:t>
      </w:r>
      <w:r w:rsidR="00E845A4" w:rsidRPr="0022325D">
        <w:rPr>
          <w:lang w:val="en-GB"/>
        </w:rPr>
        <w:t>By default, all resolutions</w:t>
      </w:r>
      <w:r w:rsidR="005F3055" w:rsidRPr="0022325D">
        <w:rPr>
          <w:lang w:val="en-GB"/>
        </w:rPr>
        <w:t xml:space="preserve"> carry equal </w:t>
      </w:r>
      <w:r w:rsidR="00E845A4" w:rsidRPr="0022325D">
        <w:rPr>
          <w:lang w:val="en-GB"/>
        </w:rPr>
        <w:t>status.</w:t>
      </w:r>
    </w:p>
    <w:p w14:paraId="4F7A9450" w14:textId="49766922" w:rsidR="00E845A4" w:rsidRPr="0022325D" w:rsidRDefault="00E845A4" w:rsidP="0054670F">
      <w:pPr>
        <w:keepNext/>
        <w:rPr>
          <w:lang w:val="en-GB"/>
        </w:rPr>
      </w:pPr>
      <w:r w:rsidRPr="0022325D">
        <w:rPr>
          <w:lang w:val="en-GB"/>
        </w:rPr>
        <w:t xml:space="preserve">The Russian Federation affirms that </w:t>
      </w:r>
      <w:r w:rsidR="00A31BE2" w:rsidRPr="0022325D">
        <w:rPr>
          <w:lang w:val="en-GB"/>
        </w:rPr>
        <w:t xml:space="preserve">the unique role of </w:t>
      </w:r>
      <w:r w:rsidRPr="0022325D">
        <w:rPr>
          <w:lang w:val="en-GB"/>
        </w:rPr>
        <w:t xml:space="preserve">ITU, </w:t>
      </w:r>
      <w:r w:rsidR="00A31BE2" w:rsidRPr="0022325D">
        <w:rPr>
          <w:lang w:val="en-GB"/>
        </w:rPr>
        <w:t xml:space="preserve">as </w:t>
      </w:r>
      <w:r w:rsidR="00576ADD" w:rsidRPr="0022325D">
        <w:rPr>
          <w:lang w:val="en-GB"/>
        </w:rPr>
        <w:t xml:space="preserve">enshrined in </w:t>
      </w:r>
      <w:r w:rsidRPr="0022325D">
        <w:rPr>
          <w:lang w:val="en-GB"/>
        </w:rPr>
        <w:t xml:space="preserve">Article 1 of the Constitution, should </w:t>
      </w:r>
      <w:r w:rsidR="00A31BE2" w:rsidRPr="0022325D">
        <w:rPr>
          <w:lang w:val="en-GB"/>
        </w:rPr>
        <w:t xml:space="preserve">be </w:t>
      </w:r>
      <w:r w:rsidRPr="0022325D">
        <w:rPr>
          <w:lang w:val="en-GB"/>
        </w:rPr>
        <w:t>focus</w:t>
      </w:r>
      <w:r w:rsidR="00A31BE2" w:rsidRPr="0022325D">
        <w:rPr>
          <w:lang w:val="en-GB"/>
        </w:rPr>
        <w:t>ed</w:t>
      </w:r>
      <w:r w:rsidRPr="0022325D">
        <w:rPr>
          <w:lang w:val="en-GB"/>
        </w:rPr>
        <w:t xml:space="preserve"> on:</w:t>
      </w:r>
    </w:p>
    <w:p w14:paraId="2C98A3F8" w14:textId="5A1DD3DF" w:rsidR="00E845A4" w:rsidRPr="0022325D" w:rsidRDefault="004B73A7" w:rsidP="004B73A7">
      <w:pPr>
        <w:pStyle w:val="enumlev1"/>
        <w:rPr>
          <w:lang w:val="en-GB"/>
        </w:rPr>
      </w:pPr>
      <w:r w:rsidRPr="0022325D">
        <w:rPr>
          <w:rFonts w:cs="Calibri"/>
          <w:lang w:val="en-GB"/>
        </w:rPr>
        <w:t>–</w:t>
      </w:r>
      <w:r w:rsidRPr="0022325D">
        <w:rPr>
          <w:lang w:val="en-GB"/>
        </w:rPr>
        <w:tab/>
      </w:r>
      <w:r w:rsidR="00657E79" w:rsidRPr="0022325D">
        <w:rPr>
          <w:lang w:val="en-GB"/>
        </w:rPr>
        <w:t xml:space="preserve">the </w:t>
      </w:r>
      <w:r w:rsidR="00E845A4" w:rsidRPr="0022325D">
        <w:rPr>
          <w:lang w:val="en-GB"/>
        </w:rPr>
        <w:t>allocation of the radio-frequency spectrum, the allotment of radio frequencies and the</w:t>
      </w:r>
      <w:r w:rsidR="00657E79" w:rsidRPr="0022325D">
        <w:rPr>
          <w:lang w:val="en-GB"/>
        </w:rPr>
        <w:t xml:space="preserve"> </w:t>
      </w:r>
      <w:r w:rsidR="00E845A4" w:rsidRPr="0022325D">
        <w:rPr>
          <w:lang w:val="en-GB"/>
        </w:rPr>
        <w:t xml:space="preserve">recording of radio-frequency assignments </w:t>
      </w:r>
      <w:r w:rsidR="00657E79" w:rsidRPr="0022325D">
        <w:rPr>
          <w:lang w:val="en-GB"/>
        </w:rPr>
        <w:t xml:space="preserve">and, for space services, of </w:t>
      </w:r>
      <w:r w:rsidR="00A31BE2" w:rsidRPr="0022325D">
        <w:rPr>
          <w:lang w:val="en-GB"/>
        </w:rPr>
        <w:t xml:space="preserve">the </w:t>
      </w:r>
      <w:r w:rsidR="00657E79" w:rsidRPr="0022325D">
        <w:rPr>
          <w:lang w:val="en-GB"/>
        </w:rPr>
        <w:t xml:space="preserve">associated orbital position </w:t>
      </w:r>
      <w:r w:rsidR="009514AA" w:rsidRPr="0022325D">
        <w:rPr>
          <w:lang w:val="en-GB"/>
        </w:rPr>
        <w:t>of</w:t>
      </w:r>
      <w:r w:rsidR="00657E79" w:rsidRPr="0022325D">
        <w:rPr>
          <w:lang w:val="en-GB"/>
        </w:rPr>
        <w:t xml:space="preserve"> geostationary satellite</w:t>
      </w:r>
      <w:r w:rsidR="009514AA" w:rsidRPr="0022325D">
        <w:rPr>
          <w:lang w:val="en-GB"/>
        </w:rPr>
        <w:t>s</w:t>
      </w:r>
      <w:r w:rsidR="00657E79" w:rsidRPr="0022325D">
        <w:rPr>
          <w:lang w:val="en-GB"/>
        </w:rPr>
        <w:t xml:space="preserve"> or associated characteristics of satellites in other orbits</w:t>
      </w:r>
      <w:r w:rsidR="00E845A4" w:rsidRPr="0022325D">
        <w:rPr>
          <w:lang w:val="en-GB"/>
        </w:rPr>
        <w:t>;</w:t>
      </w:r>
    </w:p>
    <w:p w14:paraId="76D731F0" w14:textId="53966865" w:rsidR="00E845A4" w:rsidRPr="0022325D" w:rsidRDefault="004B73A7" w:rsidP="004B73A7">
      <w:pPr>
        <w:pStyle w:val="enumlev1"/>
        <w:rPr>
          <w:lang w:val="en-GB"/>
        </w:rPr>
      </w:pPr>
      <w:r w:rsidRPr="0022325D">
        <w:rPr>
          <w:rFonts w:cs="Calibri"/>
          <w:lang w:val="en-GB"/>
        </w:rPr>
        <w:t>–</w:t>
      </w:r>
      <w:r w:rsidRPr="0022325D">
        <w:rPr>
          <w:lang w:val="en-GB"/>
        </w:rPr>
        <w:tab/>
      </w:r>
      <w:r w:rsidR="00E845A4" w:rsidRPr="0022325D">
        <w:rPr>
          <w:lang w:val="en-GB"/>
        </w:rPr>
        <w:t>the standardization of telecommunication</w:t>
      </w:r>
      <w:r w:rsidR="00E03B6D" w:rsidRPr="0022325D">
        <w:rPr>
          <w:lang w:val="en-GB"/>
        </w:rPr>
        <w:t>s</w:t>
      </w:r>
      <w:r w:rsidR="00E845A4" w:rsidRPr="0022325D">
        <w:rPr>
          <w:lang w:val="en-GB"/>
        </w:rPr>
        <w:t>/</w:t>
      </w:r>
      <w:r w:rsidR="00A31C25" w:rsidRPr="0022325D">
        <w:rPr>
          <w:lang w:val="en-GB"/>
        </w:rPr>
        <w:t>ICT</w:t>
      </w:r>
      <w:r w:rsidR="00A31BE2" w:rsidRPr="0022325D">
        <w:rPr>
          <w:lang w:val="en-GB"/>
        </w:rPr>
        <w:t>s</w:t>
      </w:r>
      <w:r w:rsidR="00657E79" w:rsidRPr="0022325D">
        <w:rPr>
          <w:lang w:val="en-GB"/>
        </w:rPr>
        <w:t xml:space="preserve"> on a worldwide basis;</w:t>
      </w:r>
    </w:p>
    <w:p w14:paraId="38A3C404" w14:textId="14FB6F88" w:rsidR="00E845A4" w:rsidRPr="0022325D" w:rsidRDefault="004B73A7" w:rsidP="004B73A7">
      <w:pPr>
        <w:pStyle w:val="enumlev1"/>
        <w:rPr>
          <w:lang w:val="en-GB"/>
        </w:rPr>
      </w:pPr>
      <w:r w:rsidRPr="0022325D">
        <w:rPr>
          <w:rFonts w:cs="Calibri"/>
          <w:lang w:val="en-GB"/>
        </w:rPr>
        <w:t>–</w:t>
      </w:r>
      <w:r w:rsidRPr="0022325D">
        <w:rPr>
          <w:lang w:val="en-GB"/>
        </w:rPr>
        <w:tab/>
      </w:r>
      <w:r w:rsidR="00657E79" w:rsidRPr="0022325D">
        <w:rPr>
          <w:lang w:val="en-GB"/>
        </w:rPr>
        <w:t xml:space="preserve">the </w:t>
      </w:r>
      <w:r w:rsidR="00E845A4" w:rsidRPr="0022325D">
        <w:rPr>
          <w:lang w:val="en-GB"/>
        </w:rPr>
        <w:t xml:space="preserve">allocation of </w:t>
      </w:r>
      <w:r w:rsidR="00576ADD" w:rsidRPr="0022325D">
        <w:rPr>
          <w:lang w:val="en-GB"/>
        </w:rPr>
        <w:t>numbering, naming, addressing and identification (</w:t>
      </w:r>
      <w:r w:rsidR="00E845A4" w:rsidRPr="0022325D">
        <w:rPr>
          <w:lang w:val="en-GB"/>
        </w:rPr>
        <w:t>NNAI</w:t>
      </w:r>
      <w:r w:rsidR="00576ADD" w:rsidRPr="0022325D">
        <w:rPr>
          <w:lang w:val="en-GB"/>
        </w:rPr>
        <w:t>)</w:t>
      </w:r>
      <w:r w:rsidR="00E845A4" w:rsidRPr="0022325D">
        <w:rPr>
          <w:lang w:val="en-GB"/>
        </w:rPr>
        <w:t xml:space="preserve"> resources;</w:t>
      </w:r>
    </w:p>
    <w:p w14:paraId="7DA3A2CB" w14:textId="6D1C566C" w:rsidR="00E845A4" w:rsidRPr="0022325D" w:rsidRDefault="004B73A7" w:rsidP="004B73A7">
      <w:pPr>
        <w:pStyle w:val="enumlev1"/>
        <w:rPr>
          <w:lang w:val="en-GB"/>
        </w:rPr>
      </w:pPr>
      <w:r w:rsidRPr="0022325D">
        <w:rPr>
          <w:rFonts w:cs="Calibri"/>
          <w:lang w:val="en-GB"/>
        </w:rPr>
        <w:lastRenderedPageBreak/>
        <w:t>–</w:t>
      </w:r>
      <w:r w:rsidRPr="0022325D">
        <w:rPr>
          <w:lang w:val="en-GB"/>
        </w:rPr>
        <w:tab/>
      </w:r>
      <w:r w:rsidR="00E845A4" w:rsidRPr="0022325D">
        <w:rPr>
          <w:lang w:val="en-GB"/>
        </w:rPr>
        <w:t>technical assistance for developing countries;</w:t>
      </w:r>
    </w:p>
    <w:p w14:paraId="09A941AE" w14:textId="2D62511D" w:rsidR="00E845A4" w:rsidRPr="0022325D" w:rsidRDefault="004B73A7" w:rsidP="004B73A7">
      <w:pPr>
        <w:pStyle w:val="enumlev1"/>
        <w:rPr>
          <w:lang w:val="en-GB"/>
        </w:rPr>
      </w:pPr>
      <w:r w:rsidRPr="0022325D">
        <w:rPr>
          <w:rFonts w:cs="Calibri"/>
          <w:lang w:val="en-GB"/>
        </w:rPr>
        <w:t>–</w:t>
      </w:r>
      <w:r w:rsidRPr="0022325D">
        <w:rPr>
          <w:lang w:val="en-GB"/>
        </w:rPr>
        <w:tab/>
      </w:r>
      <w:r w:rsidR="00657E79" w:rsidRPr="0022325D">
        <w:rPr>
          <w:lang w:val="en-GB"/>
        </w:rPr>
        <w:t xml:space="preserve">the </w:t>
      </w:r>
      <w:r w:rsidR="00E845A4" w:rsidRPr="0022325D">
        <w:rPr>
          <w:lang w:val="en-GB"/>
        </w:rPr>
        <w:t>creation of an enabling regulatory environment for ICT development;</w:t>
      </w:r>
    </w:p>
    <w:p w14:paraId="3D497479" w14:textId="36E15FEC" w:rsidR="00E845A4" w:rsidRPr="0022325D" w:rsidRDefault="004B73A7" w:rsidP="004B73A7">
      <w:pPr>
        <w:pStyle w:val="enumlev1"/>
        <w:rPr>
          <w:lang w:val="en-GB"/>
        </w:rPr>
      </w:pPr>
      <w:r w:rsidRPr="0022325D">
        <w:rPr>
          <w:rFonts w:cs="Calibri"/>
          <w:lang w:val="en-GB"/>
        </w:rPr>
        <w:t>–</w:t>
      </w:r>
      <w:r w:rsidRPr="0022325D">
        <w:rPr>
          <w:lang w:val="en-GB"/>
        </w:rPr>
        <w:tab/>
      </w:r>
      <w:r w:rsidR="00E845A4" w:rsidRPr="0022325D">
        <w:rPr>
          <w:lang w:val="en-GB"/>
        </w:rPr>
        <w:t>promotion of the extension of the benefits of new technologies to all;</w:t>
      </w:r>
      <w:r w:rsidR="00E03B6D" w:rsidRPr="0022325D">
        <w:rPr>
          <w:lang w:val="en-GB"/>
        </w:rPr>
        <w:t xml:space="preserve"> and</w:t>
      </w:r>
    </w:p>
    <w:p w14:paraId="46060BA4" w14:textId="27E39036" w:rsidR="00E845A4" w:rsidRPr="0022325D" w:rsidRDefault="004B73A7" w:rsidP="004B73A7">
      <w:pPr>
        <w:pStyle w:val="enumlev1"/>
        <w:rPr>
          <w:lang w:val="en-GB"/>
        </w:rPr>
      </w:pPr>
      <w:r w:rsidRPr="0022325D">
        <w:rPr>
          <w:rFonts w:cs="Calibri"/>
          <w:lang w:val="en-GB"/>
        </w:rPr>
        <w:t>–</w:t>
      </w:r>
      <w:r w:rsidRPr="0022325D">
        <w:rPr>
          <w:lang w:val="en-GB"/>
        </w:rPr>
        <w:tab/>
      </w:r>
      <w:r w:rsidR="00E845A4" w:rsidRPr="0022325D">
        <w:rPr>
          <w:lang w:val="en-GB"/>
        </w:rPr>
        <w:t>coordination among Member States.</w:t>
      </w:r>
    </w:p>
    <w:p w14:paraId="70F96991" w14:textId="1F0C7E28" w:rsidR="00E845A4" w:rsidRPr="0022325D" w:rsidRDefault="00E845A4" w:rsidP="0054670F">
      <w:pPr>
        <w:rPr>
          <w:lang w:val="en-GB"/>
        </w:rPr>
      </w:pPr>
      <w:r w:rsidRPr="0022325D">
        <w:rPr>
          <w:lang w:val="en-GB"/>
        </w:rPr>
        <w:t>The purposes of the Union are established in the ITU Administrative Regulations (Radio Regulations and International Telecommunication Regulations), which are binding international treaties.</w:t>
      </w:r>
    </w:p>
    <w:p w14:paraId="2B53DB75" w14:textId="503DE0A7" w:rsidR="00E845A4" w:rsidRPr="0022325D" w:rsidRDefault="00593B3D" w:rsidP="00593B3D">
      <w:pPr>
        <w:pStyle w:val="Heading1"/>
        <w:rPr>
          <w:lang w:val="en-GB"/>
        </w:rPr>
      </w:pPr>
      <w:r w:rsidRPr="0022325D">
        <w:rPr>
          <w:bCs/>
          <w:lang w:val="en-GB"/>
        </w:rPr>
        <w:t>3</w:t>
      </w:r>
      <w:r w:rsidRPr="0022325D">
        <w:rPr>
          <w:lang w:val="en-GB"/>
        </w:rPr>
        <w:tab/>
      </w:r>
      <w:r w:rsidRPr="0022325D">
        <w:rPr>
          <w:bCs/>
          <w:lang w:val="en-GB"/>
        </w:rPr>
        <w:t>Proposed implementation mechanism</w:t>
      </w:r>
    </w:p>
    <w:p w14:paraId="4B16F40A" w14:textId="534A9FAC" w:rsidR="00E845A4" w:rsidRPr="0022325D" w:rsidRDefault="00E845A4" w:rsidP="00593B3D">
      <w:pPr>
        <w:rPr>
          <w:lang w:val="en-GB"/>
        </w:rPr>
      </w:pPr>
      <w:r w:rsidRPr="0022325D">
        <w:rPr>
          <w:b/>
          <w:bCs/>
          <w:lang w:val="en-GB"/>
        </w:rPr>
        <w:t>Phase 1</w:t>
      </w:r>
      <w:r w:rsidRPr="0022325D">
        <w:rPr>
          <w:lang w:val="en-GB"/>
        </w:rPr>
        <w:t>: Pilot review (</w:t>
      </w:r>
      <w:r w:rsidR="008F3B04" w:rsidRPr="0022325D">
        <w:rPr>
          <w:lang w:val="en-GB"/>
        </w:rPr>
        <w:t>m</w:t>
      </w:r>
      <w:r w:rsidRPr="0022325D">
        <w:rPr>
          <w:lang w:val="en-GB"/>
        </w:rPr>
        <w:t>onths 0-6)</w:t>
      </w:r>
    </w:p>
    <w:p w14:paraId="4A9D09FC" w14:textId="4F44A3D5" w:rsidR="00E845A4" w:rsidRPr="0022325D" w:rsidRDefault="00E845A4" w:rsidP="00593B3D">
      <w:pPr>
        <w:rPr>
          <w:lang w:val="en-GB"/>
        </w:rPr>
      </w:pPr>
      <w:r w:rsidRPr="0022325D">
        <w:rPr>
          <w:lang w:val="en-GB"/>
        </w:rPr>
        <w:t xml:space="preserve">It is proposed that </w:t>
      </w:r>
      <w:r w:rsidR="00A31BE2" w:rsidRPr="0022325D">
        <w:rPr>
          <w:lang w:val="en-GB"/>
        </w:rPr>
        <w:t xml:space="preserve">the 2026 </w:t>
      </w:r>
      <w:r w:rsidRPr="0022325D">
        <w:rPr>
          <w:lang w:val="en-GB"/>
        </w:rPr>
        <w:t>P</w:t>
      </w:r>
      <w:r w:rsidR="00A31BE2" w:rsidRPr="0022325D">
        <w:rPr>
          <w:lang w:val="en-GB"/>
        </w:rPr>
        <w:t>lenipotentiary Conference</w:t>
      </w:r>
      <w:r w:rsidRPr="0022325D">
        <w:rPr>
          <w:lang w:val="en-GB"/>
        </w:rPr>
        <w:t xml:space="preserve"> establish a</w:t>
      </w:r>
      <w:r w:rsidR="00BF630F" w:rsidRPr="0022325D">
        <w:rPr>
          <w:lang w:val="en-GB"/>
        </w:rPr>
        <w:t>n interim</w:t>
      </w:r>
      <w:r w:rsidRPr="0022325D">
        <w:rPr>
          <w:lang w:val="en-GB"/>
        </w:rPr>
        <w:t xml:space="preserve"> high-level expert working group to </w:t>
      </w:r>
      <w:r w:rsidR="007D3797" w:rsidRPr="0022325D">
        <w:rPr>
          <w:lang w:val="en-GB"/>
        </w:rPr>
        <w:t>define how</w:t>
      </w:r>
      <w:r w:rsidRPr="0022325D">
        <w:rPr>
          <w:lang w:val="en-GB"/>
        </w:rPr>
        <w:t xml:space="preserve"> resources </w:t>
      </w:r>
      <w:r w:rsidR="007D3797" w:rsidRPr="0022325D">
        <w:rPr>
          <w:lang w:val="en-GB"/>
        </w:rPr>
        <w:t xml:space="preserve">should be allocated </w:t>
      </w:r>
      <w:r w:rsidR="00CF1BEF" w:rsidRPr="0022325D">
        <w:rPr>
          <w:lang w:val="en-GB"/>
        </w:rPr>
        <w:t xml:space="preserve">in accordance with </w:t>
      </w:r>
      <w:r w:rsidRPr="0022325D">
        <w:rPr>
          <w:lang w:val="en-GB"/>
        </w:rPr>
        <w:t>the purposes of the Union, composed of:</w:t>
      </w:r>
    </w:p>
    <w:p w14:paraId="0594E709" w14:textId="29301B38" w:rsidR="00E845A4" w:rsidRPr="0022325D" w:rsidRDefault="00E845A4" w:rsidP="00593B3D">
      <w:pPr>
        <w:pStyle w:val="enumlev1"/>
        <w:rPr>
          <w:lang w:val="en-GB"/>
        </w:rPr>
      </w:pPr>
      <w:r w:rsidRPr="0022325D">
        <w:rPr>
          <w:lang w:val="en-GB"/>
        </w:rPr>
        <w:t xml:space="preserve">– </w:t>
      </w:r>
      <w:r w:rsidRPr="0022325D">
        <w:rPr>
          <w:lang w:val="en-GB"/>
        </w:rPr>
        <w:tab/>
      </w:r>
      <w:r w:rsidR="008F3B04" w:rsidRPr="0022325D">
        <w:rPr>
          <w:lang w:val="en-GB"/>
        </w:rPr>
        <w:t xml:space="preserve">representatives from </w:t>
      </w:r>
      <w:r w:rsidR="00576ADD" w:rsidRPr="0022325D">
        <w:rPr>
          <w:lang w:val="en-GB"/>
        </w:rPr>
        <w:t xml:space="preserve">12 </w:t>
      </w:r>
      <w:r w:rsidRPr="0022325D">
        <w:rPr>
          <w:lang w:val="en-GB"/>
        </w:rPr>
        <w:t>Member States (</w:t>
      </w:r>
      <w:r w:rsidR="009514AA" w:rsidRPr="0022325D">
        <w:rPr>
          <w:lang w:val="en-GB"/>
        </w:rPr>
        <w:t>with</w:t>
      </w:r>
      <w:r w:rsidRPr="0022325D">
        <w:rPr>
          <w:lang w:val="en-GB"/>
        </w:rPr>
        <w:t xml:space="preserve"> equal geographical </w:t>
      </w:r>
      <w:r w:rsidR="009514AA" w:rsidRPr="0022325D">
        <w:rPr>
          <w:lang w:val="en-GB"/>
        </w:rPr>
        <w:t>distribution</w:t>
      </w:r>
      <w:r w:rsidRPr="0022325D">
        <w:rPr>
          <w:lang w:val="en-GB"/>
        </w:rPr>
        <w:t>);</w:t>
      </w:r>
    </w:p>
    <w:p w14:paraId="3C6FF99E" w14:textId="08592A2F" w:rsidR="00E845A4" w:rsidRPr="0022325D" w:rsidRDefault="00E845A4" w:rsidP="00593B3D">
      <w:pPr>
        <w:pStyle w:val="enumlev1"/>
        <w:rPr>
          <w:lang w:val="en-GB"/>
        </w:rPr>
      </w:pPr>
      <w:r w:rsidRPr="0022325D">
        <w:rPr>
          <w:lang w:val="en-GB"/>
        </w:rPr>
        <w:t xml:space="preserve">– </w:t>
      </w:r>
      <w:r w:rsidRPr="0022325D">
        <w:rPr>
          <w:lang w:val="en-GB"/>
        </w:rPr>
        <w:tab/>
      </w:r>
      <w:r w:rsidR="008F3B04" w:rsidRPr="0022325D">
        <w:rPr>
          <w:lang w:val="en-GB"/>
        </w:rPr>
        <w:t xml:space="preserve">representatives from </w:t>
      </w:r>
      <w:r w:rsidR="00576ADD" w:rsidRPr="0022325D">
        <w:rPr>
          <w:lang w:val="en-GB"/>
        </w:rPr>
        <w:t xml:space="preserve">three </w:t>
      </w:r>
      <w:r w:rsidRPr="0022325D">
        <w:rPr>
          <w:lang w:val="en-GB"/>
        </w:rPr>
        <w:t>Sector Members (private companies, one per Sector);</w:t>
      </w:r>
    </w:p>
    <w:p w14:paraId="2EC808D4" w14:textId="3591040B" w:rsidR="00E845A4" w:rsidRPr="0022325D" w:rsidRDefault="00E845A4" w:rsidP="00593B3D">
      <w:pPr>
        <w:pStyle w:val="enumlev1"/>
        <w:rPr>
          <w:lang w:val="en-GB"/>
        </w:rPr>
      </w:pPr>
      <w:r w:rsidRPr="0022325D">
        <w:rPr>
          <w:lang w:val="en-GB"/>
        </w:rPr>
        <w:t xml:space="preserve">– </w:t>
      </w:r>
      <w:r w:rsidRPr="0022325D">
        <w:rPr>
          <w:lang w:val="en-GB"/>
        </w:rPr>
        <w:tab/>
        <w:t xml:space="preserve">one representative from the Joint Inspection Unit of the United Nations system (JIU); </w:t>
      </w:r>
    </w:p>
    <w:p w14:paraId="4B076C1B" w14:textId="285978FA" w:rsidR="00E845A4" w:rsidRPr="0022325D" w:rsidRDefault="00E845A4" w:rsidP="00593B3D">
      <w:pPr>
        <w:pStyle w:val="enumlev1"/>
        <w:rPr>
          <w:lang w:val="en-GB"/>
        </w:rPr>
      </w:pPr>
      <w:r w:rsidRPr="0022325D">
        <w:rPr>
          <w:lang w:val="en-GB"/>
        </w:rPr>
        <w:t xml:space="preserve">– </w:t>
      </w:r>
      <w:r w:rsidRPr="0022325D">
        <w:rPr>
          <w:lang w:val="en-GB"/>
        </w:rPr>
        <w:tab/>
        <w:t>an executive secretary from the ITU General Secretariat.</w:t>
      </w:r>
    </w:p>
    <w:p w14:paraId="76CB1F66" w14:textId="1020EF0D" w:rsidR="00E845A4" w:rsidRPr="0022325D" w:rsidRDefault="00E845A4" w:rsidP="00593B3D">
      <w:pPr>
        <w:rPr>
          <w:lang w:val="en-GB"/>
        </w:rPr>
      </w:pPr>
      <w:r w:rsidRPr="0022325D">
        <w:rPr>
          <w:lang w:val="en-GB"/>
        </w:rPr>
        <w:t xml:space="preserve">The terms of reference of the </w:t>
      </w:r>
      <w:r w:rsidR="0029538B" w:rsidRPr="0022325D">
        <w:rPr>
          <w:lang w:val="en-GB"/>
        </w:rPr>
        <w:t xml:space="preserve">steering group </w:t>
      </w:r>
      <w:r w:rsidRPr="0022325D">
        <w:rPr>
          <w:lang w:val="en-GB"/>
        </w:rPr>
        <w:t>(</w:t>
      </w:r>
      <w:r w:rsidR="0029538B" w:rsidRPr="0022325D">
        <w:rPr>
          <w:lang w:val="en-GB"/>
        </w:rPr>
        <w:t>high-level expert group</w:t>
      </w:r>
      <w:r w:rsidRPr="0022325D">
        <w:rPr>
          <w:lang w:val="en-GB"/>
        </w:rPr>
        <w:t>)</w:t>
      </w:r>
      <w:r w:rsidR="0029538B" w:rsidRPr="0022325D">
        <w:rPr>
          <w:lang w:val="en-GB"/>
        </w:rPr>
        <w:t xml:space="preserve"> would include</w:t>
      </w:r>
      <w:r w:rsidRPr="0022325D">
        <w:rPr>
          <w:lang w:val="en-GB"/>
        </w:rPr>
        <w:t>:</w:t>
      </w:r>
    </w:p>
    <w:p w14:paraId="698072DB" w14:textId="5E7CD64D" w:rsidR="00E845A4" w:rsidRPr="0022325D" w:rsidRDefault="00E845A4" w:rsidP="00593B3D">
      <w:pPr>
        <w:pStyle w:val="enumlev1"/>
        <w:rPr>
          <w:lang w:val="en-GB"/>
        </w:rPr>
      </w:pPr>
      <w:r w:rsidRPr="0022325D">
        <w:rPr>
          <w:lang w:val="en-GB"/>
        </w:rPr>
        <w:t xml:space="preserve">– </w:t>
      </w:r>
      <w:r w:rsidRPr="0022325D">
        <w:rPr>
          <w:lang w:val="en-GB"/>
        </w:rPr>
        <w:tab/>
        <w:t>the development of a standardized assessment methodology based on Annex 1</w:t>
      </w:r>
      <w:r w:rsidR="001560DE" w:rsidRPr="0022325D">
        <w:rPr>
          <w:lang w:val="en-GB"/>
        </w:rPr>
        <w:t xml:space="preserve"> hereto</w:t>
      </w:r>
      <w:r w:rsidRPr="0022325D">
        <w:rPr>
          <w:lang w:val="en-GB"/>
        </w:rPr>
        <w:t xml:space="preserve">; </w:t>
      </w:r>
    </w:p>
    <w:p w14:paraId="7FC31D7C" w14:textId="77777777" w:rsidR="00E845A4" w:rsidRPr="0022325D" w:rsidRDefault="00E845A4" w:rsidP="00593B3D">
      <w:pPr>
        <w:pStyle w:val="enumlev1"/>
        <w:rPr>
          <w:lang w:val="en-GB"/>
        </w:rPr>
      </w:pPr>
      <w:r w:rsidRPr="0022325D">
        <w:rPr>
          <w:lang w:val="en-GB"/>
        </w:rPr>
        <w:t xml:space="preserve">– </w:t>
      </w:r>
      <w:r w:rsidRPr="0022325D">
        <w:rPr>
          <w:lang w:val="en-GB"/>
        </w:rPr>
        <w:tab/>
        <w:t>the selection of three to five representative ITU objectives for the pilot review;</w:t>
      </w:r>
    </w:p>
    <w:p w14:paraId="7B4F2DC2" w14:textId="2EF6231E" w:rsidR="00E845A4" w:rsidRPr="0022325D" w:rsidRDefault="00E845A4" w:rsidP="00593B3D">
      <w:pPr>
        <w:pStyle w:val="enumlev1"/>
        <w:rPr>
          <w:lang w:val="en-GB"/>
        </w:rPr>
      </w:pPr>
      <w:r w:rsidRPr="0022325D">
        <w:rPr>
          <w:lang w:val="en-GB"/>
        </w:rPr>
        <w:t xml:space="preserve">– </w:t>
      </w:r>
      <w:r w:rsidRPr="0022325D">
        <w:rPr>
          <w:lang w:val="en-GB"/>
        </w:rPr>
        <w:tab/>
        <w:t xml:space="preserve">the </w:t>
      </w:r>
      <w:r w:rsidR="00BF630F" w:rsidRPr="0022325D">
        <w:rPr>
          <w:lang w:val="en-GB"/>
        </w:rPr>
        <w:t xml:space="preserve">submission </w:t>
      </w:r>
      <w:r w:rsidRPr="0022325D">
        <w:rPr>
          <w:lang w:val="en-GB"/>
        </w:rPr>
        <w:t xml:space="preserve">of a report </w:t>
      </w:r>
      <w:r w:rsidR="008F3B04" w:rsidRPr="0022325D">
        <w:rPr>
          <w:lang w:val="en-GB"/>
        </w:rPr>
        <w:t xml:space="preserve">on methodology recommendations </w:t>
      </w:r>
      <w:r w:rsidRPr="0022325D">
        <w:rPr>
          <w:lang w:val="en-GB"/>
        </w:rPr>
        <w:t xml:space="preserve">to </w:t>
      </w:r>
      <w:r w:rsidR="00BF630F" w:rsidRPr="0022325D">
        <w:rPr>
          <w:lang w:val="en-GB"/>
        </w:rPr>
        <w:t xml:space="preserve">the 2027 session of the </w:t>
      </w:r>
      <w:r w:rsidRPr="0022325D">
        <w:rPr>
          <w:lang w:val="en-GB"/>
        </w:rPr>
        <w:t>Council</w:t>
      </w:r>
      <w:r w:rsidR="00BF630F" w:rsidRPr="0022325D">
        <w:rPr>
          <w:lang w:val="en-GB"/>
        </w:rPr>
        <w:t xml:space="preserve"> (Council-27)</w:t>
      </w:r>
      <w:r w:rsidRPr="0022325D">
        <w:rPr>
          <w:lang w:val="en-GB"/>
        </w:rPr>
        <w:t>.</w:t>
      </w:r>
    </w:p>
    <w:p w14:paraId="279B544E" w14:textId="1633AD1B" w:rsidR="00E845A4" w:rsidRPr="0022325D" w:rsidRDefault="00E845A4" w:rsidP="00593B3D">
      <w:pPr>
        <w:rPr>
          <w:lang w:val="en-GB"/>
        </w:rPr>
      </w:pPr>
      <w:r w:rsidRPr="0022325D">
        <w:rPr>
          <w:b/>
          <w:bCs/>
          <w:lang w:val="en-GB"/>
        </w:rPr>
        <w:t>Phase 2</w:t>
      </w:r>
      <w:r w:rsidRPr="0022325D">
        <w:rPr>
          <w:lang w:val="en-GB"/>
        </w:rPr>
        <w:t xml:space="preserve">: Independent </w:t>
      </w:r>
      <w:r w:rsidR="008F3B04" w:rsidRPr="0022325D">
        <w:rPr>
          <w:lang w:val="en-GB"/>
        </w:rPr>
        <w:t>r</w:t>
      </w:r>
      <w:r w:rsidRPr="0022325D">
        <w:rPr>
          <w:lang w:val="en-GB"/>
        </w:rPr>
        <w:t>eview (</w:t>
      </w:r>
      <w:r w:rsidR="008F3B04" w:rsidRPr="0022325D">
        <w:rPr>
          <w:lang w:val="en-GB"/>
        </w:rPr>
        <w:t>m</w:t>
      </w:r>
      <w:r w:rsidRPr="0022325D">
        <w:rPr>
          <w:lang w:val="en-GB"/>
        </w:rPr>
        <w:t>onths 7-18)</w:t>
      </w:r>
    </w:p>
    <w:p w14:paraId="0CFDEC50" w14:textId="5E89CAEE" w:rsidR="00E845A4" w:rsidRPr="0022325D" w:rsidRDefault="00E845A4" w:rsidP="00593B3D">
      <w:pPr>
        <w:rPr>
          <w:lang w:val="en-GB"/>
        </w:rPr>
      </w:pPr>
      <w:r w:rsidRPr="0022325D">
        <w:rPr>
          <w:lang w:val="en-GB"/>
        </w:rPr>
        <w:t>Council</w:t>
      </w:r>
      <w:r w:rsidR="0029538B" w:rsidRPr="0022325D">
        <w:rPr>
          <w:lang w:val="en-GB"/>
        </w:rPr>
        <w:t>-27</w:t>
      </w:r>
      <w:r w:rsidRPr="0022325D">
        <w:rPr>
          <w:lang w:val="en-GB"/>
        </w:rPr>
        <w:t xml:space="preserve"> </w:t>
      </w:r>
      <w:r w:rsidR="00BF630F" w:rsidRPr="0022325D">
        <w:rPr>
          <w:lang w:val="en-GB"/>
        </w:rPr>
        <w:t xml:space="preserve">shall </w:t>
      </w:r>
      <w:r w:rsidRPr="0022325D">
        <w:rPr>
          <w:lang w:val="en-GB"/>
        </w:rPr>
        <w:t xml:space="preserve">authorize a full, independent review of all ITU activities </w:t>
      </w:r>
      <w:r w:rsidR="008F3B04" w:rsidRPr="0022325D">
        <w:rPr>
          <w:lang w:val="en-GB"/>
        </w:rPr>
        <w:t>to</w:t>
      </w:r>
      <w:r w:rsidR="0029538B" w:rsidRPr="0022325D">
        <w:rPr>
          <w:lang w:val="en-GB"/>
        </w:rPr>
        <w:t xml:space="preserve"> be</w:t>
      </w:r>
      <w:r w:rsidRPr="0022325D">
        <w:rPr>
          <w:lang w:val="en-GB"/>
        </w:rPr>
        <w:t xml:space="preserve"> outsourc</w:t>
      </w:r>
      <w:r w:rsidR="0029538B" w:rsidRPr="0022325D">
        <w:rPr>
          <w:lang w:val="en-GB"/>
        </w:rPr>
        <w:t>ed</w:t>
      </w:r>
      <w:r w:rsidRPr="0022325D">
        <w:rPr>
          <w:lang w:val="en-GB"/>
        </w:rPr>
        <w:t xml:space="preserve"> to an external entity (such as JIU or specialized consultants).</w:t>
      </w:r>
    </w:p>
    <w:p w14:paraId="045F607B" w14:textId="5AEF5AA4" w:rsidR="00E845A4" w:rsidRPr="0022325D" w:rsidRDefault="00E845A4" w:rsidP="00593B3D">
      <w:pPr>
        <w:rPr>
          <w:lang w:val="en-GB"/>
        </w:rPr>
      </w:pPr>
      <w:r w:rsidRPr="0022325D">
        <w:rPr>
          <w:lang w:val="en-GB"/>
        </w:rPr>
        <w:t xml:space="preserve">The review </w:t>
      </w:r>
      <w:r w:rsidR="00BF630F" w:rsidRPr="0022325D">
        <w:rPr>
          <w:lang w:val="en-GB"/>
        </w:rPr>
        <w:t xml:space="preserve">shall </w:t>
      </w:r>
      <w:r w:rsidRPr="0022325D">
        <w:rPr>
          <w:lang w:val="en-GB"/>
        </w:rPr>
        <w:t xml:space="preserve">apply a </w:t>
      </w:r>
      <w:r w:rsidR="00A14C8C" w:rsidRPr="0022325D">
        <w:rPr>
          <w:lang w:val="en-GB"/>
        </w:rPr>
        <w:t>tiered c</w:t>
      </w:r>
      <w:r w:rsidRPr="0022325D">
        <w:rPr>
          <w:lang w:val="en-GB"/>
        </w:rPr>
        <w:t xml:space="preserve">lassification </w:t>
      </w:r>
      <w:r w:rsidR="00A14C8C" w:rsidRPr="0022325D">
        <w:rPr>
          <w:lang w:val="en-GB"/>
        </w:rPr>
        <w:t xml:space="preserve">system </w:t>
      </w:r>
      <w:r w:rsidRPr="0022325D">
        <w:rPr>
          <w:lang w:val="en-GB"/>
        </w:rPr>
        <w:t>(Levels 1 to 4) and evaluate all activities against the criteria provided in Annex 1.</w:t>
      </w:r>
    </w:p>
    <w:p w14:paraId="5A04F0A0" w14:textId="0457524F" w:rsidR="00E845A4" w:rsidRPr="0022325D" w:rsidRDefault="0029538B" w:rsidP="00593B3D">
      <w:pPr>
        <w:rPr>
          <w:lang w:val="en-GB"/>
        </w:rPr>
      </w:pPr>
      <w:r w:rsidRPr="0022325D">
        <w:rPr>
          <w:lang w:val="en-GB"/>
        </w:rPr>
        <w:t>D</w:t>
      </w:r>
      <w:r w:rsidR="00E845A4" w:rsidRPr="0022325D">
        <w:rPr>
          <w:lang w:val="en-GB"/>
        </w:rPr>
        <w:t>eliverables:</w:t>
      </w:r>
    </w:p>
    <w:p w14:paraId="0A900ED5" w14:textId="1D97F9D4" w:rsidR="00E845A4" w:rsidRPr="0022325D" w:rsidRDefault="00E845A4" w:rsidP="00593B3D">
      <w:pPr>
        <w:pStyle w:val="enumlev1"/>
        <w:rPr>
          <w:lang w:val="en-GB"/>
        </w:rPr>
      </w:pPr>
      <w:r w:rsidRPr="0022325D">
        <w:rPr>
          <w:lang w:val="en-GB"/>
        </w:rPr>
        <w:t xml:space="preserve">– </w:t>
      </w:r>
      <w:r w:rsidRPr="0022325D">
        <w:rPr>
          <w:lang w:val="en-GB"/>
        </w:rPr>
        <w:tab/>
        <w:t xml:space="preserve">a </w:t>
      </w:r>
      <w:r w:rsidR="004C3CDE" w:rsidRPr="0022325D">
        <w:rPr>
          <w:lang w:val="en-GB"/>
        </w:rPr>
        <w:t>p</w:t>
      </w:r>
      <w:r w:rsidRPr="0022325D">
        <w:rPr>
          <w:lang w:val="en-GB"/>
        </w:rPr>
        <w:t xml:space="preserve">ublic </w:t>
      </w:r>
      <w:r w:rsidR="004C3CDE" w:rsidRPr="0022325D">
        <w:rPr>
          <w:lang w:val="en-GB"/>
        </w:rPr>
        <w:t>d</w:t>
      </w:r>
      <w:r w:rsidRPr="0022325D">
        <w:rPr>
          <w:lang w:val="en-GB"/>
        </w:rPr>
        <w:t xml:space="preserve">ashboard for monitoring the allocation </w:t>
      </w:r>
      <w:r w:rsidR="00CF1BEF" w:rsidRPr="0022325D">
        <w:rPr>
          <w:lang w:val="en-GB"/>
        </w:rPr>
        <w:t xml:space="preserve">of resources in accordance with </w:t>
      </w:r>
      <w:r w:rsidR="0029538B" w:rsidRPr="0022325D">
        <w:rPr>
          <w:lang w:val="en-GB"/>
        </w:rPr>
        <w:t>the purposes</w:t>
      </w:r>
      <w:r w:rsidR="00806E92" w:rsidRPr="0022325D">
        <w:rPr>
          <w:lang w:val="en-GB"/>
        </w:rPr>
        <w:t xml:space="preserve"> of the Union</w:t>
      </w:r>
      <w:r w:rsidRPr="0022325D">
        <w:rPr>
          <w:lang w:val="en-GB"/>
        </w:rPr>
        <w:t xml:space="preserve"> (by activity, budget, staff);</w:t>
      </w:r>
    </w:p>
    <w:p w14:paraId="5395B9A6" w14:textId="4A4B3AA0" w:rsidR="00E845A4" w:rsidRPr="0022325D" w:rsidRDefault="00E845A4" w:rsidP="00593B3D">
      <w:pPr>
        <w:pStyle w:val="enumlev1"/>
        <w:rPr>
          <w:lang w:val="en-GB"/>
        </w:rPr>
      </w:pPr>
      <w:r w:rsidRPr="0022325D">
        <w:rPr>
          <w:lang w:val="en-GB"/>
        </w:rPr>
        <w:t xml:space="preserve">– </w:t>
      </w:r>
      <w:r w:rsidRPr="0022325D">
        <w:rPr>
          <w:lang w:val="en-GB"/>
        </w:rPr>
        <w:tab/>
        <w:t xml:space="preserve">proposals on resource reallocation for </w:t>
      </w:r>
      <w:r w:rsidR="00BF630F" w:rsidRPr="0022325D">
        <w:rPr>
          <w:lang w:val="en-GB"/>
        </w:rPr>
        <w:t xml:space="preserve">the 2028 session of the </w:t>
      </w:r>
      <w:r w:rsidRPr="0022325D">
        <w:rPr>
          <w:lang w:val="en-GB"/>
        </w:rPr>
        <w:t>Council.</w:t>
      </w:r>
    </w:p>
    <w:p w14:paraId="31FFFEF4" w14:textId="77777777" w:rsidR="00E845A4" w:rsidRPr="0022325D" w:rsidRDefault="00E845A4" w:rsidP="00593B3D">
      <w:pPr>
        <w:rPr>
          <w:lang w:val="en-GB"/>
        </w:rPr>
      </w:pPr>
      <w:r w:rsidRPr="0022325D">
        <w:rPr>
          <w:b/>
          <w:bCs/>
          <w:lang w:val="en-GB"/>
        </w:rPr>
        <w:t>Phase 3</w:t>
      </w:r>
      <w:r w:rsidRPr="0022325D">
        <w:rPr>
          <w:lang w:val="en-GB"/>
        </w:rPr>
        <w:t>: Reallocation of resources under the guidance of the Council (months 19-30)</w:t>
      </w:r>
    </w:p>
    <w:p w14:paraId="44E4B4D3" w14:textId="13B00771" w:rsidR="00E845A4" w:rsidRPr="0022325D" w:rsidRDefault="00E845A4" w:rsidP="00593B3D">
      <w:pPr>
        <w:rPr>
          <w:lang w:val="en-GB"/>
        </w:rPr>
      </w:pPr>
      <w:r w:rsidRPr="0022325D">
        <w:rPr>
          <w:lang w:val="en-GB"/>
        </w:rPr>
        <w:t xml:space="preserve">The Council </w:t>
      </w:r>
      <w:r w:rsidR="00B80152" w:rsidRPr="0022325D">
        <w:rPr>
          <w:lang w:val="en-GB"/>
        </w:rPr>
        <w:t>w</w:t>
      </w:r>
      <w:r w:rsidR="00BF630F" w:rsidRPr="0022325D">
        <w:rPr>
          <w:lang w:val="en-GB"/>
        </w:rPr>
        <w:t>ill</w:t>
      </w:r>
      <w:r w:rsidR="00B80152" w:rsidRPr="0022325D">
        <w:rPr>
          <w:lang w:val="en-GB"/>
        </w:rPr>
        <w:t xml:space="preserve"> </w:t>
      </w:r>
      <w:r w:rsidRPr="0022325D">
        <w:rPr>
          <w:lang w:val="en-GB"/>
        </w:rPr>
        <w:t xml:space="preserve">establish a standing committee on </w:t>
      </w:r>
      <w:r w:rsidR="00CF1BEF" w:rsidRPr="0022325D">
        <w:rPr>
          <w:lang w:val="en-GB"/>
        </w:rPr>
        <w:t xml:space="preserve">the allocation of </w:t>
      </w:r>
      <w:r w:rsidRPr="0022325D">
        <w:rPr>
          <w:lang w:val="en-GB"/>
        </w:rPr>
        <w:t>resource</w:t>
      </w:r>
      <w:r w:rsidR="00CF1BEF" w:rsidRPr="0022325D">
        <w:rPr>
          <w:lang w:val="en-GB"/>
        </w:rPr>
        <w:t>s</w:t>
      </w:r>
      <w:r w:rsidRPr="0022325D">
        <w:rPr>
          <w:lang w:val="en-GB"/>
        </w:rPr>
        <w:t xml:space="preserve"> </w:t>
      </w:r>
      <w:r w:rsidR="00CF1BEF" w:rsidRPr="0022325D">
        <w:rPr>
          <w:lang w:val="en-GB"/>
        </w:rPr>
        <w:t xml:space="preserve">in accordance with </w:t>
      </w:r>
      <w:r w:rsidRPr="0022325D">
        <w:rPr>
          <w:lang w:val="en-GB"/>
        </w:rPr>
        <w:t xml:space="preserve">the purposes of the Union, which </w:t>
      </w:r>
      <w:r w:rsidR="00BF630F" w:rsidRPr="0022325D">
        <w:rPr>
          <w:lang w:val="en-GB"/>
        </w:rPr>
        <w:t>shall</w:t>
      </w:r>
      <w:r w:rsidRPr="0022325D">
        <w:rPr>
          <w:lang w:val="en-GB"/>
        </w:rPr>
        <w:t xml:space="preserve">: </w:t>
      </w:r>
    </w:p>
    <w:p w14:paraId="14F9E8DC" w14:textId="6A2974D7" w:rsidR="00E845A4" w:rsidRPr="0022325D" w:rsidRDefault="00E845A4" w:rsidP="00593B3D">
      <w:pPr>
        <w:pStyle w:val="enumlev1"/>
        <w:rPr>
          <w:lang w:val="en-GB"/>
        </w:rPr>
      </w:pPr>
      <w:r w:rsidRPr="0022325D">
        <w:rPr>
          <w:lang w:val="en-GB"/>
        </w:rPr>
        <w:t xml:space="preserve">– </w:t>
      </w:r>
      <w:r w:rsidRPr="0022325D">
        <w:rPr>
          <w:lang w:val="en-GB"/>
        </w:rPr>
        <w:tab/>
        <w:t>review the independent report</w:t>
      </w:r>
      <w:r w:rsidR="004C3CDE" w:rsidRPr="0022325D">
        <w:rPr>
          <w:lang w:val="en-GB"/>
        </w:rPr>
        <w:t xml:space="preserve"> </w:t>
      </w:r>
      <w:r w:rsidRPr="0022325D">
        <w:rPr>
          <w:lang w:val="en-GB"/>
        </w:rPr>
        <w:t xml:space="preserve">and </w:t>
      </w:r>
      <w:r w:rsidR="004C3CDE" w:rsidRPr="0022325D">
        <w:rPr>
          <w:lang w:val="en-GB"/>
        </w:rPr>
        <w:t xml:space="preserve">the </w:t>
      </w:r>
      <w:r w:rsidRPr="0022325D">
        <w:rPr>
          <w:lang w:val="en-GB"/>
        </w:rPr>
        <w:t>dashboard data;</w:t>
      </w:r>
    </w:p>
    <w:p w14:paraId="5266EA1B" w14:textId="7D712FCC" w:rsidR="00E845A4" w:rsidRPr="0022325D" w:rsidRDefault="00E845A4" w:rsidP="00593B3D">
      <w:pPr>
        <w:pStyle w:val="enumlev1"/>
        <w:rPr>
          <w:lang w:val="en-GB"/>
        </w:rPr>
      </w:pPr>
      <w:r w:rsidRPr="0022325D">
        <w:rPr>
          <w:lang w:val="en-GB"/>
        </w:rPr>
        <w:t xml:space="preserve">– </w:t>
      </w:r>
      <w:r w:rsidRPr="0022325D">
        <w:rPr>
          <w:lang w:val="en-GB"/>
        </w:rPr>
        <w:tab/>
        <w:t xml:space="preserve">propose </w:t>
      </w:r>
      <w:r w:rsidR="00BF630F" w:rsidRPr="0022325D">
        <w:rPr>
          <w:lang w:val="en-GB"/>
        </w:rPr>
        <w:t xml:space="preserve">budget </w:t>
      </w:r>
      <w:r w:rsidR="008F3B04" w:rsidRPr="0022325D">
        <w:rPr>
          <w:lang w:val="en-GB"/>
        </w:rPr>
        <w:t>reallocation</w:t>
      </w:r>
      <w:r w:rsidR="00BF630F" w:rsidRPr="0022325D">
        <w:rPr>
          <w:lang w:val="en-GB"/>
        </w:rPr>
        <w:t>s</w:t>
      </w:r>
      <w:r w:rsidR="008F3B04" w:rsidRPr="0022325D">
        <w:rPr>
          <w:lang w:val="en-GB"/>
        </w:rPr>
        <w:t xml:space="preserve"> </w:t>
      </w:r>
      <w:r w:rsidRPr="0022325D">
        <w:rPr>
          <w:lang w:val="en-GB"/>
        </w:rPr>
        <w:t>for the next biennium;</w:t>
      </w:r>
    </w:p>
    <w:p w14:paraId="512FF1C3" w14:textId="12462780" w:rsidR="00E845A4" w:rsidRPr="0022325D" w:rsidRDefault="00E845A4" w:rsidP="00593B3D">
      <w:pPr>
        <w:pStyle w:val="enumlev1"/>
        <w:rPr>
          <w:lang w:val="en-GB"/>
        </w:rPr>
      </w:pPr>
      <w:r w:rsidRPr="0022325D">
        <w:rPr>
          <w:lang w:val="en-GB"/>
        </w:rPr>
        <w:t xml:space="preserve">– </w:t>
      </w:r>
      <w:r w:rsidRPr="0022325D">
        <w:rPr>
          <w:lang w:val="en-GB"/>
        </w:rPr>
        <w:tab/>
        <w:t xml:space="preserve">submit a report to </w:t>
      </w:r>
      <w:r w:rsidR="00BF630F" w:rsidRPr="0022325D">
        <w:rPr>
          <w:lang w:val="en-GB"/>
        </w:rPr>
        <w:t xml:space="preserve">the 2029 session of the </w:t>
      </w:r>
      <w:r w:rsidRPr="0022325D">
        <w:rPr>
          <w:lang w:val="en-GB"/>
        </w:rPr>
        <w:t>Council</w:t>
      </w:r>
      <w:r w:rsidR="00BF630F" w:rsidRPr="0022325D">
        <w:rPr>
          <w:lang w:val="en-GB"/>
        </w:rPr>
        <w:t xml:space="preserve"> (Council-29),</w:t>
      </w:r>
      <w:r w:rsidRPr="0022325D">
        <w:rPr>
          <w:lang w:val="en-GB"/>
        </w:rPr>
        <w:t xml:space="preserve"> providing recommendations on:</w:t>
      </w:r>
    </w:p>
    <w:p w14:paraId="375AAB85" w14:textId="7C819141" w:rsidR="00E845A4" w:rsidRPr="0022325D" w:rsidRDefault="00593B3D" w:rsidP="0022325D">
      <w:pPr>
        <w:pStyle w:val="enumlev2"/>
        <w:rPr>
          <w:lang w:val="en-GB"/>
        </w:rPr>
      </w:pPr>
      <w:r w:rsidRPr="0022325D">
        <w:rPr>
          <w:lang w:val="en-GB"/>
        </w:rPr>
        <w:t>•</w:t>
      </w:r>
      <w:r w:rsidRPr="0022325D">
        <w:rPr>
          <w:lang w:val="en-GB"/>
        </w:rPr>
        <w:tab/>
      </w:r>
      <w:r w:rsidR="001B1F87" w:rsidRPr="0022325D">
        <w:rPr>
          <w:lang w:val="en-GB"/>
        </w:rPr>
        <w:t>terminating</w:t>
      </w:r>
      <w:r w:rsidRPr="0022325D">
        <w:rPr>
          <w:lang w:val="en-GB"/>
        </w:rPr>
        <w:t xml:space="preserve"> or restructuring non-core ITU activities;</w:t>
      </w:r>
    </w:p>
    <w:p w14:paraId="2C72D373" w14:textId="1094B4AA" w:rsidR="00E845A4" w:rsidRPr="0022325D" w:rsidRDefault="00593B3D" w:rsidP="0022325D">
      <w:pPr>
        <w:pStyle w:val="enumlev2"/>
        <w:rPr>
          <w:lang w:val="en-GB"/>
        </w:rPr>
      </w:pPr>
      <w:r w:rsidRPr="0022325D">
        <w:rPr>
          <w:lang w:val="en-GB"/>
        </w:rPr>
        <w:t>•</w:t>
      </w:r>
      <w:r w:rsidRPr="0022325D">
        <w:rPr>
          <w:lang w:val="en-GB"/>
        </w:rPr>
        <w:tab/>
        <w:t>protecting budget lines for Level 1 activities;</w:t>
      </w:r>
    </w:p>
    <w:p w14:paraId="4C26BD37" w14:textId="0B5F230A" w:rsidR="00E845A4" w:rsidRPr="0022325D" w:rsidRDefault="00593B3D" w:rsidP="0022325D">
      <w:pPr>
        <w:pStyle w:val="enumlev2"/>
        <w:rPr>
          <w:lang w:val="en-GB"/>
        </w:rPr>
      </w:pPr>
      <w:r w:rsidRPr="0022325D">
        <w:rPr>
          <w:lang w:val="en-GB"/>
        </w:rPr>
        <w:t>•</w:t>
      </w:r>
      <w:r w:rsidRPr="0022325D">
        <w:rPr>
          <w:lang w:val="en-GB"/>
        </w:rPr>
        <w:tab/>
      </w:r>
      <w:r w:rsidR="004C3CDE" w:rsidRPr="0022325D">
        <w:rPr>
          <w:lang w:val="en-GB"/>
        </w:rPr>
        <w:t>transitioning</w:t>
      </w:r>
      <w:r w:rsidRPr="0022325D">
        <w:rPr>
          <w:lang w:val="en-GB"/>
        </w:rPr>
        <w:t xml:space="preserve"> Level 3 to 4 activities to voluntary or partnership-based funding.</w:t>
      </w:r>
    </w:p>
    <w:p w14:paraId="0535CA0A" w14:textId="28660C14" w:rsidR="00E845A4" w:rsidRPr="0022325D" w:rsidRDefault="0038438D" w:rsidP="00593B3D">
      <w:pPr>
        <w:pStyle w:val="Headingb"/>
        <w:rPr>
          <w:lang w:val="en-GB"/>
        </w:rPr>
      </w:pPr>
      <w:r w:rsidRPr="0022325D">
        <w:rPr>
          <w:bCs/>
          <w:lang w:val="en-GB"/>
        </w:rPr>
        <w:t xml:space="preserve">Institutionalization </w:t>
      </w:r>
      <w:r w:rsidR="00655EE8" w:rsidRPr="0022325D">
        <w:rPr>
          <w:bCs/>
          <w:lang w:val="en-GB"/>
        </w:rPr>
        <w:t xml:space="preserve">of </w:t>
      </w:r>
      <w:r w:rsidR="00E845A4" w:rsidRPr="0022325D">
        <w:rPr>
          <w:bCs/>
          <w:lang w:val="en-GB"/>
        </w:rPr>
        <w:t>annual reviews</w:t>
      </w:r>
    </w:p>
    <w:p w14:paraId="7B949A0D" w14:textId="3C8ABB02" w:rsidR="00E845A4" w:rsidRPr="0022325D" w:rsidRDefault="0038438D" w:rsidP="00593B3D">
      <w:pPr>
        <w:rPr>
          <w:lang w:val="en-GB"/>
        </w:rPr>
      </w:pPr>
      <w:r w:rsidRPr="0022325D">
        <w:rPr>
          <w:lang w:val="en-GB"/>
        </w:rPr>
        <w:t>The</w:t>
      </w:r>
      <w:r w:rsidR="00BF630F" w:rsidRPr="0022325D">
        <w:rPr>
          <w:lang w:val="en-GB"/>
        </w:rPr>
        <w:t xml:space="preserve"> sustainable </w:t>
      </w:r>
      <w:r w:rsidR="00655EE8" w:rsidRPr="0022325D">
        <w:rPr>
          <w:lang w:val="en-GB"/>
        </w:rPr>
        <w:t>continu</w:t>
      </w:r>
      <w:r w:rsidR="00BF630F" w:rsidRPr="0022325D">
        <w:rPr>
          <w:lang w:val="en-GB"/>
        </w:rPr>
        <w:t>ation of</w:t>
      </w:r>
      <w:r w:rsidR="00E845A4" w:rsidRPr="0022325D">
        <w:rPr>
          <w:lang w:val="en-GB"/>
        </w:rPr>
        <w:t xml:space="preserve"> this </w:t>
      </w:r>
      <w:r w:rsidR="00655EE8" w:rsidRPr="0022325D">
        <w:rPr>
          <w:lang w:val="en-GB"/>
        </w:rPr>
        <w:t>work</w:t>
      </w:r>
      <w:r w:rsidR="00E845A4" w:rsidRPr="0022325D">
        <w:rPr>
          <w:lang w:val="en-GB"/>
        </w:rPr>
        <w:t xml:space="preserve"> </w:t>
      </w:r>
      <w:r w:rsidR="00BF630F" w:rsidRPr="0022325D">
        <w:rPr>
          <w:lang w:val="en-GB"/>
        </w:rPr>
        <w:t xml:space="preserve">beyond </w:t>
      </w:r>
      <w:r w:rsidR="00E845A4" w:rsidRPr="0022325D">
        <w:rPr>
          <w:lang w:val="en-GB"/>
        </w:rPr>
        <w:t>Council</w:t>
      </w:r>
      <w:r w:rsidR="0029538B" w:rsidRPr="0022325D">
        <w:rPr>
          <w:lang w:val="en-GB"/>
        </w:rPr>
        <w:t>-</w:t>
      </w:r>
      <w:r w:rsidR="00E845A4" w:rsidRPr="0022325D">
        <w:rPr>
          <w:lang w:val="en-GB"/>
        </w:rPr>
        <w:t xml:space="preserve">29 and </w:t>
      </w:r>
      <w:r w:rsidR="00BF630F" w:rsidRPr="0022325D">
        <w:rPr>
          <w:lang w:val="en-GB"/>
        </w:rPr>
        <w:t>the 20</w:t>
      </w:r>
      <w:r w:rsidR="00E845A4" w:rsidRPr="0022325D">
        <w:rPr>
          <w:lang w:val="en-GB"/>
        </w:rPr>
        <w:t>30</w:t>
      </w:r>
      <w:r w:rsidR="00BF630F" w:rsidRPr="0022325D">
        <w:rPr>
          <w:lang w:val="en-GB"/>
        </w:rPr>
        <w:t xml:space="preserve"> plenipotentiary conference</w:t>
      </w:r>
      <w:r w:rsidRPr="0022325D">
        <w:rPr>
          <w:lang w:val="en-GB"/>
        </w:rPr>
        <w:t xml:space="preserve"> will require</w:t>
      </w:r>
      <w:r w:rsidR="00E845A4" w:rsidRPr="0022325D">
        <w:rPr>
          <w:lang w:val="en-GB"/>
        </w:rPr>
        <w:t>:</w:t>
      </w:r>
    </w:p>
    <w:p w14:paraId="0EE6DC50" w14:textId="00BE5FFD" w:rsidR="00E845A4" w:rsidRPr="0022325D" w:rsidRDefault="00E845A4" w:rsidP="00593B3D">
      <w:pPr>
        <w:pStyle w:val="enumlev1"/>
        <w:rPr>
          <w:lang w:val="en-GB"/>
        </w:rPr>
      </w:pPr>
      <w:r w:rsidRPr="0022325D">
        <w:rPr>
          <w:lang w:val="en-GB"/>
        </w:rPr>
        <w:t xml:space="preserve">– </w:t>
      </w:r>
      <w:r w:rsidRPr="0022325D">
        <w:rPr>
          <w:lang w:val="en-GB"/>
        </w:rPr>
        <w:tab/>
        <w:t xml:space="preserve">an annual review </w:t>
      </w:r>
      <w:r w:rsidR="0038438D" w:rsidRPr="0022325D">
        <w:rPr>
          <w:lang w:val="en-GB"/>
        </w:rPr>
        <w:t>of</w:t>
      </w:r>
      <w:r w:rsidR="00B43806" w:rsidRPr="0022325D">
        <w:rPr>
          <w:lang w:val="en-GB"/>
        </w:rPr>
        <w:t xml:space="preserve"> </w:t>
      </w:r>
      <w:r w:rsidR="0038438D" w:rsidRPr="0022325D">
        <w:rPr>
          <w:lang w:val="en-GB"/>
        </w:rPr>
        <w:t>resource</w:t>
      </w:r>
      <w:r w:rsidR="00B43806" w:rsidRPr="0022325D">
        <w:rPr>
          <w:lang w:val="en-GB"/>
        </w:rPr>
        <w:t xml:space="preserve"> allocation </w:t>
      </w:r>
      <w:r w:rsidR="00CF1BEF" w:rsidRPr="0022325D">
        <w:rPr>
          <w:lang w:val="en-GB"/>
        </w:rPr>
        <w:t xml:space="preserve">in accordance with </w:t>
      </w:r>
      <w:r w:rsidRPr="0022325D">
        <w:rPr>
          <w:lang w:val="en-GB"/>
        </w:rPr>
        <w:t>the purposes of the Union</w:t>
      </w:r>
      <w:r w:rsidR="00655EE8" w:rsidRPr="0022325D">
        <w:rPr>
          <w:lang w:val="en-GB"/>
        </w:rPr>
        <w:t xml:space="preserve">, to be </w:t>
      </w:r>
      <w:r w:rsidR="0038438D" w:rsidRPr="0022325D">
        <w:rPr>
          <w:lang w:val="en-GB"/>
        </w:rPr>
        <w:t xml:space="preserve">conducted by the secretariat and </w:t>
      </w:r>
      <w:r w:rsidRPr="0022325D">
        <w:rPr>
          <w:lang w:val="en-GB"/>
        </w:rPr>
        <w:t>reviewed by CWG-FHR;</w:t>
      </w:r>
    </w:p>
    <w:p w14:paraId="499E98A4" w14:textId="5A4C5A1F" w:rsidR="00E845A4" w:rsidRPr="0022325D" w:rsidRDefault="00E845A4" w:rsidP="00593B3D">
      <w:pPr>
        <w:pStyle w:val="enumlev1"/>
        <w:rPr>
          <w:lang w:val="en-GB"/>
        </w:rPr>
      </w:pPr>
      <w:r w:rsidRPr="0022325D">
        <w:rPr>
          <w:lang w:val="en-GB"/>
        </w:rPr>
        <w:t xml:space="preserve">– </w:t>
      </w:r>
      <w:r w:rsidRPr="0022325D">
        <w:rPr>
          <w:lang w:val="en-GB"/>
        </w:rPr>
        <w:tab/>
      </w:r>
      <w:r w:rsidR="0038438D" w:rsidRPr="0022325D">
        <w:rPr>
          <w:lang w:val="en-GB"/>
        </w:rPr>
        <w:t xml:space="preserve">its </w:t>
      </w:r>
      <w:r w:rsidRPr="0022325D">
        <w:rPr>
          <w:lang w:val="en-GB"/>
        </w:rPr>
        <w:t>integrat</w:t>
      </w:r>
      <w:r w:rsidR="0038438D" w:rsidRPr="0022325D">
        <w:rPr>
          <w:lang w:val="en-GB"/>
        </w:rPr>
        <w:t>ion</w:t>
      </w:r>
      <w:r w:rsidR="00655EE8" w:rsidRPr="0022325D">
        <w:rPr>
          <w:lang w:val="en-GB"/>
        </w:rPr>
        <w:t xml:space="preserve"> </w:t>
      </w:r>
      <w:r w:rsidRPr="0022325D">
        <w:rPr>
          <w:lang w:val="en-GB"/>
        </w:rPr>
        <w:t xml:space="preserve">into the </w:t>
      </w:r>
      <w:r w:rsidR="004C3CDE" w:rsidRPr="0022325D">
        <w:rPr>
          <w:lang w:val="en-GB"/>
        </w:rPr>
        <w:t>p</w:t>
      </w:r>
      <w:r w:rsidRPr="0022325D">
        <w:rPr>
          <w:lang w:val="en-GB"/>
        </w:rPr>
        <w:t>rogram</w:t>
      </w:r>
      <w:r w:rsidR="004C3CDE" w:rsidRPr="0022325D">
        <w:rPr>
          <w:lang w:val="en-GB"/>
        </w:rPr>
        <w:t>me</w:t>
      </w:r>
      <w:r w:rsidRPr="0022325D">
        <w:rPr>
          <w:lang w:val="en-GB"/>
        </w:rPr>
        <w:t xml:space="preserve"> and </w:t>
      </w:r>
      <w:r w:rsidR="004C3CDE" w:rsidRPr="0022325D">
        <w:rPr>
          <w:lang w:val="en-GB"/>
        </w:rPr>
        <w:t>b</w:t>
      </w:r>
      <w:r w:rsidRPr="0022325D">
        <w:rPr>
          <w:lang w:val="en-GB"/>
        </w:rPr>
        <w:t xml:space="preserve">udget process (with mandatory confirmation of </w:t>
      </w:r>
      <w:r w:rsidR="00655EE8" w:rsidRPr="0022325D">
        <w:rPr>
          <w:lang w:val="en-GB"/>
        </w:rPr>
        <w:t>alignment</w:t>
      </w:r>
      <w:r w:rsidRPr="0022325D">
        <w:rPr>
          <w:lang w:val="en-GB"/>
        </w:rPr>
        <w:t xml:space="preserve"> with the purposes of the Union and </w:t>
      </w:r>
      <w:r w:rsidR="002674EC" w:rsidRPr="0022325D">
        <w:rPr>
          <w:lang w:val="en-GB"/>
        </w:rPr>
        <w:t xml:space="preserve">resource impact </w:t>
      </w:r>
      <w:r w:rsidR="00655EE8" w:rsidRPr="0022325D">
        <w:rPr>
          <w:lang w:val="en-GB"/>
        </w:rPr>
        <w:t>assessment</w:t>
      </w:r>
      <w:r w:rsidRPr="0022325D">
        <w:rPr>
          <w:lang w:val="en-GB"/>
        </w:rPr>
        <w:t>);</w:t>
      </w:r>
    </w:p>
    <w:p w14:paraId="6452B287" w14:textId="436E3BF5" w:rsidR="00E845A4" w:rsidRPr="0022325D" w:rsidRDefault="00E845A4" w:rsidP="00593B3D">
      <w:pPr>
        <w:pStyle w:val="enumlev1"/>
        <w:rPr>
          <w:lang w:val="en-GB"/>
        </w:rPr>
      </w:pPr>
      <w:r w:rsidRPr="0022325D">
        <w:rPr>
          <w:lang w:val="en-GB"/>
        </w:rPr>
        <w:t xml:space="preserve">– </w:t>
      </w:r>
      <w:r w:rsidRPr="0022325D">
        <w:rPr>
          <w:lang w:val="en-GB"/>
        </w:rPr>
        <w:tab/>
      </w:r>
      <w:r w:rsidR="00806E92" w:rsidRPr="0022325D">
        <w:rPr>
          <w:lang w:val="en-GB"/>
        </w:rPr>
        <w:t xml:space="preserve">provisions </w:t>
      </w:r>
      <w:r w:rsidR="0038438D" w:rsidRPr="0022325D">
        <w:rPr>
          <w:lang w:val="en-GB"/>
        </w:rPr>
        <w:t xml:space="preserve">establishing </w:t>
      </w:r>
      <w:r w:rsidR="00B80152" w:rsidRPr="0022325D">
        <w:rPr>
          <w:lang w:val="en-GB"/>
        </w:rPr>
        <w:t>a</w:t>
      </w:r>
      <w:r w:rsidR="00806E92" w:rsidRPr="0022325D">
        <w:rPr>
          <w:lang w:val="en-GB"/>
        </w:rPr>
        <w:t xml:space="preserve"> </w:t>
      </w:r>
      <w:r w:rsidR="00655EE8" w:rsidRPr="0022325D">
        <w:rPr>
          <w:lang w:val="en-GB"/>
        </w:rPr>
        <w:t xml:space="preserve">period of validity </w:t>
      </w:r>
      <w:r w:rsidR="00806E92" w:rsidRPr="0022325D">
        <w:rPr>
          <w:lang w:val="en-GB"/>
        </w:rPr>
        <w:t xml:space="preserve">of </w:t>
      </w:r>
      <w:r w:rsidR="00B80152" w:rsidRPr="0022325D">
        <w:rPr>
          <w:lang w:val="en-GB"/>
        </w:rPr>
        <w:t xml:space="preserve">no more than four years for </w:t>
      </w:r>
      <w:r w:rsidR="00655EE8" w:rsidRPr="0022325D">
        <w:rPr>
          <w:lang w:val="en-GB"/>
        </w:rPr>
        <w:t xml:space="preserve">all new </w:t>
      </w:r>
      <w:r w:rsidR="0038438D" w:rsidRPr="0022325D">
        <w:rPr>
          <w:lang w:val="en-GB"/>
        </w:rPr>
        <w:t xml:space="preserve">Plenipotentiary Conference </w:t>
      </w:r>
      <w:r w:rsidRPr="0022325D">
        <w:rPr>
          <w:lang w:val="en-GB"/>
        </w:rPr>
        <w:t>resolutions</w:t>
      </w:r>
      <w:r w:rsidR="00576ADD" w:rsidRPr="0022325D">
        <w:rPr>
          <w:lang w:val="en-GB"/>
        </w:rPr>
        <w:t xml:space="preserve">, which </w:t>
      </w:r>
      <w:r w:rsidR="00806E92" w:rsidRPr="0022325D">
        <w:rPr>
          <w:lang w:val="en-GB"/>
        </w:rPr>
        <w:t>could only be extended</w:t>
      </w:r>
      <w:r w:rsidRPr="0022325D">
        <w:rPr>
          <w:lang w:val="en-GB"/>
        </w:rPr>
        <w:t xml:space="preserve"> </w:t>
      </w:r>
      <w:r w:rsidR="00806E92" w:rsidRPr="0022325D">
        <w:rPr>
          <w:lang w:val="en-GB"/>
        </w:rPr>
        <w:t>following</w:t>
      </w:r>
      <w:r w:rsidRPr="0022325D">
        <w:rPr>
          <w:lang w:val="en-GB"/>
        </w:rPr>
        <w:t xml:space="preserve"> a review </w:t>
      </w:r>
      <w:r w:rsidR="00B80152" w:rsidRPr="0022325D">
        <w:rPr>
          <w:lang w:val="en-GB"/>
        </w:rPr>
        <w:t>confirming</w:t>
      </w:r>
      <w:r w:rsidRPr="0022325D">
        <w:rPr>
          <w:lang w:val="en-GB"/>
        </w:rPr>
        <w:t xml:space="preserve"> </w:t>
      </w:r>
      <w:r w:rsidR="00806E92" w:rsidRPr="0022325D">
        <w:rPr>
          <w:lang w:val="en-GB"/>
        </w:rPr>
        <w:t xml:space="preserve">alignment </w:t>
      </w:r>
      <w:r w:rsidRPr="0022325D">
        <w:rPr>
          <w:lang w:val="en-GB"/>
        </w:rPr>
        <w:t>with the purposes of the Union,</w:t>
      </w:r>
      <w:r w:rsidR="00806E92" w:rsidRPr="0022325D">
        <w:rPr>
          <w:lang w:val="en-GB"/>
        </w:rPr>
        <w:t xml:space="preserve"> a</w:t>
      </w:r>
      <w:r w:rsidR="0038438D" w:rsidRPr="0022325D">
        <w:rPr>
          <w:lang w:val="en-GB"/>
        </w:rPr>
        <w:t xml:space="preserve"> resource impact</w:t>
      </w:r>
      <w:r w:rsidRPr="0022325D">
        <w:rPr>
          <w:lang w:val="en-GB"/>
        </w:rPr>
        <w:t xml:space="preserve"> assessment and confirmation </w:t>
      </w:r>
      <w:r w:rsidR="00255656" w:rsidRPr="0022325D">
        <w:rPr>
          <w:lang w:val="en-GB"/>
        </w:rPr>
        <w:t>of</w:t>
      </w:r>
      <w:r w:rsidRPr="0022325D">
        <w:rPr>
          <w:lang w:val="en-GB"/>
        </w:rPr>
        <w:t xml:space="preserve"> no</w:t>
      </w:r>
      <w:r w:rsidR="00255656" w:rsidRPr="0022325D">
        <w:rPr>
          <w:lang w:val="en-GB"/>
        </w:rPr>
        <w:t>n-</w:t>
      </w:r>
      <w:r w:rsidRPr="0022325D">
        <w:rPr>
          <w:lang w:val="en-GB"/>
        </w:rPr>
        <w:t>duplication</w:t>
      </w:r>
      <w:r w:rsidR="00806E92" w:rsidRPr="0022325D">
        <w:rPr>
          <w:lang w:val="en-GB"/>
        </w:rPr>
        <w:t xml:space="preserve"> of work</w:t>
      </w:r>
      <w:r w:rsidRPr="0022325D">
        <w:rPr>
          <w:lang w:val="en-GB"/>
        </w:rPr>
        <w:t>.</w:t>
      </w:r>
    </w:p>
    <w:p w14:paraId="5397D4E9" w14:textId="77777777" w:rsidR="00E845A4" w:rsidRPr="0022325D" w:rsidRDefault="00E845A4" w:rsidP="00593B3D">
      <w:pPr>
        <w:pStyle w:val="Headingb"/>
        <w:rPr>
          <w:lang w:val="en-GB"/>
        </w:rPr>
      </w:pPr>
      <w:r w:rsidRPr="0022325D">
        <w:rPr>
          <w:bCs/>
          <w:lang w:val="en-GB"/>
        </w:rPr>
        <w:t>Transparency and stakeholder engagement</w:t>
      </w:r>
    </w:p>
    <w:p w14:paraId="02CFCFC1" w14:textId="06DC2B04" w:rsidR="00E845A4" w:rsidRPr="0022325D" w:rsidRDefault="00E845A4" w:rsidP="00593B3D">
      <w:pPr>
        <w:pStyle w:val="enumlev1"/>
        <w:rPr>
          <w:lang w:val="en-GB"/>
        </w:rPr>
      </w:pPr>
      <w:r w:rsidRPr="0022325D">
        <w:rPr>
          <w:lang w:val="en-GB"/>
        </w:rPr>
        <w:t xml:space="preserve">– </w:t>
      </w:r>
      <w:r w:rsidRPr="0022325D">
        <w:rPr>
          <w:lang w:val="en-GB"/>
        </w:rPr>
        <w:tab/>
      </w:r>
      <w:r w:rsidR="00806E92" w:rsidRPr="0022325D">
        <w:rPr>
          <w:lang w:val="en-GB"/>
        </w:rPr>
        <w:t>P</w:t>
      </w:r>
      <w:r w:rsidRPr="0022325D">
        <w:rPr>
          <w:lang w:val="en-GB"/>
        </w:rPr>
        <w:t>ublic access to</w:t>
      </w:r>
      <w:r w:rsidR="00B43806" w:rsidRPr="0022325D">
        <w:rPr>
          <w:lang w:val="en-GB"/>
        </w:rPr>
        <w:t xml:space="preserve"> </w:t>
      </w:r>
      <w:r w:rsidRPr="0022325D">
        <w:rPr>
          <w:lang w:val="en-GB"/>
        </w:rPr>
        <w:t xml:space="preserve">aggregated data on </w:t>
      </w:r>
      <w:r w:rsidR="00255656" w:rsidRPr="0022325D">
        <w:rPr>
          <w:lang w:val="en-GB"/>
        </w:rPr>
        <w:t xml:space="preserve">resource </w:t>
      </w:r>
      <w:r w:rsidR="00CF1BEF" w:rsidRPr="0022325D">
        <w:rPr>
          <w:lang w:val="en-GB"/>
        </w:rPr>
        <w:t xml:space="preserve">allocation in accordance with </w:t>
      </w:r>
      <w:r w:rsidRPr="0022325D">
        <w:rPr>
          <w:lang w:val="en-GB"/>
        </w:rPr>
        <w:t>the purposes of the Union</w:t>
      </w:r>
    </w:p>
    <w:p w14:paraId="7961E22C" w14:textId="6A8E0AC7" w:rsidR="00E845A4" w:rsidRPr="0022325D" w:rsidRDefault="00E845A4" w:rsidP="00593B3D">
      <w:pPr>
        <w:pStyle w:val="enumlev1"/>
        <w:rPr>
          <w:lang w:val="en-GB"/>
        </w:rPr>
      </w:pPr>
      <w:r w:rsidRPr="0022325D">
        <w:rPr>
          <w:lang w:val="en-GB"/>
        </w:rPr>
        <w:t xml:space="preserve">– </w:t>
      </w:r>
      <w:r w:rsidRPr="0022325D">
        <w:rPr>
          <w:lang w:val="en-GB"/>
        </w:rPr>
        <w:tab/>
      </w:r>
      <w:r w:rsidR="00255656" w:rsidRPr="0022325D">
        <w:rPr>
          <w:lang w:val="en-GB"/>
        </w:rPr>
        <w:t>A</w:t>
      </w:r>
      <w:r w:rsidRPr="0022325D">
        <w:rPr>
          <w:lang w:val="en-GB"/>
        </w:rPr>
        <w:t xml:space="preserve">nonymous feedback </w:t>
      </w:r>
      <w:r w:rsidR="00B43806" w:rsidRPr="0022325D">
        <w:rPr>
          <w:lang w:val="en-GB"/>
        </w:rPr>
        <w:t xml:space="preserve">mechanism for </w:t>
      </w:r>
      <w:r w:rsidRPr="0022325D">
        <w:rPr>
          <w:lang w:val="en-GB"/>
        </w:rPr>
        <w:t>ITU staff</w:t>
      </w:r>
    </w:p>
    <w:p w14:paraId="3B2EA1A1" w14:textId="1645E25B" w:rsidR="00E845A4" w:rsidRPr="0022325D" w:rsidRDefault="00E845A4" w:rsidP="00593B3D">
      <w:pPr>
        <w:pStyle w:val="enumlev1"/>
        <w:rPr>
          <w:lang w:val="en-GB"/>
        </w:rPr>
      </w:pPr>
      <w:r w:rsidRPr="0022325D">
        <w:rPr>
          <w:lang w:val="en-GB"/>
        </w:rPr>
        <w:t xml:space="preserve">– </w:t>
      </w:r>
      <w:r w:rsidRPr="0022325D">
        <w:rPr>
          <w:lang w:val="en-GB"/>
        </w:rPr>
        <w:tab/>
      </w:r>
      <w:r w:rsidR="00255656" w:rsidRPr="0022325D">
        <w:rPr>
          <w:lang w:val="en-GB"/>
        </w:rPr>
        <w:t>Annual</w:t>
      </w:r>
      <w:r w:rsidRPr="0022325D">
        <w:rPr>
          <w:lang w:val="en-GB"/>
        </w:rPr>
        <w:t xml:space="preserve"> </w:t>
      </w:r>
      <w:r w:rsidR="00255656" w:rsidRPr="0022325D">
        <w:rPr>
          <w:lang w:val="en-GB"/>
        </w:rPr>
        <w:t xml:space="preserve">briefings on </w:t>
      </w:r>
      <w:r w:rsidRPr="0022325D">
        <w:rPr>
          <w:lang w:val="en-GB"/>
        </w:rPr>
        <w:t>progress to Member States.</w:t>
      </w:r>
    </w:p>
    <w:p w14:paraId="06FB80C6" w14:textId="12CC9FCD" w:rsidR="00E845A4" w:rsidRPr="0022325D" w:rsidRDefault="00255656" w:rsidP="00593B3D">
      <w:pPr>
        <w:pStyle w:val="Headingb"/>
        <w:rPr>
          <w:lang w:val="en-GB"/>
        </w:rPr>
      </w:pPr>
      <w:r w:rsidRPr="0022325D">
        <w:rPr>
          <w:bCs/>
          <w:lang w:val="en-GB"/>
        </w:rPr>
        <w:t>Link to</w:t>
      </w:r>
      <w:r w:rsidR="00E845A4" w:rsidRPr="0022325D">
        <w:rPr>
          <w:bCs/>
          <w:lang w:val="en-GB"/>
        </w:rPr>
        <w:t xml:space="preserve"> budget cycles</w:t>
      </w:r>
    </w:p>
    <w:p w14:paraId="7987D2E4" w14:textId="6FA5D0A6" w:rsidR="00E845A4" w:rsidRPr="0022325D" w:rsidRDefault="00E845A4" w:rsidP="00593B3D">
      <w:pPr>
        <w:rPr>
          <w:lang w:val="en-GB"/>
        </w:rPr>
      </w:pPr>
      <w:r w:rsidRPr="0022325D">
        <w:rPr>
          <w:lang w:val="en-GB"/>
        </w:rPr>
        <w:t>Programme and budget proposals sh</w:t>
      </w:r>
      <w:r w:rsidR="002674EC" w:rsidRPr="0022325D">
        <w:rPr>
          <w:lang w:val="en-GB"/>
        </w:rPr>
        <w:t>all</w:t>
      </w:r>
      <w:r w:rsidRPr="0022325D">
        <w:rPr>
          <w:lang w:val="en-GB"/>
        </w:rPr>
        <w:t xml:space="preserve"> include, for each programme, a score </w:t>
      </w:r>
      <w:r w:rsidR="00806E92" w:rsidRPr="0022325D">
        <w:rPr>
          <w:lang w:val="en-GB"/>
        </w:rPr>
        <w:t>based on its alignment with</w:t>
      </w:r>
      <w:r w:rsidRPr="0022325D">
        <w:rPr>
          <w:lang w:val="en-GB"/>
        </w:rPr>
        <w:t xml:space="preserve"> the purposes of the Union. </w:t>
      </w:r>
      <w:r w:rsidR="002674EC" w:rsidRPr="0022325D">
        <w:rPr>
          <w:lang w:val="en-GB"/>
        </w:rPr>
        <w:t xml:space="preserve">Voluntary funding could be recommended for </w:t>
      </w:r>
      <w:r w:rsidR="00255656" w:rsidRPr="0022325D">
        <w:rPr>
          <w:lang w:val="en-GB"/>
        </w:rPr>
        <w:t xml:space="preserve">Level 3 and 4 activities, </w:t>
      </w:r>
      <w:r w:rsidR="002674EC" w:rsidRPr="0022325D">
        <w:rPr>
          <w:lang w:val="en-GB"/>
        </w:rPr>
        <w:t>u</w:t>
      </w:r>
      <w:r w:rsidR="00806E92" w:rsidRPr="0022325D">
        <w:rPr>
          <w:lang w:val="en-GB"/>
        </w:rPr>
        <w:t>nless they are</w:t>
      </w:r>
      <w:r w:rsidRPr="0022325D">
        <w:rPr>
          <w:lang w:val="en-GB"/>
        </w:rPr>
        <w:t xml:space="preserve"> </w:t>
      </w:r>
      <w:r w:rsidR="00806E92" w:rsidRPr="0022325D">
        <w:rPr>
          <w:lang w:val="en-GB"/>
        </w:rPr>
        <w:t>re</w:t>
      </w:r>
      <w:r w:rsidRPr="0022325D">
        <w:rPr>
          <w:lang w:val="en-GB"/>
        </w:rPr>
        <w:t>classified into other levels.</w:t>
      </w:r>
    </w:p>
    <w:p w14:paraId="6AB2600C" w14:textId="77777777" w:rsidR="00E845A4" w:rsidRPr="0022325D" w:rsidRDefault="00E845A4" w:rsidP="00593B3D">
      <w:pPr>
        <w:pStyle w:val="Headingb"/>
        <w:rPr>
          <w:lang w:val="en-GB"/>
        </w:rPr>
      </w:pPr>
      <w:r w:rsidRPr="0022325D">
        <w:rPr>
          <w:bCs/>
          <w:lang w:val="en-GB"/>
        </w:rPr>
        <w:t>Strengthening the role of CWG-FHR</w:t>
      </w:r>
    </w:p>
    <w:p w14:paraId="581BA9DD" w14:textId="5B1C7A63" w:rsidR="00E845A4" w:rsidRPr="0022325D" w:rsidRDefault="00E845A4" w:rsidP="00593B3D">
      <w:pPr>
        <w:rPr>
          <w:lang w:val="en-GB"/>
        </w:rPr>
      </w:pPr>
      <w:r w:rsidRPr="0022325D">
        <w:rPr>
          <w:lang w:val="en-GB"/>
        </w:rPr>
        <w:t xml:space="preserve">CWG-FHR shall conduct an annual </w:t>
      </w:r>
      <w:r w:rsidR="00255656" w:rsidRPr="0022325D">
        <w:rPr>
          <w:lang w:val="en-GB"/>
        </w:rPr>
        <w:t xml:space="preserve">review </w:t>
      </w:r>
      <w:r w:rsidRPr="0022325D">
        <w:rPr>
          <w:lang w:val="en-GB"/>
        </w:rPr>
        <w:t>to ensure that resource</w:t>
      </w:r>
      <w:r w:rsidR="00CF1BEF" w:rsidRPr="0022325D">
        <w:rPr>
          <w:lang w:val="en-GB"/>
        </w:rPr>
        <w:t>s</w:t>
      </w:r>
      <w:r w:rsidRPr="0022325D">
        <w:rPr>
          <w:lang w:val="en-GB"/>
        </w:rPr>
        <w:t xml:space="preserve"> </w:t>
      </w:r>
      <w:r w:rsidR="00CF1BEF" w:rsidRPr="0022325D">
        <w:rPr>
          <w:lang w:val="en-GB"/>
        </w:rPr>
        <w:t>are</w:t>
      </w:r>
      <w:r w:rsidR="00B43806" w:rsidRPr="0022325D">
        <w:rPr>
          <w:lang w:val="en-GB"/>
        </w:rPr>
        <w:t xml:space="preserve"> being</w:t>
      </w:r>
      <w:r w:rsidR="00CF1BEF" w:rsidRPr="0022325D">
        <w:rPr>
          <w:lang w:val="en-GB"/>
        </w:rPr>
        <w:t xml:space="preserve"> allocated in accordance with </w:t>
      </w:r>
      <w:r w:rsidRPr="0022325D">
        <w:rPr>
          <w:lang w:val="en-GB"/>
        </w:rPr>
        <w:t>the purposes of the Union</w:t>
      </w:r>
      <w:r w:rsidR="00806E92" w:rsidRPr="0022325D">
        <w:rPr>
          <w:lang w:val="en-GB"/>
        </w:rPr>
        <w:t>.</w:t>
      </w:r>
      <w:r w:rsidRPr="0022325D">
        <w:rPr>
          <w:lang w:val="en-GB"/>
        </w:rPr>
        <w:t xml:space="preserve"> The secretariat shall report on: </w:t>
      </w:r>
    </w:p>
    <w:p w14:paraId="385066A4" w14:textId="69A02268" w:rsidR="00E845A4" w:rsidRPr="0022325D" w:rsidRDefault="00E845A4" w:rsidP="00593B3D">
      <w:pPr>
        <w:pStyle w:val="enumlev1"/>
        <w:rPr>
          <w:lang w:val="en-GB"/>
        </w:rPr>
      </w:pPr>
      <w:r w:rsidRPr="0022325D">
        <w:rPr>
          <w:lang w:val="en-GB"/>
        </w:rPr>
        <w:t xml:space="preserve">– </w:t>
      </w:r>
      <w:r w:rsidRPr="0022325D">
        <w:rPr>
          <w:lang w:val="en-GB"/>
        </w:rPr>
        <w:tab/>
      </w:r>
      <w:r w:rsidR="00B43806" w:rsidRPr="0022325D">
        <w:rPr>
          <w:lang w:val="en-GB"/>
        </w:rPr>
        <w:t xml:space="preserve">the allocation </w:t>
      </w:r>
      <w:r w:rsidRPr="0022325D">
        <w:rPr>
          <w:lang w:val="en-GB"/>
        </w:rPr>
        <w:t>of staff time and budget for each activity level;</w:t>
      </w:r>
    </w:p>
    <w:p w14:paraId="7F7E75DE" w14:textId="3753D60F" w:rsidR="00E845A4" w:rsidRPr="0022325D" w:rsidRDefault="00E845A4" w:rsidP="00593B3D">
      <w:pPr>
        <w:pStyle w:val="enumlev1"/>
        <w:rPr>
          <w:lang w:val="en-GB"/>
        </w:rPr>
      </w:pPr>
      <w:r w:rsidRPr="0022325D">
        <w:rPr>
          <w:lang w:val="en-GB"/>
        </w:rPr>
        <w:t xml:space="preserve">– </w:t>
      </w:r>
      <w:r w:rsidRPr="0022325D">
        <w:rPr>
          <w:lang w:val="en-GB"/>
        </w:rPr>
        <w:tab/>
        <w:t xml:space="preserve">progress on </w:t>
      </w:r>
      <w:r w:rsidR="00B43806" w:rsidRPr="0022325D">
        <w:rPr>
          <w:lang w:val="en-GB"/>
        </w:rPr>
        <w:t xml:space="preserve">the </w:t>
      </w:r>
      <w:r w:rsidR="001B1F87" w:rsidRPr="0022325D">
        <w:rPr>
          <w:lang w:val="en-GB"/>
        </w:rPr>
        <w:t>terminat</w:t>
      </w:r>
      <w:r w:rsidR="00B43806" w:rsidRPr="0022325D">
        <w:rPr>
          <w:lang w:val="en-GB"/>
        </w:rPr>
        <w:t>ing</w:t>
      </w:r>
      <w:r w:rsidRPr="0022325D">
        <w:rPr>
          <w:lang w:val="en-GB"/>
        </w:rPr>
        <w:t xml:space="preserve"> or restructuring </w:t>
      </w:r>
      <w:r w:rsidR="00B43806" w:rsidRPr="0022325D">
        <w:rPr>
          <w:lang w:val="en-GB"/>
        </w:rPr>
        <w:t xml:space="preserve">of </w:t>
      </w:r>
      <w:r w:rsidRPr="0022325D">
        <w:rPr>
          <w:lang w:val="en-GB"/>
        </w:rPr>
        <w:t>non-core activities;</w:t>
      </w:r>
    </w:p>
    <w:p w14:paraId="317CD31D" w14:textId="11F39A7E" w:rsidR="00E845A4" w:rsidRPr="0022325D" w:rsidRDefault="00E845A4" w:rsidP="00593B3D">
      <w:pPr>
        <w:pStyle w:val="enumlev1"/>
        <w:rPr>
          <w:lang w:val="en-GB"/>
        </w:rPr>
      </w:pPr>
      <w:r w:rsidRPr="0022325D">
        <w:rPr>
          <w:lang w:val="en-GB"/>
        </w:rPr>
        <w:t xml:space="preserve">– </w:t>
      </w:r>
      <w:r w:rsidRPr="0022325D">
        <w:rPr>
          <w:lang w:val="en-GB"/>
        </w:rPr>
        <w:tab/>
        <w:t>new activities</w:t>
      </w:r>
      <w:r w:rsidR="00255656" w:rsidRPr="0022325D">
        <w:rPr>
          <w:lang w:val="en-GB"/>
        </w:rPr>
        <w:t>,</w:t>
      </w:r>
      <w:r w:rsidRPr="0022325D">
        <w:rPr>
          <w:lang w:val="en-GB"/>
        </w:rPr>
        <w:t xml:space="preserve"> with </w:t>
      </w:r>
      <w:r w:rsidR="00255656" w:rsidRPr="0022325D">
        <w:rPr>
          <w:lang w:val="en-GB"/>
        </w:rPr>
        <w:t xml:space="preserve">statements </w:t>
      </w:r>
      <w:r w:rsidRPr="0022325D">
        <w:rPr>
          <w:lang w:val="en-GB"/>
        </w:rPr>
        <w:t xml:space="preserve">of </w:t>
      </w:r>
      <w:r w:rsidR="00255656" w:rsidRPr="0022325D">
        <w:rPr>
          <w:lang w:val="en-GB"/>
        </w:rPr>
        <w:t xml:space="preserve">alignment </w:t>
      </w:r>
      <w:r w:rsidRPr="0022325D">
        <w:rPr>
          <w:lang w:val="en-GB"/>
        </w:rPr>
        <w:t>with the purposes of the Union.</w:t>
      </w:r>
    </w:p>
    <w:p w14:paraId="1CBBD6FB" w14:textId="55FD7DF2" w:rsidR="00E845A4" w:rsidRPr="0022325D" w:rsidRDefault="00593B3D" w:rsidP="00593B3D">
      <w:pPr>
        <w:pStyle w:val="Heading1"/>
        <w:rPr>
          <w:lang w:val="en-GB"/>
        </w:rPr>
      </w:pPr>
      <w:r w:rsidRPr="0022325D">
        <w:rPr>
          <w:bCs/>
          <w:lang w:val="en-GB"/>
        </w:rPr>
        <w:t>4</w:t>
      </w:r>
      <w:r w:rsidRPr="0022325D">
        <w:rPr>
          <w:lang w:val="en-GB"/>
        </w:rPr>
        <w:tab/>
      </w:r>
      <w:r w:rsidRPr="0022325D">
        <w:rPr>
          <w:bCs/>
          <w:lang w:val="en-GB"/>
        </w:rPr>
        <w:t>Conclusion</w:t>
      </w:r>
    </w:p>
    <w:p w14:paraId="6D330DAF" w14:textId="6E5F2AB0" w:rsidR="00E845A4" w:rsidRPr="0022325D" w:rsidRDefault="00E845A4" w:rsidP="00593B3D">
      <w:pPr>
        <w:rPr>
          <w:lang w:val="en-GB"/>
        </w:rPr>
      </w:pPr>
      <w:r w:rsidRPr="0022325D">
        <w:rPr>
          <w:lang w:val="en-GB"/>
        </w:rPr>
        <w:t xml:space="preserve">ITU </w:t>
      </w:r>
      <w:r w:rsidR="001B1F87" w:rsidRPr="0022325D">
        <w:rPr>
          <w:lang w:val="en-GB"/>
        </w:rPr>
        <w:t>must</w:t>
      </w:r>
      <w:r w:rsidRPr="0022325D">
        <w:rPr>
          <w:lang w:val="en-GB"/>
        </w:rPr>
        <w:t xml:space="preserve"> </w:t>
      </w:r>
      <w:r w:rsidR="00255656" w:rsidRPr="0022325D">
        <w:rPr>
          <w:lang w:val="en-GB"/>
        </w:rPr>
        <w:t xml:space="preserve">adopt an approach </w:t>
      </w:r>
      <w:r w:rsidR="004104B6" w:rsidRPr="0022325D">
        <w:rPr>
          <w:lang w:val="en-GB"/>
        </w:rPr>
        <w:t xml:space="preserve">that allows it to return to </w:t>
      </w:r>
      <w:r w:rsidRPr="0022325D">
        <w:rPr>
          <w:lang w:val="en-GB"/>
        </w:rPr>
        <w:t>prioritiz</w:t>
      </w:r>
      <w:r w:rsidR="004104B6" w:rsidRPr="0022325D">
        <w:rPr>
          <w:lang w:val="en-GB"/>
        </w:rPr>
        <w:t>ing</w:t>
      </w:r>
      <w:r w:rsidR="001B1F87" w:rsidRPr="0022325D">
        <w:rPr>
          <w:lang w:val="en-GB"/>
        </w:rPr>
        <w:t xml:space="preserve"> </w:t>
      </w:r>
      <w:r w:rsidRPr="0022325D">
        <w:rPr>
          <w:lang w:val="en-GB"/>
        </w:rPr>
        <w:t xml:space="preserve">core functions and </w:t>
      </w:r>
      <w:r w:rsidR="00950499" w:rsidRPr="0022325D">
        <w:rPr>
          <w:lang w:val="en-GB"/>
        </w:rPr>
        <w:t>objectives</w:t>
      </w:r>
      <w:r w:rsidRPr="0022325D">
        <w:rPr>
          <w:lang w:val="en-GB"/>
        </w:rPr>
        <w:t xml:space="preserve"> in order to </w:t>
      </w:r>
      <w:r w:rsidR="00950499" w:rsidRPr="0022325D">
        <w:rPr>
          <w:lang w:val="en-GB"/>
        </w:rPr>
        <w:t>expand</w:t>
      </w:r>
      <w:r w:rsidRPr="0022325D">
        <w:rPr>
          <w:lang w:val="en-GB"/>
        </w:rPr>
        <w:t xml:space="preserve"> its influence, </w:t>
      </w:r>
      <w:r w:rsidR="00950499" w:rsidRPr="0022325D">
        <w:rPr>
          <w:lang w:val="en-GB"/>
        </w:rPr>
        <w:t xml:space="preserve">enhance its </w:t>
      </w:r>
      <w:r w:rsidRPr="0022325D">
        <w:rPr>
          <w:lang w:val="en-GB"/>
        </w:rPr>
        <w:t xml:space="preserve">technical credibility, streamline operations and build stakeholder confidence. The aim is not to </w:t>
      </w:r>
      <w:r w:rsidR="00950499" w:rsidRPr="0022325D">
        <w:rPr>
          <w:lang w:val="en-GB"/>
        </w:rPr>
        <w:t>scale back</w:t>
      </w:r>
      <w:r w:rsidRPr="0022325D">
        <w:rPr>
          <w:lang w:val="en-GB"/>
        </w:rPr>
        <w:t xml:space="preserve"> </w:t>
      </w:r>
      <w:r w:rsidR="00950499" w:rsidRPr="0022325D">
        <w:rPr>
          <w:lang w:val="en-GB"/>
        </w:rPr>
        <w:t>the work of ITU</w:t>
      </w:r>
      <w:r w:rsidRPr="0022325D">
        <w:rPr>
          <w:lang w:val="en-GB"/>
        </w:rPr>
        <w:t xml:space="preserve">, but to strategically refocus on </w:t>
      </w:r>
      <w:r w:rsidR="004104B6" w:rsidRPr="0022325D">
        <w:rPr>
          <w:lang w:val="en-GB"/>
        </w:rPr>
        <w:t>its core comparative advantages</w:t>
      </w:r>
      <w:r w:rsidRPr="0022325D">
        <w:rPr>
          <w:lang w:val="en-GB"/>
        </w:rPr>
        <w:t>.</w:t>
      </w:r>
    </w:p>
    <w:p w14:paraId="5AA0DCBF" w14:textId="77777777" w:rsidR="00E845A4" w:rsidRPr="0022325D" w:rsidRDefault="00E845A4" w:rsidP="00E845A4">
      <w:pPr>
        <w:snapToGrid w:val="0"/>
        <w:spacing w:before="0"/>
        <w:rPr>
          <w:rFonts w:asciiTheme="minorHAnsi" w:hAnsiTheme="minorHAnsi"/>
          <w:szCs w:val="24"/>
          <w:lang w:val="en-GB"/>
        </w:rPr>
      </w:pPr>
    </w:p>
    <w:p w14:paraId="6841740F" w14:textId="77777777" w:rsidR="00E845A4" w:rsidRPr="0022325D" w:rsidRDefault="00E845A4" w:rsidP="00593B3D">
      <w:pPr>
        <w:rPr>
          <w:lang w:val="en-GB"/>
        </w:rPr>
      </w:pPr>
    </w:p>
    <w:p w14:paraId="320E5A23" w14:textId="77777777" w:rsidR="00E845A4" w:rsidRPr="0022325D" w:rsidRDefault="00E845A4" w:rsidP="00593B3D">
      <w:pPr>
        <w:rPr>
          <w:b/>
          <w:bCs/>
          <w:lang w:val="en-GB"/>
        </w:rPr>
      </w:pPr>
      <w:r w:rsidRPr="0022325D">
        <w:rPr>
          <w:b/>
          <w:bCs/>
          <w:lang w:val="en-GB"/>
        </w:rPr>
        <w:t xml:space="preserve">Annex: </w:t>
      </w:r>
      <w:r w:rsidRPr="0022325D">
        <w:rPr>
          <w:lang w:val="en-GB"/>
        </w:rPr>
        <w:t>1</w:t>
      </w:r>
    </w:p>
    <w:p w14:paraId="6BA4BFC3" w14:textId="77777777" w:rsidR="00E845A4" w:rsidRPr="0022325D" w:rsidRDefault="00E845A4" w:rsidP="00E845A4">
      <w:pPr>
        <w:snapToGrid w:val="0"/>
        <w:spacing w:before="0"/>
        <w:rPr>
          <w:rFonts w:asciiTheme="minorHAnsi" w:hAnsiTheme="minorHAnsi"/>
          <w:szCs w:val="24"/>
          <w:lang w:val="en-GB"/>
        </w:rPr>
      </w:pPr>
      <w:r w:rsidRPr="0022325D">
        <w:rPr>
          <w:rFonts w:asciiTheme="minorHAnsi" w:hAnsiTheme="minorHAnsi"/>
          <w:szCs w:val="24"/>
          <w:lang w:val="en-GB"/>
        </w:rPr>
        <w:br w:type="page"/>
      </w:r>
    </w:p>
    <w:p w14:paraId="2A5D8DE2" w14:textId="31D3DEAF" w:rsidR="00E845A4" w:rsidRPr="0022325D" w:rsidRDefault="00B43806" w:rsidP="00593B3D">
      <w:pPr>
        <w:pStyle w:val="AnnexNo"/>
        <w:rPr>
          <w:lang w:val="en-GB"/>
        </w:rPr>
      </w:pPr>
      <w:r w:rsidRPr="0022325D">
        <w:rPr>
          <w:lang w:val="en-GB"/>
        </w:rPr>
        <w:t xml:space="preserve">ANNEX </w:t>
      </w:r>
      <w:r w:rsidR="00E845A4" w:rsidRPr="0022325D">
        <w:rPr>
          <w:lang w:val="en-GB"/>
        </w:rPr>
        <w:t>1</w:t>
      </w:r>
    </w:p>
    <w:p w14:paraId="3A5846A3" w14:textId="77777777" w:rsidR="0022325D" w:rsidRPr="0022325D" w:rsidRDefault="0022325D" w:rsidP="0022325D">
      <w:pPr>
        <w:pStyle w:val="Annexref"/>
        <w:rPr>
          <w:lang w:val="en-GB"/>
        </w:rPr>
      </w:pPr>
    </w:p>
    <w:p w14:paraId="6218DC42" w14:textId="53F59CD2" w:rsidR="00E845A4" w:rsidRPr="0022325D" w:rsidRDefault="00E845A4" w:rsidP="00593B3D">
      <w:pPr>
        <w:pStyle w:val="Headingb"/>
        <w:rPr>
          <w:lang w:val="en-GB"/>
        </w:rPr>
      </w:pPr>
      <w:r w:rsidRPr="0022325D">
        <w:rPr>
          <w:bCs/>
          <w:lang w:val="en-GB"/>
        </w:rPr>
        <w:t>Indicators</w:t>
      </w:r>
    </w:p>
    <w:p w14:paraId="6EC6C2EA" w14:textId="63F839AD" w:rsidR="00E845A4" w:rsidRPr="0022325D" w:rsidRDefault="00E845A4" w:rsidP="00593B3D">
      <w:pPr>
        <w:pStyle w:val="enumlev1"/>
        <w:rPr>
          <w:lang w:val="en-GB"/>
        </w:rPr>
      </w:pPr>
      <w:r w:rsidRPr="0022325D">
        <w:rPr>
          <w:lang w:val="en-GB"/>
        </w:rPr>
        <w:t xml:space="preserve">– </w:t>
      </w:r>
      <w:r w:rsidRPr="0022325D">
        <w:rPr>
          <w:lang w:val="en-GB"/>
        </w:rPr>
        <w:tab/>
        <w:t>Is the activity mentioned in the instruments</w:t>
      </w:r>
      <w:r w:rsidR="00573E86" w:rsidRPr="0022325D">
        <w:rPr>
          <w:lang w:val="en-GB"/>
        </w:rPr>
        <w:t xml:space="preserve"> of the Union</w:t>
      </w:r>
      <w:r w:rsidRPr="0022325D">
        <w:rPr>
          <w:lang w:val="en-GB"/>
        </w:rPr>
        <w:t>?</w:t>
      </w:r>
    </w:p>
    <w:p w14:paraId="5A307D46" w14:textId="31BA10E7" w:rsidR="00E845A4" w:rsidRPr="0022325D" w:rsidRDefault="00E845A4" w:rsidP="00593B3D">
      <w:pPr>
        <w:pStyle w:val="enumlev1"/>
        <w:rPr>
          <w:lang w:val="en-GB"/>
        </w:rPr>
      </w:pPr>
      <w:r w:rsidRPr="0022325D">
        <w:rPr>
          <w:lang w:val="en-GB"/>
        </w:rPr>
        <w:t xml:space="preserve">– </w:t>
      </w:r>
      <w:r w:rsidRPr="0022325D">
        <w:rPr>
          <w:lang w:val="en-GB"/>
        </w:rPr>
        <w:tab/>
        <w:t xml:space="preserve">Is ITU the </w:t>
      </w:r>
      <w:r w:rsidR="00083BB8" w:rsidRPr="0022325D">
        <w:rPr>
          <w:lang w:val="en-GB"/>
        </w:rPr>
        <w:t xml:space="preserve">sole </w:t>
      </w:r>
      <w:r w:rsidRPr="0022325D">
        <w:rPr>
          <w:lang w:val="en-GB"/>
        </w:rPr>
        <w:t xml:space="preserve">global technical </w:t>
      </w:r>
      <w:r w:rsidR="00083BB8" w:rsidRPr="0022325D">
        <w:rPr>
          <w:lang w:val="en-GB"/>
        </w:rPr>
        <w:t xml:space="preserve">forum </w:t>
      </w:r>
      <w:r w:rsidRPr="0022325D">
        <w:rPr>
          <w:lang w:val="en-GB"/>
        </w:rPr>
        <w:t xml:space="preserve">relevant to this </w:t>
      </w:r>
      <w:r w:rsidR="00B43806" w:rsidRPr="0022325D">
        <w:rPr>
          <w:lang w:val="en-GB"/>
        </w:rPr>
        <w:t>issue</w:t>
      </w:r>
      <w:r w:rsidRPr="0022325D">
        <w:rPr>
          <w:lang w:val="en-GB"/>
        </w:rPr>
        <w:t>?</w:t>
      </w:r>
    </w:p>
    <w:p w14:paraId="1142C06C" w14:textId="0EC6A0D2" w:rsidR="00E845A4" w:rsidRPr="0022325D" w:rsidRDefault="00E845A4" w:rsidP="00593B3D">
      <w:pPr>
        <w:pStyle w:val="enumlev1"/>
        <w:rPr>
          <w:lang w:val="en-GB"/>
        </w:rPr>
      </w:pPr>
      <w:r w:rsidRPr="0022325D">
        <w:rPr>
          <w:lang w:val="en-GB"/>
        </w:rPr>
        <w:t xml:space="preserve">– </w:t>
      </w:r>
      <w:r w:rsidRPr="0022325D">
        <w:rPr>
          <w:lang w:val="en-GB"/>
        </w:rPr>
        <w:tab/>
        <w:t>Do other U</w:t>
      </w:r>
      <w:r w:rsidR="004A4155" w:rsidRPr="0022325D">
        <w:rPr>
          <w:lang w:val="en-GB"/>
        </w:rPr>
        <w:t xml:space="preserve">nited </w:t>
      </w:r>
      <w:r w:rsidRPr="0022325D">
        <w:rPr>
          <w:lang w:val="en-GB"/>
        </w:rPr>
        <w:t>N</w:t>
      </w:r>
      <w:r w:rsidR="004A4155" w:rsidRPr="0022325D">
        <w:rPr>
          <w:lang w:val="en-GB"/>
        </w:rPr>
        <w:t>ations</w:t>
      </w:r>
      <w:r w:rsidRPr="0022325D">
        <w:rPr>
          <w:lang w:val="en-GB"/>
        </w:rPr>
        <w:t xml:space="preserve"> agencies explicitly </w:t>
      </w:r>
      <w:r w:rsidR="004A4155" w:rsidRPr="0022325D">
        <w:rPr>
          <w:lang w:val="en-GB"/>
        </w:rPr>
        <w:t xml:space="preserve">acknowledge the leadership of </w:t>
      </w:r>
      <w:r w:rsidRPr="0022325D">
        <w:rPr>
          <w:lang w:val="en-GB"/>
        </w:rPr>
        <w:t>ITU?</w:t>
      </w:r>
    </w:p>
    <w:p w14:paraId="48DCA87B" w14:textId="77777777" w:rsidR="00E845A4" w:rsidRPr="0022325D" w:rsidRDefault="00E845A4" w:rsidP="00593B3D">
      <w:pPr>
        <w:pStyle w:val="Headingb"/>
        <w:rPr>
          <w:lang w:val="en-GB"/>
        </w:rPr>
      </w:pPr>
      <w:r w:rsidRPr="0022325D">
        <w:rPr>
          <w:bCs/>
          <w:lang w:val="en-GB"/>
        </w:rPr>
        <w:t>Key questions for each activity</w:t>
      </w:r>
    </w:p>
    <w:p w14:paraId="543847D4" w14:textId="3DD88DDB" w:rsidR="00E845A4" w:rsidRPr="0022325D" w:rsidRDefault="00E845A4" w:rsidP="00593B3D">
      <w:pPr>
        <w:pStyle w:val="enumlev1"/>
        <w:rPr>
          <w:lang w:val="en-GB"/>
        </w:rPr>
      </w:pPr>
      <w:r w:rsidRPr="0022325D">
        <w:rPr>
          <w:lang w:val="en-GB"/>
        </w:rPr>
        <w:t xml:space="preserve">– </w:t>
      </w:r>
      <w:r w:rsidRPr="0022325D">
        <w:rPr>
          <w:lang w:val="en-GB"/>
        </w:rPr>
        <w:tab/>
        <w:t xml:space="preserve">Does the activity directly support the core purposes of the Union (ITU-R, ITU-T, ITU-D) as defined by the Constitution, </w:t>
      </w:r>
      <w:r w:rsidR="004A4155" w:rsidRPr="0022325D">
        <w:rPr>
          <w:lang w:val="en-GB"/>
        </w:rPr>
        <w:t xml:space="preserve">the </w:t>
      </w:r>
      <w:r w:rsidRPr="0022325D">
        <w:rPr>
          <w:lang w:val="en-GB"/>
        </w:rPr>
        <w:t xml:space="preserve">Convention, </w:t>
      </w:r>
      <w:r w:rsidR="004A4155" w:rsidRPr="0022325D">
        <w:rPr>
          <w:lang w:val="en-GB"/>
        </w:rPr>
        <w:t xml:space="preserve">the </w:t>
      </w:r>
      <w:r w:rsidRPr="0022325D">
        <w:rPr>
          <w:lang w:val="en-GB"/>
        </w:rPr>
        <w:t xml:space="preserve">Radio Regulations and </w:t>
      </w:r>
      <w:r w:rsidR="004A4155" w:rsidRPr="0022325D">
        <w:rPr>
          <w:lang w:val="en-GB"/>
        </w:rPr>
        <w:t xml:space="preserve">the </w:t>
      </w:r>
      <w:r w:rsidRPr="0022325D">
        <w:rPr>
          <w:lang w:val="en-GB"/>
        </w:rPr>
        <w:t>International Telecommunication Regulations?</w:t>
      </w:r>
    </w:p>
    <w:p w14:paraId="0E28855B" w14:textId="04BB913F" w:rsidR="00E845A4" w:rsidRPr="0022325D" w:rsidRDefault="00E845A4" w:rsidP="00593B3D">
      <w:pPr>
        <w:pStyle w:val="enumlev1"/>
        <w:rPr>
          <w:lang w:val="en-GB"/>
        </w:rPr>
      </w:pPr>
      <w:r w:rsidRPr="0022325D">
        <w:rPr>
          <w:lang w:val="en-GB"/>
        </w:rPr>
        <w:t xml:space="preserve">– </w:t>
      </w:r>
      <w:r w:rsidRPr="0022325D">
        <w:rPr>
          <w:lang w:val="en-GB"/>
        </w:rPr>
        <w:tab/>
        <w:t xml:space="preserve">Is the activity necessary, effective and </w:t>
      </w:r>
      <w:r w:rsidR="002674EC" w:rsidRPr="0022325D">
        <w:rPr>
          <w:lang w:val="en-GB"/>
        </w:rPr>
        <w:t>appropriate</w:t>
      </w:r>
      <w:r w:rsidR="008338D5" w:rsidRPr="0022325D">
        <w:rPr>
          <w:lang w:val="en-GB"/>
        </w:rPr>
        <w:t xml:space="preserve"> in view of</w:t>
      </w:r>
      <w:r w:rsidRPr="0022325D">
        <w:rPr>
          <w:lang w:val="en-GB"/>
        </w:rPr>
        <w:t xml:space="preserve"> the purposes of the Union and </w:t>
      </w:r>
      <w:r w:rsidR="00083BB8" w:rsidRPr="0022325D">
        <w:rPr>
          <w:lang w:val="en-GB"/>
        </w:rPr>
        <w:t>its comparative advantages</w:t>
      </w:r>
      <w:r w:rsidRPr="0022325D">
        <w:rPr>
          <w:lang w:val="en-GB"/>
        </w:rPr>
        <w:t>?</w:t>
      </w:r>
    </w:p>
    <w:p w14:paraId="4390B8C5" w14:textId="299ACA0A" w:rsidR="00E845A4" w:rsidRPr="0022325D" w:rsidRDefault="00E845A4" w:rsidP="00593B3D">
      <w:pPr>
        <w:pStyle w:val="enumlev1"/>
        <w:rPr>
          <w:lang w:val="en-GB"/>
        </w:rPr>
      </w:pPr>
      <w:r w:rsidRPr="0022325D">
        <w:rPr>
          <w:lang w:val="en-GB"/>
        </w:rPr>
        <w:t xml:space="preserve">– </w:t>
      </w:r>
      <w:r w:rsidRPr="0022325D">
        <w:rPr>
          <w:lang w:val="en-GB"/>
        </w:rPr>
        <w:tab/>
        <w:t xml:space="preserve">Does ITU possess </w:t>
      </w:r>
      <w:r w:rsidR="004A4155" w:rsidRPr="0022325D">
        <w:rPr>
          <w:lang w:val="en-GB"/>
        </w:rPr>
        <w:t xml:space="preserve">unique </w:t>
      </w:r>
      <w:r w:rsidRPr="0022325D">
        <w:rPr>
          <w:lang w:val="en-GB"/>
        </w:rPr>
        <w:t>technical expertise</w:t>
      </w:r>
      <w:r w:rsidR="00083BB8" w:rsidRPr="0022325D">
        <w:rPr>
          <w:lang w:val="en-GB"/>
        </w:rPr>
        <w:t>,</w:t>
      </w:r>
      <w:r w:rsidRPr="0022325D">
        <w:rPr>
          <w:lang w:val="en-GB"/>
        </w:rPr>
        <w:t xml:space="preserve"> or </w:t>
      </w:r>
      <w:r w:rsidR="00083BB8" w:rsidRPr="0022325D">
        <w:rPr>
          <w:lang w:val="en-GB"/>
        </w:rPr>
        <w:t xml:space="preserve">does </w:t>
      </w:r>
      <w:r w:rsidRPr="0022325D">
        <w:rPr>
          <w:lang w:val="en-GB"/>
        </w:rPr>
        <w:t>t</w:t>
      </w:r>
      <w:r w:rsidR="00083BB8" w:rsidRPr="0022325D">
        <w:rPr>
          <w:lang w:val="en-GB"/>
        </w:rPr>
        <w:t>he activity</w:t>
      </w:r>
      <w:r w:rsidRPr="0022325D">
        <w:rPr>
          <w:lang w:val="en-GB"/>
        </w:rPr>
        <w:t xml:space="preserve"> duplicat</w:t>
      </w:r>
      <w:r w:rsidR="00083BB8" w:rsidRPr="0022325D">
        <w:rPr>
          <w:lang w:val="en-GB"/>
        </w:rPr>
        <w:t>e</w:t>
      </w:r>
      <w:r w:rsidRPr="0022325D">
        <w:rPr>
          <w:lang w:val="en-GB"/>
        </w:rPr>
        <w:t xml:space="preserve"> the work of another U</w:t>
      </w:r>
      <w:r w:rsidR="00801307" w:rsidRPr="0022325D">
        <w:rPr>
          <w:lang w:val="en-GB"/>
        </w:rPr>
        <w:t xml:space="preserve">nited </w:t>
      </w:r>
      <w:r w:rsidRPr="0022325D">
        <w:rPr>
          <w:lang w:val="en-GB"/>
        </w:rPr>
        <w:t>N</w:t>
      </w:r>
      <w:r w:rsidR="00801307" w:rsidRPr="0022325D">
        <w:rPr>
          <w:lang w:val="en-GB"/>
        </w:rPr>
        <w:t>ations</w:t>
      </w:r>
      <w:r w:rsidRPr="0022325D">
        <w:rPr>
          <w:lang w:val="en-GB"/>
        </w:rPr>
        <w:t xml:space="preserve"> </w:t>
      </w:r>
      <w:r w:rsidR="00083BB8" w:rsidRPr="0022325D">
        <w:rPr>
          <w:lang w:val="en-GB"/>
        </w:rPr>
        <w:t xml:space="preserve">agency </w:t>
      </w:r>
      <w:r w:rsidRPr="0022325D">
        <w:rPr>
          <w:lang w:val="en-GB"/>
        </w:rPr>
        <w:t>(</w:t>
      </w:r>
      <w:r w:rsidR="00083BB8" w:rsidRPr="0022325D">
        <w:rPr>
          <w:lang w:val="en-GB"/>
        </w:rPr>
        <w:t>UNDP</w:t>
      </w:r>
      <w:r w:rsidRPr="0022325D">
        <w:rPr>
          <w:lang w:val="en-GB"/>
        </w:rPr>
        <w:t xml:space="preserve">, UNESCO, </w:t>
      </w:r>
      <w:r w:rsidR="00801307" w:rsidRPr="0022325D">
        <w:rPr>
          <w:lang w:val="en-GB"/>
        </w:rPr>
        <w:t>UNEP</w:t>
      </w:r>
      <w:r w:rsidRPr="0022325D">
        <w:rPr>
          <w:lang w:val="en-GB"/>
        </w:rPr>
        <w:t xml:space="preserve">, </w:t>
      </w:r>
      <w:r w:rsidR="00801307" w:rsidRPr="0022325D">
        <w:rPr>
          <w:lang w:val="en-GB"/>
        </w:rPr>
        <w:t>WHO</w:t>
      </w:r>
      <w:r w:rsidRPr="0022325D">
        <w:rPr>
          <w:lang w:val="en-GB"/>
        </w:rPr>
        <w:t>, etc.)?</w:t>
      </w:r>
    </w:p>
    <w:p w14:paraId="220D26B3" w14:textId="32771971" w:rsidR="00E845A4" w:rsidRPr="0022325D" w:rsidRDefault="00E845A4" w:rsidP="00593B3D">
      <w:pPr>
        <w:pStyle w:val="enumlev1"/>
        <w:rPr>
          <w:lang w:val="en-GB"/>
        </w:rPr>
      </w:pPr>
      <w:r w:rsidRPr="0022325D">
        <w:rPr>
          <w:lang w:val="en-GB"/>
        </w:rPr>
        <w:t xml:space="preserve">– </w:t>
      </w:r>
      <w:r w:rsidRPr="0022325D">
        <w:rPr>
          <w:lang w:val="en-GB"/>
        </w:rPr>
        <w:tab/>
      </w:r>
      <w:r w:rsidR="00083BB8" w:rsidRPr="0022325D">
        <w:rPr>
          <w:lang w:val="en-GB"/>
        </w:rPr>
        <w:t>Even if the</w:t>
      </w:r>
      <w:r w:rsidRPr="0022325D">
        <w:rPr>
          <w:lang w:val="en-GB"/>
        </w:rPr>
        <w:t xml:space="preserve"> activity </w:t>
      </w:r>
      <w:r w:rsidR="00083BB8" w:rsidRPr="0022325D">
        <w:rPr>
          <w:lang w:val="en-GB"/>
        </w:rPr>
        <w:t xml:space="preserve">is </w:t>
      </w:r>
      <w:r w:rsidRPr="0022325D">
        <w:rPr>
          <w:lang w:val="en-GB"/>
        </w:rPr>
        <w:t>well-intentioned, is the approach of ITU effective</w:t>
      </w:r>
      <w:r w:rsidR="00083BB8" w:rsidRPr="0022325D">
        <w:rPr>
          <w:lang w:val="en-GB"/>
        </w:rPr>
        <w:t>,</w:t>
      </w:r>
      <w:r w:rsidRPr="0022325D">
        <w:rPr>
          <w:lang w:val="en-GB"/>
        </w:rPr>
        <w:t xml:space="preserve"> </w:t>
      </w:r>
      <w:r w:rsidR="00083BB8" w:rsidRPr="0022325D">
        <w:rPr>
          <w:lang w:val="en-GB"/>
        </w:rPr>
        <w:t>or</w:t>
      </w:r>
      <w:r w:rsidRPr="0022325D">
        <w:rPr>
          <w:lang w:val="en-GB"/>
        </w:rPr>
        <w:t xml:space="preserve"> does it fall outside </w:t>
      </w:r>
      <w:r w:rsidR="000B5F55" w:rsidRPr="0022325D">
        <w:rPr>
          <w:lang w:val="en-GB"/>
        </w:rPr>
        <w:t xml:space="preserve">its </w:t>
      </w:r>
      <w:r w:rsidRPr="0022325D">
        <w:rPr>
          <w:lang w:val="en-GB"/>
        </w:rPr>
        <w:t>area of expertise (e.g. soci</w:t>
      </w:r>
      <w:r w:rsidR="00CF682A" w:rsidRPr="0022325D">
        <w:rPr>
          <w:lang w:val="en-GB"/>
        </w:rPr>
        <w:t>o-political</w:t>
      </w:r>
      <w:r w:rsidRPr="0022325D">
        <w:rPr>
          <w:lang w:val="en-GB"/>
        </w:rPr>
        <w:t xml:space="preserve"> </w:t>
      </w:r>
      <w:r w:rsidR="00CF682A" w:rsidRPr="0022325D">
        <w:rPr>
          <w:lang w:val="en-GB"/>
        </w:rPr>
        <w:t>issues</w:t>
      </w:r>
      <w:r w:rsidRPr="0022325D">
        <w:rPr>
          <w:lang w:val="en-GB"/>
        </w:rPr>
        <w:t>, international humanitarian law)?</w:t>
      </w:r>
    </w:p>
    <w:p w14:paraId="6D925F4A" w14:textId="15D0582F" w:rsidR="00E845A4" w:rsidRPr="0022325D" w:rsidRDefault="00E845A4" w:rsidP="00593B3D">
      <w:pPr>
        <w:pStyle w:val="enumlev1"/>
        <w:rPr>
          <w:lang w:val="en-GB"/>
        </w:rPr>
      </w:pPr>
      <w:r w:rsidRPr="0022325D">
        <w:rPr>
          <w:lang w:val="en-GB"/>
        </w:rPr>
        <w:t xml:space="preserve">– </w:t>
      </w:r>
      <w:r w:rsidRPr="0022325D">
        <w:rPr>
          <w:lang w:val="en-GB"/>
        </w:rPr>
        <w:tab/>
        <w:t xml:space="preserve">Does the activity divert resources away from core </w:t>
      </w:r>
      <w:r w:rsidR="00CF682A" w:rsidRPr="0022325D">
        <w:rPr>
          <w:lang w:val="en-GB"/>
        </w:rPr>
        <w:t xml:space="preserve">ITU </w:t>
      </w:r>
      <w:r w:rsidRPr="0022325D">
        <w:rPr>
          <w:lang w:val="en-GB"/>
        </w:rPr>
        <w:t>functions (</w:t>
      </w:r>
      <w:r w:rsidR="008338D5" w:rsidRPr="0022325D">
        <w:rPr>
          <w:lang w:val="en-GB"/>
        </w:rPr>
        <w:t>e.g.</w:t>
      </w:r>
      <w:r w:rsidR="00CF682A" w:rsidRPr="0022325D">
        <w:rPr>
          <w:lang w:val="en-GB"/>
        </w:rPr>
        <w:t xml:space="preserve"> </w:t>
      </w:r>
      <w:r w:rsidRPr="0022325D">
        <w:rPr>
          <w:lang w:val="en-GB"/>
        </w:rPr>
        <w:t>preparing WRCs, meeting deadlines</w:t>
      </w:r>
      <w:r w:rsidR="009C55B8" w:rsidRPr="0022325D">
        <w:rPr>
          <w:lang w:val="en-GB"/>
        </w:rPr>
        <w:t xml:space="preserve"> for processing of filings</w:t>
      </w:r>
      <w:r w:rsidRPr="0022325D">
        <w:rPr>
          <w:lang w:val="en-GB"/>
        </w:rPr>
        <w:t>, ensuring database integrity</w:t>
      </w:r>
      <w:r w:rsidR="00CF682A" w:rsidRPr="0022325D">
        <w:rPr>
          <w:lang w:val="en-GB"/>
        </w:rPr>
        <w:t xml:space="preserve"> and</w:t>
      </w:r>
      <w:r w:rsidRPr="0022325D">
        <w:rPr>
          <w:lang w:val="en-GB"/>
        </w:rPr>
        <w:t xml:space="preserve"> developing standards)?</w:t>
      </w:r>
    </w:p>
    <w:p w14:paraId="235E97EA" w14:textId="7C37D44D" w:rsidR="00E845A4" w:rsidRPr="0022325D" w:rsidRDefault="00E845A4" w:rsidP="00593B3D">
      <w:pPr>
        <w:rPr>
          <w:lang w:val="en-GB"/>
        </w:rPr>
      </w:pPr>
      <w:r w:rsidRPr="0022325D">
        <w:rPr>
          <w:lang w:val="en-GB"/>
        </w:rPr>
        <w:t>The review sh</w:t>
      </w:r>
      <w:r w:rsidR="009C55B8" w:rsidRPr="0022325D">
        <w:rPr>
          <w:lang w:val="en-GB"/>
        </w:rPr>
        <w:t>all</w:t>
      </w:r>
      <w:r w:rsidRPr="0022325D">
        <w:rPr>
          <w:lang w:val="en-GB"/>
        </w:rPr>
        <w:t xml:space="preserve"> also assess outcomes: </w:t>
      </w:r>
      <w:r w:rsidR="009C55B8" w:rsidRPr="0022325D">
        <w:rPr>
          <w:lang w:val="en-GB"/>
        </w:rPr>
        <w:t xml:space="preserve">level of </w:t>
      </w:r>
      <w:r w:rsidR="008338D5" w:rsidRPr="0022325D">
        <w:rPr>
          <w:lang w:val="en-GB"/>
        </w:rPr>
        <w:t>uptake</w:t>
      </w:r>
      <w:r w:rsidR="009C55B8" w:rsidRPr="0022325D">
        <w:rPr>
          <w:lang w:val="en-GB"/>
        </w:rPr>
        <w:t xml:space="preserve"> </w:t>
      </w:r>
      <w:r w:rsidR="008338D5" w:rsidRPr="0022325D">
        <w:rPr>
          <w:lang w:val="en-GB"/>
        </w:rPr>
        <w:t xml:space="preserve">by target stakeholders of </w:t>
      </w:r>
      <w:r w:rsidRPr="0022325D">
        <w:rPr>
          <w:lang w:val="en-GB"/>
        </w:rPr>
        <w:t>policies</w:t>
      </w:r>
      <w:r w:rsidR="009C55B8" w:rsidRPr="0022325D">
        <w:rPr>
          <w:lang w:val="en-GB"/>
        </w:rPr>
        <w:t xml:space="preserve"> developed</w:t>
      </w:r>
      <w:r w:rsidR="003C0FF7">
        <w:rPr>
          <w:lang w:val="en-GB"/>
        </w:rPr>
        <w:t>,</w:t>
      </w:r>
      <w:r w:rsidRPr="0022325D">
        <w:rPr>
          <w:lang w:val="en-GB"/>
        </w:rPr>
        <w:t xml:space="preserve"> sustain</w:t>
      </w:r>
      <w:r w:rsidR="008338D5" w:rsidRPr="0022325D">
        <w:rPr>
          <w:lang w:val="en-GB"/>
        </w:rPr>
        <w:t>ed</w:t>
      </w:r>
      <w:r w:rsidRPr="0022325D">
        <w:rPr>
          <w:lang w:val="en-GB"/>
        </w:rPr>
        <w:t xml:space="preserve"> improvement in technical </w:t>
      </w:r>
      <w:r w:rsidR="009C55B8" w:rsidRPr="0022325D">
        <w:rPr>
          <w:lang w:val="en-GB"/>
        </w:rPr>
        <w:t>competencies</w:t>
      </w:r>
      <w:r w:rsidRPr="0022325D">
        <w:rPr>
          <w:lang w:val="en-GB"/>
        </w:rPr>
        <w:t xml:space="preserve">, and tangible results </w:t>
      </w:r>
      <w:r w:rsidR="00CF682A" w:rsidRPr="0022325D">
        <w:rPr>
          <w:lang w:val="en-GB"/>
        </w:rPr>
        <w:t>delivered by</w:t>
      </w:r>
      <w:r w:rsidRPr="0022325D">
        <w:rPr>
          <w:lang w:val="en-GB"/>
        </w:rPr>
        <w:t xml:space="preserve"> the forums.</w:t>
      </w:r>
    </w:p>
    <w:p w14:paraId="7EF6B390" w14:textId="750AABDA" w:rsidR="00E845A4" w:rsidRPr="0022325D" w:rsidRDefault="00525FC4" w:rsidP="00593B3D">
      <w:pPr>
        <w:pStyle w:val="Headingb"/>
        <w:rPr>
          <w:lang w:val="en-GB"/>
        </w:rPr>
      </w:pPr>
      <w:r w:rsidRPr="0022325D">
        <w:rPr>
          <w:bCs/>
          <w:lang w:val="en-GB"/>
        </w:rPr>
        <w:t>Categorization</w:t>
      </w:r>
      <w:r w:rsidR="00E845A4" w:rsidRPr="0022325D">
        <w:rPr>
          <w:bCs/>
          <w:lang w:val="en-GB"/>
        </w:rPr>
        <w:t xml:space="preserve"> and</w:t>
      </w:r>
      <w:r w:rsidR="00A14C8C" w:rsidRPr="0022325D">
        <w:rPr>
          <w:bCs/>
          <w:lang w:val="en-GB"/>
        </w:rPr>
        <w:t xml:space="preserve"> tiered</w:t>
      </w:r>
      <w:r w:rsidR="00E845A4" w:rsidRPr="0022325D">
        <w:rPr>
          <w:bCs/>
          <w:lang w:val="en-GB"/>
        </w:rPr>
        <w:t xml:space="preserve"> classification</w:t>
      </w:r>
    </w:p>
    <w:p w14:paraId="5953870F" w14:textId="0B5CC5D5" w:rsidR="00E845A4" w:rsidRPr="0022325D" w:rsidRDefault="00E845A4" w:rsidP="00B95D64">
      <w:pPr>
        <w:rPr>
          <w:lang w:val="en-GB"/>
        </w:rPr>
      </w:pPr>
      <w:r w:rsidRPr="0022325D">
        <w:rPr>
          <w:lang w:val="en-GB"/>
        </w:rPr>
        <w:t xml:space="preserve">All the activities, projects, outputs and meetings of the </w:t>
      </w:r>
      <w:r w:rsidR="000B5F55" w:rsidRPr="0022325D">
        <w:rPr>
          <w:lang w:val="en-GB"/>
        </w:rPr>
        <w:t xml:space="preserve">previous </w:t>
      </w:r>
      <w:r w:rsidRPr="0022325D">
        <w:rPr>
          <w:lang w:val="en-GB"/>
        </w:rPr>
        <w:t xml:space="preserve">four-year cycle should be </w:t>
      </w:r>
      <w:r w:rsidR="00525FC4" w:rsidRPr="0022325D">
        <w:rPr>
          <w:lang w:val="en-GB"/>
        </w:rPr>
        <w:t xml:space="preserve">categorized </w:t>
      </w:r>
      <w:r w:rsidR="009C55B8" w:rsidRPr="0022325D">
        <w:rPr>
          <w:lang w:val="en-GB"/>
        </w:rPr>
        <w:t>against</w:t>
      </w:r>
      <w:r w:rsidRPr="0022325D">
        <w:rPr>
          <w:lang w:val="en-GB"/>
        </w:rPr>
        <w:t xml:space="preserve"> specific provisions of the Constitution, Convention, Radio Regulations and International Telecommunication Regulations.</w:t>
      </w:r>
    </w:p>
    <w:p w14:paraId="74712C14" w14:textId="77777777" w:rsidR="00E845A4" w:rsidRPr="0022325D" w:rsidRDefault="00E845A4" w:rsidP="00593B3D">
      <w:pPr>
        <w:pStyle w:val="Headingb"/>
        <w:rPr>
          <w:lang w:val="en-GB"/>
        </w:rPr>
      </w:pPr>
      <w:r w:rsidRPr="0022325D">
        <w:rPr>
          <w:bCs/>
          <w:lang w:val="en-GB"/>
        </w:rPr>
        <w:t>Level 1 – Activities grounded in international treaties</w:t>
      </w:r>
    </w:p>
    <w:p w14:paraId="34B4EF1B" w14:textId="011E3C26" w:rsidR="00E845A4" w:rsidRPr="0022325D" w:rsidRDefault="00E845A4" w:rsidP="00B95D64">
      <w:pPr>
        <w:rPr>
          <w:lang w:val="en-GB"/>
        </w:rPr>
      </w:pPr>
      <w:r w:rsidRPr="0022325D">
        <w:rPr>
          <w:lang w:val="en-GB"/>
        </w:rPr>
        <w:t>These activities direct</w:t>
      </w:r>
      <w:r w:rsidR="00CE6C6C" w:rsidRPr="0022325D">
        <w:rPr>
          <w:lang w:val="en-GB"/>
        </w:rPr>
        <w:t>ly derive from the</w:t>
      </w:r>
      <w:r w:rsidRPr="0022325D">
        <w:rPr>
          <w:lang w:val="en-GB"/>
        </w:rPr>
        <w:t xml:space="preserve"> purposes of the Union</w:t>
      </w:r>
      <w:r w:rsidR="00CE6C6C" w:rsidRPr="0022325D">
        <w:rPr>
          <w:lang w:val="en-GB"/>
        </w:rPr>
        <w:t xml:space="preserve"> and do not depend on</w:t>
      </w:r>
      <w:r w:rsidRPr="0022325D">
        <w:rPr>
          <w:lang w:val="en-GB"/>
        </w:rPr>
        <w:t xml:space="preserve"> </w:t>
      </w:r>
      <w:r w:rsidR="00CE6C6C" w:rsidRPr="0022325D">
        <w:rPr>
          <w:lang w:val="en-GB"/>
        </w:rPr>
        <w:t xml:space="preserve">adopted </w:t>
      </w:r>
      <w:r w:rsidRPr="0022325D">
        <w:rPr>
          <w:lang w:val="en-GB"/>
        </w:rPr>
        <w:t>resolutions (e.g. maint</w:t>
      </w:r>
      <w:r w:rsidR="00CE6C6C" w:rsidRPr="0022325D">
        <w:rPr>
          <w:lang w:val="en-GB"/>
        </w:rPr>
        <w:t>aining</w:t>
      </w:r>
      <w:r w:rsidRPr="0022325D">
        <w:rPr>
          <w:lang w:val="en-GB"/>
        </w:rPr>
        <w:t xml:space="preserve"> the Master International Frequency Register; developing </w:t>
      </w:r>
      <w:r w:rsidR="00CE6C6C" w:rsidRPr="0022325D">
        <w:rPr>
          <w:lang w:val="en-GB"/>
        </w:rPr>
        <w:t xml:space="preserve">interoperability </w:t>
      </w:r>
      <w:r w:rsidRPr="0022325D">
        <w:rPr>
          <w:lang w:val="en-GB"/>
        </w:rPr>
        <w:t xml:space="preserve">recommendations). They are enshrined in Article 1 of the Constitution, </w:t>
      </w:r>
      <w:r w:rsidR="00573E86" w:rsidRPr="0022325D">
        <w:rPr>
          <w:lang w:val="en-GB"/>
        </w:rPr>
        <w:t xml:space="preserve">and in </w:t>
      </w:r>
      <w:r w:rsidRPr="0022325D">
        <w:rPr>
          <w:lang w:val="en-GB"/>
        </w:rPr>
        <w:t xml:space="preserve">the Convention and the Administrative Regulations. </w:t>
      </w:r>
      <w:r w:rsidR="009C55B8" w:rsidRPr="0022325D">
        <w:rPr>
          <w:lang w:val="en-GB"/>
        </w:rPr>
        <w:t>C</w:t>
      </w:r>
      <w:r w:rsidRPr="0022325D">
        <w:rPr>
          <w:lang w:val="en-GB"/>
        </w:rPr>
        <w:t>ore outputs</w:t>
      </w:r>
      <w:r w:rsidR="00CE6C6C" w:rsidRPr="0022325D">
        <w:rPr>
          <w:lang w:val="en-GB"/>
        </w:rPr>
        <w:t xml:space="preserve"> are</w:t>
      </w:r>
      <w:r w:rsidRPr="0022325D">
        <w:rPr>
          <w:lang w:val="en-GB"/>
        </w:rPr>
        <w:t xml:space="preserve"> </w:t>
      </w:r>
      <w:r w:rsidR="00CE6C6C" w:rsidRPr="0022325D">
        <w:rPr>
          <w:lang w:val="en-GB"/>
        </w:rPr>
        <w:t>m</w:t>
      </w:r>
      <w:r w:rsidRPr="0022325D">
        <w:rPr>
          <w:lang w:val="en-GB"/>
        </w:rPr>
        <w:t>andatory/technical</w:t>
      </w:r>
      <w:r w:rsidR="009C55B8" w:rsidRPr="0022325D">
        <w:rPr>
          <w:lang w:val="en-GB"/>
        </w:rPr>
        <w:t xml:space="preserve"> in nature</w:t>
      </w:r>
      <w:r w:rsidR="00CE6C6C" w:rsidRPr="0022325D">
        <w:rPr>
          <w:lang w:val="en-GB"/>
        </w:rPr>
        <w:t>.</w:t>
      </w:r>
    </w:p>
    <w:p w14:paraId="1C45B1C2" w14:textId="7FF62104" w:rsidR="00E845A4" w:rsidRPr="0022325D" w:rsidRDefault="00E845A4" w:rsidP="00593B3D">
      <w:pPr>
        <w:pStyle w:val="Headingb"/>
        <w:rPr>
          <w:b w:val="0"/>
          <w:bCs/>
          <w:lang w:val="en-GB"/>
        </w:rPr>
      </w:pPr>
      <w:r w:rsidRPr="0022325D">
        <w:rPr>
          <w:bCs/>
          <w:lang w:val="en-GB"/>
        </w:rPr>
        <w:t xml:space="preserve">Level 2 – Necessary </w:t>
      </w:r>
      <w:r w:rsidR="009C55B8" w:rsidRPr="0022325D">
        <w:rPr>
          <w:bCs/>
          <w:lang w:val="en-GB"/>
        </w:rPr>
        <w:t xml:space="preserve">complementary </w:t>
      </w:r>
      <w:r w:rsidRPr="0022325D">
        <w:rPr>
          <w:bCs/>
          <w:lang w:val="en-GB"/>
        </w:rPr>
        <w:t>activities</w:t>
      </w:r>
    </w:p>
    <w:p w14:paraId="38C115E0" w14:textId="7E02EC59" w:rsidR="00E845A4" w:rsidRPr="0022325D" w:rsidRDefault="00E845A4" w:rsidP="00B95D64">
      <w:pPr>
        <w:rPr>
          <w:lang w:val="en-GB"/>
        </w:rPr>
      </w:pPr>
      <w:r w:rsidRPr="0022325D">
        <w:rPr>
          <w:lang w:val="en-GB"/>
        </w:rPr>
        <w:t xml:space="preserve">These activities are required </w:t>
      </w:r>
      <w:r w:rsidR="000B5F55" w:rsidRPr="0022325D">
        <w:rPr>
          <w:lang w:val="en-GB"/>
        </w:rPr>
        <w:t>for</w:t>
      </w:r>
      <w:r w:rsidRPr="0022325D">
        <w:rPr>
          <w:lang w:val="en-GB"/>
        </w:rPr>
        <w:t xml:space="preserve"> core purposes of the Union (e.g. training spectrum management regulators</w:t>
      </w:r>
      <w:r w:rsidR="00BB2096" w:rsidRPr="0022325D">
        <w:rPr>
          <w:lang w:val="en-GB"/>
        </w:rPr>
        <w:t>,</w:t>
      </w:r>
      <w:r w:rsidRPr="0022325D">
        <w:rPr>
          <w:lang w:val="en-GB"/>
        </w:rPr>
        <w:t xml:space="preserve"> supporting new technologies</w:t>
      </w:r>
      <w:r w:rsidR="00BB2096" w:rsidRPr="0022325D">
        <w:rPr>
          <w:lang w:val="en-GB"/>
        </w:rPr>
        <w:t>,</w:t>
      </w:r>
      <w:r w:rsidRPr="0022325D">
        <w:rPr>
          <w:lang w:val="en-GB"/>
        </w:rPr>
        <w:t xml:space="preserve"> bridging the digital divide).</w:t>
      </w:r>
    </w:p>
    <w:p w14:paraId="62710744" w14:textId="77777777" w:rsidR="00E845A4" w:rsidRPr="0022325D" w:rsidRDefault="00E845A4" w:rsidP="00593B3D">
      <w:pPr>
        <w:pStyle w:val="Headingb"/>
        <w:rPr>
          <w:b w:val="0"/>
          <w:bCs/>
          <w:lang w:val="en-GB"/>
        </w:rPr>
      </w:pPr>
      <w:r w:rsidRPr="0022325D">
        <w:rPr>
          <w:bCs/>
          <w:lang w:val="en-GB"/>
        </w:rPr>
        <w:t>Level 3 – ICT as a tool</w:t>
      </w:r>
    </w:p>
    <w:p w14:paraId="2530B431" w14:textId="5C1BDCF4" w:rsidR="00E845A4" w:rsidRPr="0022325D" w:rsidRDefault="00E845A4" w:rsidP="00B95D64">
      <w:pPr>
        <w:rPr>
          <w:lang w:val="en-GB"/>
        </w:rPr>
      </w:pPr>
      <w:r w:rsidRPr="0022325D">
        <w:rPr>
          <w:lang w:val="en-GB"/>
        </w:rPr>
        <w:t xml:space="preserve">Other agencies </w:t>
      </w:r>
      <w:r w:rsidR="003E1B61" w:rsidRPr="0022325D">
        <w:rPr>
          <w:lang w:val="en-GB"/>
        </w:rPr>
        <w:t>lead on</w:t>
      </w:r>
      <w:r w:rsidRPr="0022325D">
        <w:rPr>
          <w:lang w:val="en-GB"/>
        </w:rPr>
        <w:t xml:space="preserve"> the </w:t>
      </w:r>
      <w:r w:rsidR="003E1B61" w:rsidRPr="0022325D">
        <w:rPr>
          <w:lang w:val="en-GB"/>
        </w:rPr>
        <w:t xml:space="preserve">general </w:t>
      </w:r>
      <w:r w:rsidRPr="0022325D">
        <w:rPr>
          <w:lang w:val="en-GB"/>
        </w:rPr>
        <w:t>policy and implementation of these activities</w:t>
      </w:r>
      <w:r w:rsidR="000B5F55" w:rsidRPr="0022325D">
        <w:rPr>
          <w:lang w:val="en-GB"/>
        </w:rPr>
        <w:t>.</w:t>
      </w:r>
      <w:r w:rsidRPr="0022325D">
        <w:rPr>
          <w:lang w:val="en-GB"/>
        </w:rPr>
        <w:t xml:space="preserve"> </w:t>
      </w:r>
      <w:r w:rsidR="000B5F55" w:rsidRPr="0022325D">
        <w:rPr>
          <w:lang w:val="en-GB"/>
        </w:rPr>
        <w:t>W</w:t>
      </w:r>
      <w:r w:rsidRPr="0022325D">
        <w:rPr>
          <w:lang w:val="en-GB"/>
        </w:rPr>
        <w:t>hile the</w:t>
      </w:r>
      <w:r w:rsidR="003E1B61" w:rsidRPr="0022325D">
        <w:rPr>
          <w:lang w:val="en-GB"/>
        </w:rPr>
        <w:t xml:space="preserve"> activities</w:t>
      </w:r>
      <w:r w:rsidRPr="0022325D">
        <w:rPr>
          <w:lang w:val="en-GB"/>
        </w:rPr>
        <w:t xml:space="preserve"> significantly contribute to the purposes</w:t>
      </w:r>
      <w:r w:rsidR="00BB2096" w:rsidRPr="0022325D">
        <w:rPr>
          <w:lang w:val="en-GB"/>
        </w:rPr>
        <w:t xml:space="preserve"> specified</w:t>
      </w:r>
      <w:r w:rsidRPr="0022325D">
        <w:rPr>
          <w:lang w:val="en-GB"/>
        </w:rPr>
        <w:t xml:space="preserve"> in the instruments</w:t>
      </w:r>
      <w:r w:rsidR="00573E86" w:rsidRPr="0022325D">
        <w:rPr>
          <w:lang w:val="en-GB"/>
        </w:rPr>
        <w:t xml:space="preserve"> of the Union</w:t>
      </w:r>
      <w:r w:rsidRPr="0022325D">
        <w:rPr>
          <w:lang w:val="en-GB"/>
        </w:rPr>
        <w:t xml:space="preserve">, ITU must </w:t>
      </w:r>
      <w:r w:rsidR="00CF1BEF" w:rsidRPr="0022325D">
        <w:rPr>
          <w:lang w:val="en-GB"/>
        </w:rPr>
        <w:t>adhere to</w:t>
      </w:r>
      <w:r w:rsidRPr="0022325D">
        <w:rPr>
          <w:lang w:val="en-GB"/>
        </w:rPr>
        <w:t xml:space="preserve"> th</w:t>
      </w:r>
      <w:r w:rsidR="00573E86" w:rsidRPr="0022325D">
        <w:rPr>
          <w:lang w:val="en-GB"/>
        </w:rPr>
        <w:t>ose</w:t>
      </w:r>
      <w:r w:rsidRPr="0022325D">
        <w:rPr>
          <w:lang w:val="en-GB"/>
        </w:rPr>
        <w:t xml:space="preserve"> purposes and avoid </w:t>
      </w:r>
      <w:r w:rsidR="00573E86" w:rsidRPr="0022325D">
        <w:rPr>
          <w:lang w:val="en-GB"/>
        </w:rPr>
        <w:t xml:space="preserve">becoming </w:t>
      </w:r>
      <w:r w:rsidRPr="0022325D">
        <w:rPr>
          <w:lang w:val="en-GB"/>
        </w:rPr>
        <w:t>involved in</w:t>
      </w:r>
      <w:r w:rsidR="003E1B61" w:rsidRPr="0022325D">
        <w:rPr>
          <w:lang w:val="en-GB"/>
        </w:rPr>
        <w:t xml:space="preserve"> general policy matters</w:t>
      </w:r>
      <w:r w:rsidRPr="0022325D">
        <w:rPr>
          <w:lang w:val="en-GB"/>
        </w:rPr>
        <w:t>.</w:t>
      </w:r>
    </w:p>
    <w:p w14:paraId="587D7246" w14:textId="33F85E7F" w:rsidR="00E845A4" w:rsidRPr="0022325D" w:rsidRDefault="00E845A4" w:rsidP="00593B3D">
      <w:pPr>
        <w:pStyle w:val="Headingb"/>
        <w:rPr>
          <w:b w:val="0"/>
          <w:bCs/>
          <w:lang w:val="en-GB"/>
        </w:rPr>
      </w:pPr>
      <w:r w:rsidRPr="0022325D">
        <w:rPr>
          <w:bCs/>
          <w:lang w:val="en-GB"/>
        </w:rPr>
        <w:t>Level 4 – Activities only indirectly linked to the purposes of the Union</w:t>
      </w:r>
    </w:p>
    <w:p w14:paraId="5F95C34A" w14:textId="1358D179" w:rsidR="00E845A4" w:rsidRPr="0022325D" w:rsidRDefault="00E845A4" w:rsidP="00B95D64">
      <w:pPr>
        <w:rPr>
          <w:lang w:val="en-GB"/>
        </w:rPr>
      </w:pPr>
      <w:bookmarkStart w:id="11" w:name="_Hlk226977071"/>
      <w:r w:rsidRPr="0022325D">
        <w:rPr>
          <w:lang w:val="en-GB"/>
        </w:rPr>
        <w:t xml:space="preserve">These activities </w:t>
      </w:r>
      <w:r w:rsidR="003E1B61" w:rsidRPr="0022325D">
        <w:rPr>
          <w:lang w:val="en-GB"/>
        </w:rPr>
        <w:t>stem from</w:t>
      </w:r>
      <w:r w:rsidR="00A83E66" w:rsidRPr="0022325D">
        <w:rPr>
          <w:lang w:val="en-GB"/>
        </w:rPr>
        <w:t xml:space="preserve"> the adoption of</w:t>
      </w:r>
      <w:r w:rsidRPr="0022325D">
        <w:rPr>
          <w:lang w:val="en-GB"/>
        </w:rPr>
        <w:t xml:space="preserve"> resolutions, </w:t>
      </w:r>
      <w:r w:rsidR="003E1B61" w:rsidRPr="0022325D">
        <w:rPr>
          <w:lang w:val="en-GB"/>
        </w:rPr>
        <w:t xml:space="preserve">are </w:t>
      </w:r>
      <w:r w:rsidRPr="0022325D">
        <w:rPr>
          <w:lang w:val="en-GB"/>
        </w:rPr>
        <w:t>aim</w:t>
      </w:r>
      <w:r w:rsidR="003E1B61" w:rsidRPr="0022325D">
        <w:rPr>
          <w:lang w:val="en-GB"/>
        </w:rPr>
        <w:t>ed</w:t>
      </w:r>
      <w:r w:rsidRPr="0022325D">
        <w:rPr>
          <w:lang w:val="en-GB"/>
        </w:rPr>
        <w:t xml:space="preserve"> </w:t>
      </w:r>
      <w:r w:rsidR="003E1B61" w:rsidRPr="0022325D">
        <w:rPr>
          <w:lang w:val="en-GB"/>
        </w:rPr>
        <w:t>at</w:t>
      </w:r>
      <w:r w:rsidRPr="0022325D">
        <w:rPr>
          <w:lang w:val="en-GB"/>
        </w:rPr>
        <w:t xml:space="preserve"> establish</w:t>
      </w:r>
      <w:r w:rsidR="003E1B61" w:rsidRPr="0022325D">
        <w:rPr>
          <w:lang w:val="en-GB"/>
        </w:rPr>
        <w:t>ing</w:t>
      </w:r>
      <w:r w:rsidRPr="0022325D">
        <w:rPr>
          <w:lang w:val="en-GB"/>
        </w:rPr>
        <w:t xml:space="preserve"> </w:t>
      </w:r>
      <w:r w:rsidR="003E1B61" w:rsidRPr="0022325D">
        <w:rPr>
          <w:lang w:val="en-GB"/>
        </w:rPr>
        <w:t xml:space="preserve">general </w:t>
      </w:r>
      <w:r w:rsidRPr="0022325D">
        <w:rPr>
          <w:lang w:val="en-GB"/>
        </w:rPr>
        <w:t>policy and involve other U</w:t>
      </w:r>
      <w:r w:rsidR="00A83E66" w:rsidRPr="0022325D">
        <w:rPr>
          <w:lang w:val="en-GB"/>
        </w:rPr>
        <w:t xml:space="preserve">nited </w:t>
      </w:r>
      <w:r w:rsidRPr="0022325D">
        <w:rPr>
          <w:lang w:val="en-GB"/>
        </w:rPr>
        <w:t>N</w:t>
      </w:r>
      <w:r w:rsidR="00A83E66" w:rsidRPr="0022325D">
        <w:rPr>
          <w:lang w:val="en-GB"/>
        </w:rPr>
        <w:t>ations</w:t>
      </w:r>
      <w:r w:rsidRPr="0022325D">
        <w:rPr>
          <w:lang w:val="en-GB"/>
        </w:rPr>
        <w:t xml:space="preserve"> agencies. Their main topics fall under the mandates of other </w:t>
      </w:r>
      <w:r w:rsidR="00A83E66" w:rsidRPr="0022325D">
        <w:rPr>
          <w:lang w:val="en-GB"/>
        </w:rPr>
        <w:t>United Nations</w:t>
      </w:r>
      <w:r w:rsidRPr="0022325D">
        <w:rPr>
          <w:lang w:val="en-GB"/>
        </w:rPr>
        <w:t xml:space="preserve"> organizations</w:t>
      </w:r>
      <w:r w:rsidR="003E1B61" w:rsidRPr="0022325D">
        <w:rPr>
          <w:lang w:val="en-GB"/>
        </w:rPr>
        <w:t xml:space="preserve">. There is functional overlap, and </w:t>
      </w:r>
      <w:r w:rsidR="00573E86" w:rsidRPr="0022325D">
        <w:rPr>
          <w:lang w:val="en-GB"/>
        </w:rPr>
        <w:t>activities</w:t>
      </w:r>
      <w:r w:rsidR="00A83E66" w:rsidRPr="0022325D">
        <w:rPr>
          <w:lang w:val="en-GB"/>
        </w:rPr>
        <w:t xml:space="preserve"> are only loosely connected to </w:t>
      </w:r>
      <w:r w:rsidRPr="0022325D">
        <w:rPr>
          <w:lang w:val="en-GB"/>
        </w:rPr>
        <w:t>ICTs</w:t>
      </w:r>
      <w:bookmarkEnd w:id="11"/>
      <w:r w:rsidR="00A83E66" w:rsidRPr="0022325D">
        <w:rPr>
          <w:lang w:val="en-GB"/>
        </w:rPr>
        <w:t>.</w:t>
      </w:r>
    </w:p>
    <w:p w14:paraId="0F71E240" w14:textId="24434B6A" w:rsidR="00E845A4" w:rsidRPr="0022325D" w:rsidRDefault="00E845A4" w:rsidP="00593B3D">
      <w:pPr>
        <w:pStyle w:val="Headingb"/>
        <w:rPr>
          <w:b w:val="0"/>
          <w:bCs/>
          <w:lang w:val="en-GB"/>
        </w:rPr>
      </w:pPr>
      <w:r w:rsidRPr="0022325D">
        <w:rPr>
          <w:bCs/>
          <w:lang w:val="en-GB"/>
        </w:rPr>
        <w:t xml:space="preserve">Assessment </w:t>
      </w:r>
      <w:r w:rsidR="008B4A9A" w:rsidRPr="0022325D">
        <w:rPr>
          <w:bCs/>
          <w:lang w:val="en-GB"/>
        </w:rPr>
        <w:t xml:space="preserve">criteria </w:t>
      </w:r>
    </w:p>
    <w:p w14:paraId="1F01681A" w14:textId="096902A8" w:rsidR="00E845A4" w:rsidRPr="0022325D" w:rsidRDefault="00E845A4" w:rsidP="00B95D64">
      <w:pPr>
        <w:pStyle w:val="enumlev1"/>
        <w:rPr>
          <w:lang w:val="en-GB"/>
        </w:rPr>
      </w:pPr>
      <w:r w:rsidRPr="0022325D">
        <w:rPr>
          <w:lang w:val="en-GB"/>
        </w:rPr>
        <w:t xml:space="preserve">– </w:t>
      </w:r>
      <w:r w:rsidRPr="0022325D">
        <w:rPr>
          <w:lang w:val="en-GB"/>
        </w:rPr>
        <w:tab/>
        <w:t xml:space="preserve">Financial: </w:t>
      </w:r>
      <w:r w:rsidR="003A4794" w:rsidRPr="0022325D">
        <w:rPr>
          <w:lang w:val="en-GB"/>
        </w:rPr>
        <w:t>R</w:t>
      </w:r>
      <w:r w:rsidRPr="0022325D">
        <w:rPr>
          <w:lang w:val="en-GB"/>
        </w:rPr>
        <w:t xml:space="preserve">egular </w:t>
      </w:r>
      <w:r w:rsidR="003A4794" w:rsidRPr="0022325D">
        <w:rPr>
          <w:lang w:val="en-GB"/>
        </w:rPr>
        <w:t>b</w:t>
      </w:r>
      <w:r w:rsidRPr="0022325D">
        <w:rPr>
          <w:lang w:val="en-GB"/>
        </w:rPr>
        <w:t>udget and voluntary contributions.</w:t>
      </w:r>
    </w:p>
    <w:p w14:paraId="14035F6D" w14:textId="3E1C2268" w:rsidR="00E845A4" w:rsidRPr="0022325D" w:rsidRDefault="00E845A4" w:rsidP="00B95D64">
      <w:pPr>
        <w:pStyle w:val="enumlev1"/>
        <w:rPr>
          <w:lang w:val="en-GB"/>
        </w:rPr>
      </w:pPr>
      <w:r w:rsidRPr="0022325D">
        <w:rPr>
          <w:lang w:val="en-GB"/>
        </w:rPr>
        <w:t xml:space="preserve">– </w:t>
      </w:r>
      <w:r w:rsidRPr="0022325D">
        <w:rPr>
          <w:lang w:val="en-GB"/>
        </w:rPr>
        <w:tab/>
        <w:t xml:space="preserve">Human resources: Number of </w:t>
      </w:r>
      <w:r w:rsidR="004D4C03" w:rsidRPr="0022325D">
        <w:rPr>
          <w:lang w:val="en-GB"/>
        </w:rPr>
        <w:t xml:space="preserve">full-time equivalent </w:t>
      </w:r>
      <w:r w:rsidRPr="0022325D">
        <w:rPr>
          <w:lang w:val="en-GB"/>
        </w:rPr>
        <w:t>ITU staff positions, including senior management.</w:t>
      </w:r>
    </w:p>
    <w:p w14:paraId="607091FE" w14:textId="64ABBE62" w:rsidR="00E845A4" w:rsidRPr="0022325D" w:rsidRDefault="00E845A4" w:rsidP="00B95D64">
      <w:pPr>
        <w:pStyle w:val="enumlev1"/>
        <w:rPr>
          <w:lang w:val="en-GB"/>
        </w:rPr>
      </w:pPr>
      <w:r w:rsidRPr="0022325D">
        <w:rPr>
          <w:lang w:val="en-GB"/>
        </w:rPr>
        <w:t xml:space="preserve">– </w:t>
      </w:r>
      <w:r w:rsidRPr="0022325D">
        <w:rPr>
          <w:lang w:val="en-GB"/>
        </w:rPr>
        <w:tab/>
        <w:t xml:space="preserve">Time </w:t>
      </w:r>
      <w:r w:rsidR="008338D5" w:rsidRPr="0022325D">
        <w:rPr>
          <w:lang w:val="en-GB"/>
        </w:rPr>
        <w:t>allocation</w:t>
      </w:r>
      <w:r w:rsidRPr="0022325D">
        <w:rPr>
          <w:lang w:val="en-GB"/>
        </w:rPr>
        <w:t>: Estimate of Council/</w:t>
      </w:r>
      <w:r w:rsidR="003E1B61" w:rsidRPr="0022325D">
        <w:rPr>
          <w:lang w:val="en-GB"/>
        </w:rPr>
        <w:t>Plenipotentiary Conference</w:t>
      </w:r>
      <w:r w:rsidRPr="0022325D">
        <w:rPr>
          <w:lang w:val="en-GB"/>
        </w:rPr>
        <w:t>/</w:t>
      </w:r>
      <w:r w:rsidR="003E1B61" w:rsidRPr="0022325D">
        <w:rPr>
          <w:lang w:val="en-GB"/>
        </w:rPr>
        <w:t>S</w:t>
      </w:r>
      <w:r w:rsidRPr="0022325D">
        <w:rPr>
          <w:lang w:val="en-GB"/>
        </w:rPr>
        <w:t>ector conference time allocated to core and peripheral activities.</w:t>
      </w:r>
    </w:p>
    <w:p w14:paraId="599D9C5B" w14:textId="5B9A1F80" w:rsidR="00E845A4" w:rsidRPr="0022325D" w:rsidRDefault="00E845A4" w:rsidP="00B95D64">
      <w:pPr>
        <w:pStyle w:val="enumlev1"/>
        <w:rPr>
          <w:lang w:val="en-GB"/>
        </w:rPr>
      </w:pPr>
      <w:r w:rsidRPr="0022325D">
        <w:rPr>
          <w:lang w:val="en-GB"/>
        </w:rPr>
        <w:t xml:space="preserve">– </w:t>
      </w:r>
      <w:r w:rsidRPr="0022325D">
        <w:rPr>
          <w:lang w:val="en-GB"/>
        </w:rPr>
        <w:tab/>
        <w:t xml:space="preserve">Duplication analysis: Overlap with other </w:t>
      </w:r>
      <w:r w:rsidR="003E1B61" w:rsidRPr="0022325D">
        <w:rPr>
          <w:lang w:val="en-GB"/>
        </w:rPr>
        <w:t xml:space="preserve">United Nations </w:t>
      </w:r>
      <w:r w:rsidRPr="0022325D">
        <w:rPr>
          <w:lang w:val="en-GB"/>
        </w:rPr>
        <w:t xml:space="preserve">agencies (e.g. </w:t>
      </w:r>
      <w:r w:rsidR="003E1B61" w:rsidRPr="0022325D">
        <w:rPr>
          <w:lang w:val="en-GB"/>
        </w:rPr>
        <w:t xml:space="preserve">with UN-Habitat on </w:t>
      </w:r>
      <w:r w:rsidRPr="0022325D">
        <w:rPr>
          <w:lang w:val="en-GB"/>
        </w:rPr>
        <w:t xml:space="preserve">smart sustainable cities; </w:t>
      </w:r>
      <w:r w:rsidR="003E1B61" w:rsidRPr="0022325D">
        <w:rPr>
          <w:lang w:val="en-GB"/>
        </w:rPr>
        <w:t xml:space="preserve">with WHO on </w:t>
      </w:r>
      <w:r w:rsidRPr="0022325D">
        <w:rPr>
          <w:lang w:val="en-GB"/>
        </w:rPr>
        <w:t xml:space="preserve">telemedicine; </w:t>
      </w:r>
      <w:r w:rsidR="003E1B61" w:rsidRPr="0022325D">
        <w:rPr>
          <w:lang w:val="en-GB"/>
        </w:rPr>
        <w:t xml:space="preserve">and with UNEP on </w:t>
      </w:r>
      <w:r w:rsidRPr="0022325D">
        <w:rPr>
          <w:lang w:val="en-GB"/>
        </w:rPr>
        <w:t>e-waste).</w:t>
      </w:r>
    </w:p>
    <w:p w14:paraId="0E843C28" w14:textId="42B75E72" w:rsidR="00E845A4" w:rsidRPr="0022325D" w:rsidRDefault="00E845A4" w:rsidP="00B95D64">
      <w:pPr>
        <w:pStyle w:val="enumlev1"/>
        <w:rPr>
          <w:lang w:val="en-GB"/>
        </w:rPr>
      </w:pPr>
      <w:r w:rsidRPr="0022325D">
        <w:rPr>
          <w:lang w:val="en-GB"/>
        </w:rPr>
        <w:t xml:space="preserve">– </w:t>
      </w:r>
      <w:r w:rsidRPr="0022325D">
        <w:rPr>
          <w:lang w:val="en-GB"/>
        </w:rPr>
        <w:tab/>
        <w:t xml:space="preserve">Development projects: Do they create new sustainable </w:t>
      </w:r>
      <w:r w:rsidR="00D05C4B" w:rsidRPr="0022325D">
        <w:rPr>
          <w:lang w:val="en-GB"/>
        </w:rPr>
        <w:t xml:space="preserve">competencies </w:t>
      </w:r>
      <w:r w:rsidRPr="0022325D">
        <w:rPr>
          <w:lang w:val="en-GB"/>
        </w:rPr>
        <w:t>in a core activity or are they short-term donor projects?</w:t>
      </w:r>
    </w:p>
    <w:p w14:paraId="02048FFE" w14:textId="0FAF194D" w:rsidR="00E845A4" w:rsidRPr="0022325D" w:rsidRDefault="00E845A4" w:rsidP="00B95D64">
      <w:pPr>
        <w:pStyle w:val="enumlev1"/>
        <w:rPr>
          <w:lang w:val="en-GB"/>
        </w:rPr>
      </w:pPr>
      <w:r w:rsidRPr="0022325D">
        <w:rPr>
          <w:lang w:val="en-GB"/>
        </w:rPr>
        <w:t xml:space="preserve">– </w:t>
      </w:r>
      <w:r w:rsidRPr="0022325D">
        <w:rPr>
          <w:lang w:val="en-GB"/>
        </w:rPr>
        <w:tab/>
        <w:t xml:space="preserve">Forums: Do events </w:t>
      </w:r>
      <w:r w:rsidR="00573E86" w:rsidRPr="0022325D">
        <w:rPr>
          <w:lang w:val="en-GB"/>
        </w:rPr>
        <w:t xml:space="preserve">such as </w:t>
      </w:r>
      <w:r w:rsidRPr="0022325D">
        <w:rPr>
          <w:lang w:val="en-GB"/>
        </w:rPr>
        <w:t xml:space="preserve">the AI for Good </w:t>
      </w:r>
      <w:r w:rsidR="00573E86" w:rsidRPr="0022325D">
        <w:rPr>
          <w:lang w:val="en-GB"/>
        </w:rPr>
        <w:t xml:space="preserve">Global </w:t>
      </w:r>
      <w:r w:rsidRPr="0022325D">
        <w:rPr>
          <w:lang w:val="en-GB"/>
        </w:rPr>
        <w:t xml:space="preserve">Summit or the </w:t>
      </w:r>
      <w:r w:rsidR="00573E86" w:rsidRPr="0022325D">
        <w:rPr>
          <w:lang w:val="en-GB"/>
        </w:rPr>
        <w:t xml:space="preserve">World Summit on the Information Society </w:t>
      </w:r>
      <w:r w:rsidRPr="0022325D">
        <w:rPr>
          <w:lang w:val="en-GB"/>
        </w:rPr>
        <w:t>Forum lead to tangible outcomes with practical applications?</w:t>
      </w:r>
    </w:p>
    <w:p w14:paraId="0414C55D" w14:textId="4C569001" w:rsidR="00E845A4" w:rsidRPr="0022325D" w:rsidRDefault="00E845A4" w:rsidP="00B95D64">
      <w:pPr>
        <w:pStyle w:val="enumlev1"/>
        <w:rPr>
          <w:lang w:val="en-GB"/>
        </w:rPr>
      </w:pPr>
      <w:r w:rsidRPr="0022325D">
        <w:rPr>
          <w:lang w:val="en-GB"/>
        </w:rPr>
        <w:t xml:space="preserve">– </w:t>
      </w:r>
      <w:r w:rsidRPr="0022325D">
        <w:rPr>
          <w:lang w:val="en-GB"/>
        </w:rPr>
        <w:tab/>
        <w:t>Surveys: Member States (especially large donors); the private sector</w:t>
      </w:r>
      <w:r w:rsidR="00365D52" w:rsidRPr="0022325D">
        <w:rPr>
          <w:lang w:val="en-GB"/>
        </w:rPr>
        <w:t xml:space="preserve">; </w:t>
      </w:r>
      <w:r w:rsidRPr="0022325D">
        <w:rPr>
          <w:lang w:val="en-GB"/>
        </w:rPr>
        <w:t>other U</w:t>
      </w:r>
      <w:r w:rsidR="00573E86" w:rsidRPr="0022325D">
        <w:rPr>
          <w:lang w:val="en-GB"/>
        </w:rPr>
        <w:t xml:space="preserve">nited </w:t>
      </w:r>
      <w:r w:rsidRPr="0022325D">
        <w:rPr>
          <w:lang w:val="en-GB"/>
        </w:rPr>
        <w:t>N</w:t>
      </w:r>
      <w:r w:rsidR="00573E86" w:rsidRPr="0022325D">
        <w:rPr>
          <w:lang w:val="en-GB"/>
        </w:rPr>
        <w:t>ations</w:t>
      </w:r>
      <w:r w:rsidRPr="0022325D">
        <w:rPr>
          <w:lang w:val="en-GB"/>
        </w:rPr>
        <w:t xml:space="preserve"> agencies; ITU </w:t>
      </w:r>
      <w:r w:rsidR="00EF468E" w:rsidRPr="0022325D">
        <w:rPr>
          <w:lang w:val="en-GB"/>
        </w:rPr>
        <w:t xml:space="preserve">employees </w:t>
      </w:r>
      <w:r w:rsidRPr="0022325D">
        <w:rPr>
          <w:lang w:val="en-GB"/>
        </w:rPr>
        <w:t>(anonymous</w:t>
      </w:r>
      <w:r w:rsidR="003A4794" w:rsidRPr="0022325D">
        <w:rPr>
          <w:lang w:val="en-GB"/>
        </w:rPr>
        <w:t>ly</w:t>
      </w:r>
      <w:r w:rsidRPr="0022325D">
        <w:rPr>
          <w:lang w:val="en-GB"/>
        </w:rPr>
        <w:t>).</w:t>
      </w:r>
    </w:p>
    <w:p w14:paraId="2BE43C35" w14:textId="09AA7497" w:rsidR="00E845A4" w:rsidRPr="0022325D" w:rsidRDefault="004D4C03" w:rsidP="00B95D64">
      <w:pPr>
        <w:pStyle w:val="enumlev1"/>
        <w:rPr>
          <w:lang w:val="en-GB"/>
        </w:rPr>
      </w:pPr>
      <w:r w:rsidRPr="0022325D">
        <w:rPr>
          <w:lang w:val="en-GB"/>
        </w:rPr>
        <w:t xml:space="preserve">– </w:t>
      </w:r>
      <w:r w:rsidRPr="0022325D">
        <w:rPr>
          <w:lang w:val="en-GB"/>
        </w:rPr>
        <w:tab/>
      </w:r>
      <w:r w:rsidR="00EF468E" w:rsidRPr="0022325D">
        <w:rPr>
          <w:lang w:val="en-GB"/>
        </w:rPr>
        <w:t xml:space="preserve">Adverse impact </w:t>
      </w:r>
      <w:r w:rsidR="00E845A4" w:rsidRPr="0022325D">
        <w:rPr>
          <w:lang w:val="en-GB"/>
        </w:rPr>
        <w:t>assessment (opportunity cost</w:t>
      </w:r>
      <w:r w:rsidR="00EF468E" w:rsidRPr="0022325D">
        <w:rPr>
          <w:lang w:val="en-GB"/>
        </w:rPr>
        <w:t>s</w:t>
      </w:r>
      <w:r w:rsidR="00E845A4" w:rsidRPr="0022325D">
        <w:rPr>
          <w:lang w:val="en-GB"/>
        </w:rPr>
        <w:t>): Quanti</w:t>
      </w:r>
      <w:r w:rsidR="00D05C4B" w:rsidRPr="0022325D">
        <w:rPr>
          <w:lang w:val="en-GB"/>
        </w:rPr>
        <w:t xml:space="preserve">tative </w:t>
      </w:r>
      <w:r w:rsidR="00EF468E" w:rsidRPr="0022325D">
        <w:rPr>
          <w:lang w:val="en-GB"/>
        </w:rPr>
        <w:t>assessment of the adverse effects</w:t>
      </w:r>
      <w:r w:rsidR="00E845A4" w:rsidRPr="0022325D">
        <w:rPr>
          <w:lang w:val="en-GB"/>
        </w:rPr>
        <w:t xml:space="preserve"> of mission creep on the </w:t>
      </w:r>
      <w:r w:rsidR="00C31DF9" w:rsidRPr="0022325D">
        <w:rPr>
          <w:lang w:val="en-GB"/>
        </w:rPr>
        <w:t xml:space="preserve">purposes of the </w:t>
      </w:r>
      <w:r w:rsidR="00E845A4" w:rsidRPr="0022325D">
        <w:rPr>
          <w:lang w:val="en-GB"/>
        </w:rPr>
        <w:t>Union</w:t>
      </w:r>
      <w:r w:rsidR="00C31DF9" w:rsidRPr="0022325D">
        <w:rPr>
          <w:lang w:val="en-GB"/>
        </w:rPr>
        <w:t>.</w:t>
      </w:r>
    </w:p>
    <w:p w14:paraId="6DE6894B" w14:textId="6B477362" w:rsidR="00E845A4" w:rsidRPr="0022325D" w:rsidRDefault="004D4C03" w:rsidP="00B95D64">
      <w:pPr>
        <w:pStyle w:val="enumlev1"/>
        <w:rPr>
          <w:lang w:val="en-GB"/>
        </w:rPr>
      </w:pPr>
      <w:r w:rsidRPr="0022325D">
        <w:rPr>
          <w:lang w:val="en-GB"/>
        </w:rPr>
        <w:t xml:space="preserve">– </w:t>
      </w:r>
      <w:r w:rsidRPr="0022325D">
        <w:rPr>
          <w:lang w:val="en-GB"/>
        </w:rPr>
        <w:tab/>
      </w:r>
      <w:r w:rsidR="00E845A4" w:rsidRPr="0022325D">
        <w:rPr>
          <w:lang w:val="en-GB"/>
        </w:rPr>
        <w:t xml:space="preserve">Case studies: Analysis and </w:t>
      </w:r>
      <w:r w:rsidR="00C31DF9" w:rsidRPr="0022325D">
        <w:rPr>
          <w:lang w:val="en-GB"/>
        </w:rPr>
        <w:t>correlation</w:t>
      </w:r>
      <w:r w:rsidR="00E845A4" w:rsidRPr="0022325D">
        <w:rPr>
          <w:lang w:val="en-GB"/>
        </w:rPr>
        <w:t xml:space="preserve"> of resources to outputs in core areas (e.g. timelines for </w:t>
      </w:r>
      <w:r w:rsidR="00D05C4B" w:rsidRPr="0022325D">
        <w:rPr>
          <w:lang w:val="en-GB"/>
        </w:rPr>
        <w:t xml:space="preserve">processing of </w:t>
      </w:r>
      <w:r w:rsidR="00E845A4" w:rsidRPr="0022325D">
        <w:rPr>
          <w:lang w:val="en-GB"/>
        </w:rPr>
        <w:t>satellite</w:t>
      </w:r>
      <w:r w:rsidR="00D05C4B" w:rsidRPr="0022325D">
        <w:rPr>
          <w:lang w:val="en-GB"/>
        </w:rPr>
        <w:t xml:space="preserve"> network</w:t>
      </w:r>
      <w:r w:rsidR="00E845A4" w:rsidRPr="0022325D">
        <w:rPr>
          <w:lang w:val="en-GB"/>
        </w:rPr>
        <w:t xml:space="preserve"> filings; BR IFIC database modernization).</w:t>
      </w:r>
    </w:p>
    <w:p w14:paraId="0AC3DE7E" w14:textId="77777777" w:rsidR="007A3FCD" w:rsidRPr="0022325D" w:rsidRDefault="007A3FCD" w:rsidP="0032202E">
      <w:pPr>
        <w:pStyle w:val="Reasons"/>
        <w:rPr>
          <w:rFonts w:asciiTheme="minorHAnsi" w:hAnsiTheme="minorHAnsi" w:cstheme="minorHAnsi"/>
          <w:lang w:val="en-GB"/>
        </w:rPr>
      </w:pPr>
    </w:p>
    <w:p w14:paraId="173B4119" w14:textId="77777777" w:rsidR="007A3FCD" w:rsidRPr="00C0458D" w:rsidRDefault="007A3FCD" w:rsidP="007A3FCD">
      <w:pPr>
        <w:jc w:val="center"/>
      </w:pPr>
      <w:r w:rsidRPr="0022325D">
        <w:rPr>
          <w:lang w:val="en-GB"/>
        </w:rPr>
        <w:t>______________</w:t>
      </w:r>
    </w:p>
    <w:sectPr w:rsidR="007A3FCD" w:rsidRPr="00C0458D"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A3CA" w14:textId="77777777" w:rsidR="004673D0" w:rsidRDefault="004673D0">
      <w:r>
        <w:separator/>
      </w:r>
    </w:p>
  </w:endnote>
  <w:endnote w:type="continuationSeparator" w:id="0">
    <w:p w14:paraId="2FF05D0E" w14:textId="77777777" w:rsidR="004673D0" w:rsidRDefault="0046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6CB3A2A" w14:textId="77777777" w:rsidTr="0042469C">
      <w:trPr>
        <w:jc w:val="center"/>
      </w:trPr>
      <w:tc>
        <w:tcPr>
          <w:tcW w:w="1803" w:type="dxa"/>
          <w:vAlign w:val="center"/>
        </w:tcPr>
        <w:p w14:paraId="22A46801" w14:textId="094E1195" w:rsidR="00EE49E8" w:rsidRDefault="00C6520B" w:rsidP="00EE49E8">
          <w:pPr>
            <w:pStyle w:val="Header"/>
            <w:jc w:val="left"/>
            <w:rPr>
              <w:noProof/>
            </w:rPr>
          </w:pPr>
          <w:r>
            <w:rPr>
              <w:noProof/>
            </w:rPr>
            <w:t xml:space="preserve">gDoc </w:t>
          </w:r>
          <w:r w:rsidR="00E845A4">
            <w:rPr>
              <w:noProof/>
            </w:rPr>
            <w:t>2600984</w:t>
          </w:r>
        </w:p>
      </w:tc>
      <w:tc>
        <w:tcPr>
          <w:tcW w:w="8261" w:type="dxa"/>
        </w:tcPr>
        <w:p w14:paraId="1836BBB1" w14:textId="64EFD65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845A4">
            <w:rPr>
              <w:bCs/>
            </w:rPr>
            <w:t>91</w:t>
          </w:r>
          <w:r w:rsidRPr="00623AE3">
            <w:rPr>
              <w:bCs/>
            </w:rPr>
            <w:t>-E</w:t>
          </w:r>
          <w:r>
            <w:rPr>
              <w:bCs/>
            </w:rPr>
            <w:tab/>
          </w:r>
          <w:r>
            <w:fldChar w:fldCharType="begin"/>
          </w:r>
          <w:r>
            <w:instrText>PAGE</w:instrText>
          </w:r>
          <w:r>
            <w:fldChar w:fldCharType="separate"/>
          </w:r>
          <w:r>
            <w:t>1</w:t>
          </w:r>
          <w:r>
            <w:rPr>
              <w:noProof/>
            </w:rPr>
            <w:fldChar w:fldCharType="end"/>
          </w:r>
        </w:p>
      </w:tc>
    </w:tr>
  </w:tbl>
  <w:p w14:paraId="3D830DF6"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2E4A4E3" w14:textId="77777777" w:rsidTr="006B77F1">
      <w:trPr>
        <w:jc w:val="center"/>
      </w:trPr>
      <w:tc>
        <w:tcPr>
          <w:tcW w:w="1803" w:type="dxa"/>
          <w:vAlign w:val="center"/>
        </w:tcPr>
        <w:p w14:paraId="34517B88"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34FCD784" w14:textId="037F6AB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845A4">
            <w:rPr>
              <w:bCs/>
            </w:rPr>
            <w:t>91</w:t>
          </w:r>
          <w:r w:rsidRPr="00623AE3">
            <w:rPr>
              <w:bCs/>
            </w:rPr>
            <w:t>-E</w:t>
          </w:r>
          <w:r>
            <w:rPr>
              <w:bCs/>
            </w:rPr>
            <w:tab/>
          </w:r>
          <w:r>
            <w:fldChar w:fldCharType="begin"/>
          </w:r>
          <w:r>
            <w:instrText>PAGE</w:instrText>
          </w:r>
          <w:r>
            <w:fldChar w:fldCharType="separate"/>
          </w:r>
          <w:r>
            <w:t>1</w:t>
          </w:r>
          <w:r>
            <w:rPr>
              <w:noProof/>
            </w:rPr>
            <w:fldChar w:fldCharType="end"/>
          </w:r>
        </w:p>
      </w:tc>
    </w:tr>
  </w:tbl>
  <w:p w14:paraId="789692A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D1BE" w14:textId="77777777" w:rsidR="004673D0" w:rsidRDefault="004673D0">
      <w:r>
        <w:t>____________________</w:t>
      </w:r>
    </w:p>
  </w:footnote>
  <w:footnote w:type="continuationSeparator" w:id="0">
    <w:p w14:paraId="33CB93CA" w14:textId="77777777" w:rsidR="004673D0" w:rsidRDefault="004673D0">
      <w:r>
        <w:continuationSeparator/>
      </w:r>
    </w:p>
  </w:footnote>
  <w:footnote w:id="1">
    <w:p w14:paraId="09052B8A" w14:textId="77777777" w:rsidR="004B73A7" w:rsidRPr="004B73A7" w:rsidRDefault="004B73A7" w:rsidP="004B73A7">
      <w:pPr>
        <w:pStyle w:val="FootnoteText"/>
        <w:rPr>
          <w:lang w:val="en-GB"/>
        </w:rPr>
      </w:pPr>
      <w:r w:rsidRPr="004B73A7">
        <w:rPr>
          <w:rStyle w:val="FootnoteReference"/>
          <w:lang w:val="en-GB"/>
        </w:rPr>
        <w:t>1</w:t>
      </w:r>
      <w:r w:rsidRPr="004B73A7">
        <w:rPr>
          <w:lang w:val="en-GB"/>
        </w:rPr>
        <w:t xml:space="preserve"> </w:t>
      </w:r>
      <w:r>
        <w:rPr>
          <w:lang w:val="en-GB"/>
        </w:rPr>
        <w:tab/>
        <w:t xml:space="preserve">For </w:t>
      </w:r>
      <w:r w:rsidRPr="004B73A7">
        <w:rPr>
          <w:lang w:val="en-GB"/>
        </w:rPr>
        <w:t>example</w:t>
      </w:r>
      <w:r>
        <w:rPr>
          <w:lang w:val="en-GB"/>
        </w:rPr>
        <w:t>, at the CWG-FHR meeting in January 2026, the Director of BR agreed with comments from delegates regarding the backlog of satellite network filings, noting that the situation with respect to complying with deadlines for recording could become even more challenging as the number and complexity of the filings increased. The Director of BR stressed that the situation would not improve without modernizing the software or increasing staffing.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2E88"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D32046"/>
    <w:multiLevelType w:val="hybridMultilevel"/>
    <w:tmpl w:val="8D44038C"/>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 w15:restartNumberingAfterBreak="0">
    <w:nsid w:val="2F69040D"/>
    <w:multiLevelType w:val="hybridMultilevel"/>
    <w:tmpl w:val="AA7837B6"/>
    <w:lvl w:ilvl="0" w:tplc="C3B0DC4A">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4F0C96"/>
    <w:multiLevelType w:val="hybridMultilevel"/>
    <w:tmpl w:val="CE5423C6"/>
    <w:lvl w:ilvl="0" w:tplc="057A78AC">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E86997"/>
    <w:multiLevelType w:val="hybridMultilevel"/>
    <w:tmpl w:val="00FC22EE"/>
    <w:lvl w:ilvl="0" w:tplc="FB16276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969674498">
    <w:abstractNumId w:val="3"/>
  </w:num>
  <w:num w:numId="3" w16cid:durableId="1782532364">
    <w:abstractNumId w:val="1"/>
  </w:num>
  <w:num w:numId="4" w16cid:durableId="1274362820">
    <w:abstractNumId w:val="4"/>
  </w:num>
  <w:num w:numId="5" w16cid:durableId="631405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D0"/>
    <w:rsid w:val="00012539"/>
    <w:rsid w:val="000210D4"/>
    <w:rsid w:val="00045C9B"/>
    <w:rsid w:val="0004636E"/>
    <w:rsid w:val="0006007D"/>
    <w:rsid w:val="00063016"/>
    <w:rsid w:val="00066795"/>
    <w:rsid w:val="00076AF6"/>
    <w:rsid w:val="00083BB8"/>
    <w:rsid w:val="00085CF2"/>
    <w:rsid w:val="000B1705"/>
    <w:rsid w:val="000B5F55"/>
    <w:rsid w:val="000D75B2"/>
    <w:rsid w:val="000E372C"/>
    <w:rsid w:val="000F5DDB"/>
    <w:rsid w:val="001121F5"/>
    <w:rsid w:val="001400DC"/>
    <w:rsid w:val="00140CE1"/>
    <w:rsid w:val="0015189A"/>
    <w:rsid w:val="001560DE"/>
    <w:rsid w:val="0017539C"/>
    <w:rsid w:val="00175AC2"/>
    <w:rsid w:val="0017609F"/>
    <w:rsid w:val="00176F47"/>
    <w:rsid w:val="001A3154"/>
    <w:rsid w:val="001A7D1D"/>
    <w:rsid w:val="001B1F87"/>
    <w:rsid w:val="001B51DD"/>
    <w:rsid w:val="001C628E"/>
    <w:rsid w:val="001C6C3A"/>
    <w:rsid w:val="001D43F8"/>
    <w:rsid w:val="001E0F7B"/>
    <w:rsid w:val="001F5569"/>
    <w:rsid w:val="0020487B"/>
    <w:rsid w:val="002119FD"/>
    <w:rsid w:val="002130E0"/>
    <w:rsid w:val="00221F46"/>
    <w:rsid w:val="0022325D"/>
    <w:rsid w:val="00255656"/>
    <w:rsid w:val="00264425"/>
    <w:rsid w:val="00265875"/>
    <w:rsid w:val="002674EC"/>
    <w:rsid w:val="0027303B"/>
    <w:rsid w:val="00277DEA"/>
    <w:rsid w:val="0028109B"/>
    <w:rsid w:val="002916B4"/>
    <w:rsid w:val="0029538B"/>
    <w:rsid w:val="002A0615"/>
    <w:rsid w:val="002A133E"/>
    <w:rsid w:val="002A2188"/>
    <w:rsid w:val="002B1F58"/>
    <w:rsid w:val="002C1C7A"/>
    <w:rsid w:val="002C3F32"/>
    <w:rsid w:val="002C54E2"/>
    <w:rsid w:val="0030160F"/>
    <w:rsid w:val="00320223"/>
    <w:rsid w:val="00322D0D"/>
    <w:rsid w:val="00325417"/>
    <w:rsid w:val="00361465"/>
    <w:rsid w:val="00365D52"/>
    <w:rsid w:val="0038438D"/>
    <w:rsid w:val="0038610E"/>
    <w:rsid w:val="003877F5"/>
    <w:rsid w:val="003936D3"/>
    <w:rsid w:val="003942D4"/>
    <w:rsid w:val="003958A8"/>
    <w:rsid w:val="003A4794"/>
    <w:rsid w:val="003B29C2"/>
    <w:rsid w:val="003B4FAF"/>
    <w:rsid w:val="003C0FF7"/>
    <w:rsid w:val="003C2533"/>
    <w:rsid w:val="003D5A7F"/>
    <w:rsid w:val="003E1B61"/>
    <w:rsid w:val="003F0228"/>
    <w:rsid w:val="0040435A"/>
    <w:rsid w:val="004104B6"/>
    <w:rsid w:val="00416A24"/>
    <w:rsid w:val="00431D9E"/>
    <w:rsid w:val="00433CE8"/>
    <w:rsid w:val="00434A5C"/>
    <w:rsid w:val="0044178C"/>
    <w:rsid w:val="00453079"/>
    <w:rsid w:val="004544D9"/>
    <w:rsid w:val="00465C35"/>
    <w:rsid w:val="004673D0"/>
    <w:rsid w:val="00472BAD"/>
    <w:rsid w:val="00484009"/>
    <w:rsid w:val="00490E72"/>
    <w:rsid w:val="00491157"/>
    <w:rsid w:val="00491BA9"/>
    <w:rsid w:val="004921C8"/>
    <w:rsid w:val="0049369C"/>
    <w:rsid w:val="00495615"/>
    <w:rsid w:val="00495B0B"/>
    <w:rsid w:val="004A1B8B"/>
    <w:rsid w:val="004A4155"/>
    <w:rsid w:val="004B4F64"/>
    <w:rsid w:val="004B73A7"/>
    <w:rsid w:val="004C3CDE"/>
    <w:rsid w:val="004D1851"/>
    <w:rsid w:val="004D4C03"/>
    <w:rsid w:val="004D599D"/>
    <w:rsid w:val="004E2EA5"/>
    <w:rsid w:val="004E34D3"/>
    <w:rsid w:val="004E3AEB"/>
    <w:rsid w:val="004E5A93"/>
    <w:rsid w:val="0050084A"/>
    <w:rsid w:val="0050223C"/>
    <w:rsid w:val="00512087"/>
    <w:rsid w:val="005243FF"/>
    <w:rsid w:val="0052560B"/>
    <w:rsid w:val="00525FC4"/>
    <w:rsid w:val="0054670F"/>
    <w:rsid w:val="0054685B"/>
    <w:rsid w:val="00564FBC"/>
    <w:rsid w:val="00573E86"/>
    <w:rsid w:val="00576ADD"/>
    <w:rsid w:val="005800BC"/>
    <w:rsid w:val="00582442"/>
    <w:rsid w:val="00593B3D"/>
    <w:rsid w:val="005F3055"/>
    <w:rsid w:val="005F3269"/>
    <w:rsid w:val="005F466D"/>
    <w:rsid w:val="005F4DC9"/>
    <w:rsid w:val="0061071E"/>
    <w:rsid w:val="00623AE3"/>
    <w:rsid w:val="0064737F"/>
    <w:rsid w:val="0064782A"/>
    <w:rsid w:val="006535F1"/>
    <w:rsid w:val="0065557D"/>
    <w:rsid w:val="00655EE8"/>
    <w:rsid w:val="00657E79"/>
    <w:rsid w:val="00660D50"/>
    <w:rsid w:val="00662984"/>
    <w:rsid w:val="006716BB"/>
    <w:rsid w:val="00680E2C"/>
    <w:rsid w:val="00693292"/>
    <w:rsid w:val="006A2F4B"/>
    <w:rsid w:val="006B1859"/>
    <w:rsid w:val="006B6680"/>
    <w:rsid w:val="006B6DCC"/>
    <w:rsid w:val="006B77F1"/>
    <w:rsid w:val="006D4C34"/>
    <w:rsid w:val="006D6F59"/>
    <w:rsid w:val="00702DEF"/>
    <w:rsid w:val="00706861"/>
    <w:rsid w:val="00722551"/>
    <w:rsid w:val="0075051B"/>
    <w:rsid w:val="00765C89"/>
    <w:rsid w:val="0077110E"/>
    <w:rsid w:val="00793188"/>
    <w:rsid w:val="00794D34"/>
    <w:rsid w:val="007A3FCD"/>
    <w:rsid w:val="007A4A14"/>
    <w:rsid w:val="007B19CF"/>
    <w:rsid w:val="007D01AF"/>
    <w:rsid w:val="007D3797"/>
    <w:rsid w:val="00801307"/>
    <w:rsid w:val="00806E92"/>
    <w:rsid w:val="00813E5E"/>
    <w:rsid w:val="008338D5"/>
    <w:rsid w:val="0083581B"/>
    <w:rsid w:val="0084546D"/>
    <w:rsid w:val="0085109C"/>
    <w:rsid w:val="00863874"/>
    <w:rsid w:val="00864AFF"/>
    <w:rsid w:val="00865925"/>
    <w:rsid w:val="008B4A6A"/>
    <w:rsid w:val="008B4A9A"/>
    <w:rsid w:val="008C4D76"/>
    <w:rsid w:val="008C7E27"/>
    <w:rsid w:val="008E4D8A"/>
    <w:rsid w:val="008F3B04"/>
    <w:rsid w:val="008F5312"/>
    <w:rsid w:val="008F7448"/>
    <w:rsid w:val="0090147A"/>
    <w:rsid w:val="009173EF"/>
    <w:rsid w:val="00932906"/>
    <w:rsid w:val="00950499"/>
    <w:rsid w:val="009514AA"/>
    <w:rsid w:val="00954C49"/>
    <w:rsid w:val="00961B0B"/>
    <w:rsid w:val="00962D33"/>
    <w:rsid w:val="00966B8C"/>
    <w:rsid w:val="009842A1"/>
    <w:rsid w:val="009A76A8"/>
    <w:rsid w:val="009B38C3"/>
    <w:rsid w:val="009C55B8"/>
    <w:rsid w:val="009E17BD"/>
    <w:rsid w:val="009E485A"/>
    <w:rsid w:val="00A01F4F"/>
    <w:rsid w:val="00A04CEC"/>
    <w:rsid w:val="00A109AF"/>
    <w:rsid w:val="00A14C8C"/>
    <w:rsid w:val="00A27F92"/>
    <w:rsid w:val="00A31BE2"/>
    <w:rsid w:val="00A31C25"/>
    <w:rsid w:val="00A32257"/>
    <w:rsid w:val="00A3247C"/>
    <w:rsid w:val="00A36D20"/>
    <w:rsid w:val="00A42237"/>
    <w:rsid w:val="00A514A4"/>
    <w:rsid w:val="00A55622"/>
    <w:rsid w:val="00A83502"/>
    <w:rsid w:val="00A83E66"/>
    <w:rsid w:val="00A9001E"/>
    <w:rsid w:val="00A94BAB"/>
    <w:rsid w:val="00AA6F56"/>
    <w:rsid w:val="00AC5F30"/>
    <w:rsid w:val="00AD15B3"/>
    <w:rsid w:val="00AD3606"/>
    <w:rsid w:val="00AD4A3D"/>
    <w:rsid w:val="00AF6E49"/>
    <w:rsid w:val="00B04A67"/>
    <w:rsid w:val="00B0583C"/>
    <w:rsid w:val="00B40A81"/>
    <w:rsid w:val="00B43806"/>
    <w:rsid w:val="00B44910"/>
    <w:rsid w:val="00B72267"/>
    <w:rsid w:val="00B76EB6"/>
    <w:rsid w:val="00B7737B"/>
    <w:rsid w:val="00B80152"/>
    <w:rsid w:val="00B824C8"/>
    <w:rsid w:val="00B84B9D"/>
    <w:rsid w:val="00B9131F"/>
    <w:rsid w:val="00B95D64"/>
    <w:rsid w:val="00BB0646"/>
    <w:rsid w:val="00BB2096"/>
    <w:rsid w:val="00BB2F3A"/>
    <w:rsid w:val="00BC251A"/>
    <w:rsid w:val="00BC4A20"/>
    <w:rsid w:val="00BD032B"/>
    <w:rsid w:val="00BE01C6"/>
    <w:rsid w:val="00BE2640"/>
    <w:rsid w:val="00BF1FDE"/>
    <w:rsid w:val="00BF630F"/>
    <w:rsid w:val="00C01189"/>
    <w:rsid w:val="00C0458D"/>
    <w:rsid w:val="00C20F1C"/>
    <w:rsid w:val="00C31DF9"/>
    <w:rsid w:val="00C374DE"/>
    <w:rsid w:val="00C40ACC"/>
    <w:rsid w:val="00C47AD4"/>
    <w:rsid w:val="00C52D81"/>
    <w:rsid w:val="00C55198"/>
    <w:rsid w:val="00C5605F"/>
    <w:rsid w:val="00C6520B"/>
    <w:rsid w:val="00CA3AA5"/>
    <w:rsid w:val="00CA6393"/>
    <w:rsid w:val="00CA7995"/>
    <w:rsid w:val="00CB18FF"/>
    <w:rsid w:val="00CD0C08"/>
    <w:rsid w:val="00CE03FB"/>
    <w:rsid w:val="00CE433C"/>
    <w:rsid w:val="00CE6C6C"/>
    <w:rsid w:val="00CF0161"/>
    <w:rsid w:val="00CF1BEF"/>
    <w:rsid w:val="00CF1C57"/>
    <w:rsid w:val="00CF33F3"/>
    <w:rsid w:val="00CF4A2B"/>
    <w:rsid w:val="00CF682A"/>
    <w:rsid w:val="00D024CA"/>
    <w:rsid w:val="00D05C4B"/>
    <w:rsid w:val="00D06183"/>
    <w:rsid w:val="00D22C42"/>
    <w:rsid w:val="00D65041"/>
    <w:rsid w:val="00DB1936"/>
    <w:rsid w:val="00DB384B"/>
    <w:rsid w:val="00DE19FE"/>
    <w:rsid w:val="00DE532B"/>
    <w:rsid w:val="00DF0189"/>
    <w:rsid w:val="00E03B6D"/>
    <w:rsid w:val="00E06FD5"/>
    <w:rsid w:val="00E10E80"/>
    <w:rsid w:val="00E124F0"/>
    <w:rsid w:val="00E227F3"/>
    <w:rsid w:val="00E545C6"/>
    <w:rsid w:val="00E60F04"/>
    <w:rsid w:val="00E65B24"/>
    <w:rsid w:val="00E845A4"/>
    <w:rsid w:val="00E854E4"/>
    <w:rsid w:val="00E867E2"/>
    <w:rsid w:val="00E86DBF"/>
    <w:rsid w:val="00E969AF"/>
    <w:rsid w:val="00EB0D6F"/>
    <w:rsid w:val="00EB2232"/>
    <w:rsid w:val="00EC471B"/>
    <w:rsid w:val="00EC48E2"/>
    <w:rsid w:val="00EC5337"/>
    <w:rsid w:val="00EE49E8"/>
    <w:rsid w:val="00EF468E"/>
    <w:rsid w:val="00F16BAB"/>
    <w:rsid w:val="00F2150A"/>
    <w:rsid w:val="00F231D8"/>
    <w:rsid w:val="00F44C00"/>
    <w:rsid w:val="00F45D2C"/>
    <w:rsid w:val="00F46C5F"/>
    <w:rsid w:val="00F632C0"/>
    <w:rsid w:val="00F641E1"/>
    <w:rsid w:val="00F94A63"/>
    <w:rsid w:val="00F96FCE"/>
    <w:rsid w:val="00FA1C28"/>
    <w:rsid w:val="00FA4879"/>
    <w:rsid w:val="00FB1279"/>
    <w:rsid w:val="00FB60D5"/>
    <w:rsid w:val="00FB6B76"/>
    <w:rsid w:val="00FB7596"/>
    <w:rsid w:val="00FE4077"/>
    <w:rsid w:val="00FE500D"/>
    <w:rsid w:val="00FE5284"/>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D45B6"/>
  <w15:docId w15:val="{B443F67E-C9BE-4DCE-984D-A8B5C298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EC48E2"/>
    <w:rPr>
      <w:rFonts w:eastAsiaTheme="minorHAnsi" w:cstheme="minorBidi"/>
      <w:color w:val="4F81BD" w:themeColor="accent1"/>
      <w:szCs w:val="22"/>
    </w:rPr>
  </w:style>
  <w:style w:type="paragraph" w:customStyle="1" w:styleId="FirstFooter">
    <w:name w:val="FirstFooter"/>
    <w:basedOn w:val="Footer"/>
    <w:rsid w:val="00EC48E2"/>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style>
  <w:style w:type="paragraph" w:customStyle="1" w:styleId="Title2">
    <w:name w:val="Title 2"/>
    <w:basedOn w:val="Title1"/>
    <w:next w:val="Normalaftertitle"/>
    <w:rsid w:val="00EC48E2"/>
    <w:pPr>
      <w:keepNext/>
      <w:keepLines/>
      <w:spacing w:before="240"/>
    </w:pPr>
    <w:rPr>
      <w:b/>
    </w:rPr>
  </w:style>
  <w:style w:type="paragraph" w:customStyle="1" w:styleId="Title3">
    <w:name w:val="Title 3"/>
    <w:basedOn w:val="Title2"/>
    <w:next w:val="Normalaftertitle"/>
    <w:rsid w:val="00EC48E2"/>
    <w:rPr>
      <w:b w:val="0"/>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EC48E2"/>
    <w:pPr>
      <w:keepNext/>
      <w:keepLines/>
      <w:spacing w:before="480" w:after="120"/>
      <w:jc w:val="center"/>
    </w:p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noProof w:val="0"/>
    </w:rPr>
  </w:style>
  <w:style w:type="paragraph" w:styleId="ListParagraph">
    <w:name w:val="List Paragraph"/>
    <w:basedOn w:val="Normal"/>
    <w:uiPriority w:val="34"/>
    <w:qFormat/>
    <w:rsid w:val="00E845A4"/>
    <w:pPr>
      <w:tabs>
        <w:tab w:val="clear" w:pos="567"/>
        <w:tab w:val="clear" w:pos="1134"/>
        <w:tab w:val="clear" w:pos="1701"/>
        <w:tab w:val="clear" w:pos="2268"/>
        <w:tab w:val="clear" w:pos="2835"/>
        <w:tab w:val="left" w:pos="794"/>
        <w:tab w:val="left" w:pos="1191"/>
        <w:tab w:val="left" w:pos="1588"/>
        <w:tab w:val="left" w:pos="1985"/>
      </w:tabs>
      <w:ind w:left="720"/>
      <w:contextualSpacing/>
    </w:pPr>
    <w:rPr>
      <w:sz w:val="22"/>
      <w:lang w:val="en-GB"/>
    </w:rPr>
  </w:style>
  <w:style w:type="character" w:styleId="CommentReference">
    <w:name w:val="annotation reference"/>
    <w:basedOn w:val="DefaultParagraphFont"/>
    <w:semiHidden/>
    <w:unhideWhenUsed/>
    <w:rsid w:val="006D6F59"/>
    <w:rPr>
      <w:sz w:val="16"/>
      <w:szCs w:val="16"/>
    </w:rPr>
  </w:style>
  <w:style w:type="paragraph" w:styleId="CommentText">
    <w:name w:val="annotation text"/>
    <w:basedOn w:val="Normal"/>
    <w:link w:val="CommentTextChar"/>
    <w:unhideWhenUsed/>
    <w:rsid w:val="006D6F59"/>
    <w:rPr>
      <w:sz w:val="20"/>
    </w:rPr>
  </w:style>
  <w:style w:type="character" w:customStyle="1" w:styleId="CommentTextChar">
    <w:name w:val="Comment Text Char"/>
    <w:basedOn w:val="DefaultParagraphFont"/>
    <w:link w:val="CommentText"/>
    <w:rsid w:val="006D6F59"/>
    <w:rPr>
      <w:rFonts w:ascii="Calibri" w:hAnsi="Calibri"/>
      <w:lang w:val="fr-FR" w:eastAsia="en-US"/>
    </w:rPr>
  </w:style>
  <w:style w:type="paragraph" w:styleId="CommentSubject">
    <w:name w:val="annotation subject"/>
    <w:basedOn w:val="CommentText"/>
    <w:next w:val="CommentText"/>
    <w:link w:val="CommentSubjectChar"/>
    <w:semiHidden/>
    <w:unhideWhenUsed/>
    <w:rsid w:val="006D6F59"/>
    <w:rPr>
      <w:b/>
      <w:bCs/>
    </w:rPr>
  </w:style>
  <w:style w:type="character" w:customStyle="1" w:styleId="CommentSubjectChar">
    <w:name w:val="Comment Subject Char"/>
    <w:basedOn w:val="CommentTextChar"/>
    <w:link w:val="CommentSubject"/>
    <w:semiHidden/>
    <w:rsid w:val="006D6F59"/>
    <w:rPr>
      <w:rFonts w:ascii="Calibri" w:hAnsi="Calibri"/>
      <w:b/>
      <w:bCs/>
      <w:lang w:val="fr-FR" w:eastAsia="en-US"/>
    </w:rPr>
  </w:style>
  <w:style w:type="paragraph" w:styleId="Revision">
    <w:name w:val="Revision"/>
    <w:hidden/>
    <w:uiPriority w:val="99"/>
    <w:semiHidden/>
    <w:rsid w:val="00AA6F56"/>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5/en" TargetMode="External"/><Relationship Id="rId13" Type="http://schemas.openxmlformats.org/officeDocument/2006/relationships/hyperlink" Target="https://www.itu.int/md/S26-CWGFHR22-C-0025/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6-CWGFHR22-C-0036/en" TargetMode="External"/><Relationship Id="rId17" Type="http://schemas.openxmlformats.org/officeDocument/2006/relationships/hyperlink" Target="https://www.itu.int/md/S26-CWGFHR22-C-0025/en" TargetMode="External"/><Relationship Id="rId2" Type="http://schemas.openxmlformats.org/officeDocument/2006/relationships/numbering" Target="numbering.xml"/><Relationship Id="rId16" Type="http://schemas.openxmlformats.org/officeDocument/2006/relationships/hyperlink" Target="https://www.itu.int/md/S26-CWGFHR22-C-0025/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6/en" TargetMode="External"/><Relationship Id="rId5" Type="http://schemas.openxmlformats.org/officeDocument/2006/relationships/webSettings" Target="webSettings.xml"/><Relationship Id="rId15" Type="http://schemas.openxmlformats.org/officeDocument/2006/relationships/hyperlink" Target="https://www.itu.int/md/S26-CWGFHR22-C-0036/en" TargetMode="External"/><Relationship Id="rId10" Type="http://schemas.openxmlformats.org/officeDocument/2006/relationships/hyperlink" Target="https://www.itu.int/md/S26-CWGFHR22-C-0025/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6-CWGFHR22-C-0025/en" TargetMode="External"/><Relationship Id="rId14" Type="http://schemas.openxmlformats.org/officeDocument/2006/relationships/hyperlink" Target="https://www.itu.int/md/S25-CL-C-0086/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0</TotalTime>
  <Pages>6</Pages>
  <Words>2081</Words>
  <Characters>11804</Characters>
  <Application>Microsoft Office Word</Application>
  <DocSecurity>0</DocSecurity>
  <Lines>218</Lines>
  <Paragraphs>118</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13767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optimization of ITU resource allocation to better align with the purposes of the Union</dc:title>
  <dc:subject>ITU Council 2026</dc:subject>
  <dc:creator>GBS</dc:creator>
  <cp:keywords>C26; C2026; Council 2026; PP26</cp:keywords>
  <dc:description/>
  <cp:lastModifiedBy>GBS</cp:lastModifiedBy>
  <cp:revision>2</cp:revision>
  <cp:lastPrinted>2026-04-21T15:44:00Z</cp:lastPrinted>
  <dcterms:created xsi:type="dcterms:W3CDTF">2026-04-26T15:28:00Z</dcterms:created>
  <dcterms:modified xsi:type="dcterms:W3CDTF">2026-04-26T15:28:00Z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ranslatedWith">
    <vt:lpwstr>Mercury</vt:lpwstr>
  </property>
  <property fmtid="{D5CDD505-2E9C-101B-9397-08002B2CF9AE}" pid="10" name="GeneratedBy">
    <vt:lpwstr>thomas.french@itu.int</vt:lpwstr>
  </property>
  <property fmtid="{D5CDD505-2E9C-101B-9397-08002B2CF9AE}" pid="11" name="GeneratedDate">
    <vt:lpwstr>04/21/2026 09:49:12</vt:lpwstr>
  </property>
  <property fmtid="{D5CDD505-2E9C-101B-9397-08002B2CF9AE}" pid="12" name="OriginalDocID">
    <vt:lpwstr>9d6cf197-90f6-4778-8f20-1db99251a50c</vt:lpwstr>
  </property>
</Properties>
</file>