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FD2F3BD" w14:textId="77777777" w:rsidTr="00555C29">
        <w:trPr>
          <w:cantSplit/>
          <w:trHeight w:val="23"/>
        </w:trPr>
        <w:tc>
          <w:tcPr>
            <w:tcW w:w="3969" w:type="dxa"/>
            <w:vMerge w:val="restart"/>
            <w:tcMar>
              <w:left w:w="0" w:type="dxa"/>
            </w:tcMar>
          </w:tcPr>
          <w:p w14:paraId="7FF80100" w14:textId="7EA0C50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DB2D2B">
              <w:rPr>
                <w:b/>
              </w:rPr>
              <w:t>ADM 1</w:t>
            </w:r>
          </w:p>
        </w:tc>
        <w:tc>
          <w:tcPr>
            <w:tcW w:w="5245" w:type="dxa"/>
          </w:tcPr>
          <w:p w14:paraId="684B679D" w14:textId="5B8D1BC2"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635B53">
              <w:rPr>
                <w:rFonts w:hint="eastAsia"/>
                <w:b/>
                <w:lang w:val="fr-CH" w:eastAsia="zh-CN"/>
              </w:rPr>
              <w:t>91</w:t>
            </w:r>
            <w:r w:rsidRPr="00E24D59">
              <w:rPr>
                <w:b/>
                <w:lang w:val="fr-CH"/>
              </w:rPr>
              <w:t>-C</w:t>
            </w:r>
          </w:p>
        </w:tc>
      </w:tr>
      <w:tr w:rsidR="00E24D59" w:rsidRPr="00813E5E" w14:paraId="58C8E2D8" w14:textId="77777777" w:rsidTr="00555C29">
        <w:trPr>
          <w:cantSplit/>
        </w:trPr>
        <w:tc>
          <w:tcPr>
            <w:tcW w:w="3969" w:type="dxa"/>
            <w:vMerge/>
          </w:tcPr>
          <w:p w14:paraId="4ADD5D3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94F0D95" w14:textId="6D6BC149" w:rsidR="00E24D59" w:rsidRPr="00E85629" w:rsidRDefault="00635B53"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F8E434B" w14:textId="77777777" w:rsidTr="00555C29">
        <w:trPr>
          <w:cantSplit/>
          <w:trHeight w:val="23"/>
        </w:trPr>
        <w:tc>
          <w:tcPr>
            <w:tcW w:w="3969" w:type="dxa"/>
            <w:vMerge/>
          </w:tcPr>
          <w:p w14:paraId="2DB370E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7FE3D9B" w14:textId="488AACB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635B53">
              <w:rPr>
                <w:rFonts w:cstheme="minorHAnsi" w:hint="eastAsia"/>
                <w:b/>
                <w:bCs/>
                <w:lang w:val="ru-RU" w:eastAsia="zh-CN"/>
              </w:rPr>
              <w:t>俄文</w:t>
            </w:r>
          </w:p>
        </w:tc>
      </w:tr>
      <w:tr w:rsidR="00E24D59" w:rsidRPr="00813E5E" w14:paraId="407DCDF8" w14:textId="77777777" w:rsidTr="00555C29">
        <w:trPr>
          <w:cantSplit/>
          <w:trHeight w:val="23"/>
        </w:trPr>
        <w:tc>
          <w:tcPr>
            <w:tcW w:w="3969" w:type="dxa"/>
          </w:tcPr>
          <w:p w14:paraId="1FB861E0" w14:textId="77777777" w:rsidR="00E24D59" w:rsidRPr="00813E5E" w:rsidRDefault="00E24D59" w:rsidP="00555C29">
            <w:pPr>
              <w:tabs>
                <w:tab w:val="left" w:pos="851"/>
              </w:tabs>
              <w:spacing w:line="240" w:lineRule="atLeast"/>
              <w:rPr>
                <w:b/>
              </w:rPr>
            </w:pPr>
          </w:p>
        </w:tc>
        <w:tc>
          <w:tcPr>
            <w:tcW w:w="5245" w:type="dxa"/>
          </w:tcPr>
          <w:p w14:paraId="7F8F88BE" w14:textId="77777777" w:rsidR="00E24D59" w:rsidRDefault="00E24D59" w:rsidP="00555C29">
            <w:pPr>
              <w:tabs>
                <w:tab w:val="left" w:pos="851"/>
              </w:tabs>
              <w:spacing w:before="0" w:line="240" w:lineRule="atLeast"/>
              <w:jc w:val="right"/>
              <w:rPr>
                <w:b/>
              </w:rPr>
            </w:pPr>
          </w:p>
        </w:tc>
      </w:tr>
      <w:tr w:rsidR="00E24D59" w:rsidRPr="00813E5E" w14:paraId="5F8DA741" w14:textId="77777777" w:rsidTr="00555C29">
        <w:trPr>
          <w:cantSplit/>
        </w:trPr>
        <w:tc>
          <w:tcPr>
            <w:tcW w:w="9214" w:type="dxa"/>
            <w:gridSpan w:val="2"/>
            <w:tcMar>
              <w:left w:w="0" w:type="dxa"/>
            </w:tcMar>
          </w:tcPr>
          <w:p w14:paraId="35538121" w14:textId="523B9602" w:rsidR="00E24D59" w:rsidRPr="00C24DAC" w:rsidRDefault="00635B53" w:rsidP="00C24DAC">
            <w:pPr>
              <w:pStyle w:val="Source"/>
              <w:framePr w:hSpace="0" w:wrap="auto" w:vAnchor="margin" w:hAnchor="text" w:xAlign="left" w:yAlign="inline"/>
            </w:pPr>
            <w:bookmarkStart w:id="5" w:name="dsource" w:colFirst="0" w:colLast="0"/>
            <w:bookmarkEnd w:id="4"/>
            <w:r>
              <w:rPr>
                <w:bCs/>
                <w:color w:val="000000"/>
                <w:lang w:val="zh-CN"/>
              </w:rPr>
              <w:t>俄罗斯联邦</w:t>
            </w:r>
            <w:r w:rsidRPr="00242A97">
              <w:rPr>
                <w:rFonts w:hint="eastAsia"/>
              </w:rPr>
              <w:t>的文稿</w:t>
            </w:r>
          </w:p>
        </w:tc>
      </w:tr>
      <w:tr w:rsidR="00E24D59" w:rsidRPr="00813E5E" w14:paraId="0017EFA1" w14:textId="77777777" w:rsidTr="00555C29">
        <w:trPr>
          <w:cantSplit/>
        </w:trPr>
        <w:tc>
          <w:tcPr>
            <w:tcW w:w="9214" w:type="dxa"/>
            <w:gridSpan w:val="2"/>
            <w:tcMar>
              <w:left w:w="0" w:type="dxa"/>
            </w:tcMar>
          </w:tcPr>
          <w:p w14:paraId="58564167" w14:textId="2B1E58A0" w:rsidR="00E24D59" w:rsidRPr="00C24DAC" w:rsidRDefault="00635B53" w:rsidP="00C24DAC">
            <w:pPr>
              <w:pStyle w:val="Subtitle"/>
              <w:framePr w:hSpace="0" w:wrap="auto" w:vAnchor="margin" w:hAnchor="text" w:xAlign="left" w:yAlign="inline"/>
            </w:pPr>
            <w:bookmarkStart w:id="6" w:name="dtitle1" w:colFirst="0" w:colLast="0"/>
            <w:bookmarkEnd w:id="5"/>
            <w:r>
              <w:rPr>
                <w:color w:val="000000"/>
                <w:lang w:val="zh-CN"/>
              </w:rPr>
              <w:t>优化国际电联资源分配</w:t>
            </w:r>
            <w:r>
              <w:rPr>
                <w:rFonts w:hint="eastAsia"/>
                <w:color w:val="000000"/>
                <w:lang w:val="zh-CN"/>
              </w:rPr>
              <w:t>，</w:t>
            </w:r>
            <w:r>
              <w:rPr>
                <w:color w:val="000000"/>
                <w:lang w:val="zh-CN"/>
              </w:rPr>
              <w:t>以更好地与</w:t>
            </w:r>
            <w:r w:rsidR="00647633">
              <w:rPr>
                <w:color w:val="000000"/>
                <w:lang w:val="zh-CN"/>
              </w:rPr>
              <w:br/>
            </w:r>
            <w:r>
              <w:rPr>
                <w:color w:val="000000"/>
                <w:lang w:val="zh-CN"/>
              </w:rPr>
              <w:t>国际电联宗旨保持一致的提案</w:t>
            </w:r>
          </w:p>
        </w:tc>
      </w:tr>
      <w:tr w:rsidR="00E24D59" w:rsidRPr="00813E5E" w14:paraId="247E34CF" w14:textId="77777777" w:rsidTr="00555C29">
        <w:trPr>
          <w:cantSplit/>
        </w:trPr>
        <w:tc>
          <w:tcPr>
            <w:tcW w:w="9214" w:type="dxa"/>
            <w:gridSpan w:val="2"/>
            <w:tcBorders>
              <w:top w:val="single" w:sz="4" w:space="0" w:color="auto"/>
              <w:bottom w:val="single" w:sz="4" w:space="0" w:color="auto"/>
            </w:tcBorders>
            <w:tcMar>
              <w:left w:w="0" w:type="dxa"/>
            </w:tcMar>
          </w:tcPr>
          <w:p w14:paraId="3150937C" w14:textId="2F832635" w:rsidR="003F086E" w:rsidRPr="00477D57" w:rsidRDefault="003F086E" w:rsidP="00555C29">
            <w:pPr>
              <w:rPr>
                <w:b/>
                <w:bCs/>
                <w:lang w:eastAsia="zh-CN"/>
              </w:rPr>
            </w:pPr>
            <w:r w:rsidRPr="00477D57">
              <w:rPr>
                <w:b/>
                <w:bCs/>
                <w:lang w:eastAsia="zh-CN"/>
              </w:rPr>
              <w:t>目的</w:t>
            </w:r>
          </w:p>
          <w:p w14:paraId="74E81676" w14:textId="510864A6" w:rsidR="00635B53" w:rsidRPr="0022325D" w:rsidRDefault="00635B53" w:rsidP="00635B53">
            <w:pPr>
              <w:ind w:firstLineChars="200" w:firstLine="480"/>
              <w:rPr>
                <w:rFonts w:asciiTheme="minorHAnsi" w:eastAsia="Georgia" w:hAnsiTheme="minorHAnsi" w:cstheme="minorHAnsi"/>
                <w:szCs w:val="24"/>
                <w:lang w:eastAsia="zh-CN"/>
              </w:rPr>
            </w:pPr>
            <w:r>
              <w:rPr>
                <w:color w:val="000000"/>
                <w:lang w:val="zh-CN" w:eastAsia="zh-CN"/>
              </w:rPr>
              <w:t>本文稿阐述了俄罗斯联邦之前在</w:t>
            </w:r>
            <w:r w:rsidR="00C81272">
              <w:rPr>
                <w:rFonts w:hint="eastAsia"/>
                <w:color w:val="000000"/>
                <w:lang w:val="zh-CN" w:eastAsia="zh-CN"/>
              </w:rPr>
              <w:t>2026</w:t>
            </w:r>
            <w:r w:rsidR="00C81272">
              <w:rPr>
                <w:rFonts w:hint="eastAsia"/>
                <w:color w:val="000000"/>
                <w:lang w:val="zh-CN" w:eastAsia="zh-CN"/>
              </w:rPr>
              <w:t>年</w:t>
            </w:r>
            <w:r w:rsidR="00C81272">
              <w:rPr>
                <w:rFonts w:hint="eastAsia"/>
                <w:color w:val="000000"/>
                <w:lang w:val="zh-CN" w:eastAsia="zh-CN"/>
              </w:rPr>
              <w:t>1</w:t>
            </w:r>
            <w:r w:rsidR="00C81272">
              <w:rPr>
                <w:rFonts w:hint="eastAsia"/>
                <w:color w:val="000000"/>
                <w:lang w:val="zh-CN" w:eastAsia="zh-CN"/>
              </w:rPr>
              <w:t>月</w:t>
            </w:r>
            <w:r>
              <w:rPr>
                <w:color w:val="000000"/>
                <w:lang w:val="zh-CN" w:eastAsia="zh-CN"/>
              </w:rPr>
              <w:t>理事会财务和人力资源工作组（</w:t>
            </w:r>
            <w:r>
              <w:rPr>
                <w:color w:val="000000"/>
                <w:lang w:val="zh-CN" w:eastAsia="zh-CN"/>
              </w:rPr>
              <w:t>CWG-FHR</w:t>
            </w:r>
            <w:r>
              <w:rPr>
                <w:color w:val="000000"/>
                <w:lang w:val="zh-CN" w:eastAsia="zh-CN"/>
              </w:rPr>
              <w:t>）第</w:t>
            </w:r>
            <w:r>
              <w:rPr>
                <w:color w:val="000000"/>
                <w:lang w:val="zh-CN" w:eastAsia="zh-CN"/>
              </w:rPr>
              <w:t>22</w:t>
            </w:r>
            <w:r>
              <w:rPr>
                <w:color w:val="000000"/>
                <w:lang w:val="zh-CN" w:eastAsia="zh-CN"/>
              </w:rPr>
              <w:t>次会议上在</w:t>
            </w:r>
            <w:hyperlink r:id="rId8" w:tgtFrame="/private/var/folders/w1/r6xq73091_gfxzys7smktfw40000gn/T/com.kingsoft.wpsoffice.mac.global/wps-macos/x/_blank" w:history="1">
              <w:r w:rsidRPr="00E74250">
                <w:rPr>
                  <w:rStyle w:val="Style"/>
                  <w:lang w:eastAsia="zh-CN"/>
                </w:rPr>
                <w:t>CWG-FHR-22/25</w:t>
              </w:r>
            </w:hyperlink>
            <w:r>
              <w:rPr>
                <w:color w:val="000000"/>
                <w:lang w:val="zh-CN" w:eastAsia="zh-CN"/>
              </w:rPr>
              <w:t>号文件中提出的想法。该文件强调，尽管国际电联的一些核心职能已经劣化，但国际电联越来越</w:t>
            </w:r>
            <w:r>
              <w:rPr>
                <w:rFonts w:hint="eastAsia"/>
                <w:color w:val="000000"/>
                <w:lang w:val="zh-CN" w:eastAsia="zh-CN"/>
              </w:rPr>
              <w:t>无法</w:t>
            </w:r>
            <w:r>
              <w:rPr>
                <w:color w:val="000000"/>
                <w:lang w:val="zh-CN" w:eastAsia="zh-CN"/>
              </w:rPr>
              <w:t>按照国际电联《组织法》和其他基本文件所规定的国际电联宗旨分配资源。</w:t>
            </w:r>
            <w:hyperlink r:id="rId9" w:tgtFrame="/private/var/folders/w1/r6xq73091_gfxzys7smktfw40000gn/T/com.kingsoft.wpsoffice.mac.global/wps-macos/x/_blank" w:history="1"/>
            <w:hyperlink r:id="rId10" w:tgtFrame="/private/var/folders/w1/r6xq73091_gfxzys7smktfw40000gn/T/com.kingsoft.wpsoffice.mac.global/wps-macos/x/_blank" w:history="1"/>
          </w:p>
          <w:p w14:paraId="06B2A176" w14:textId="77777777" w:rsidR="00635B53" w:rsidRPr="00A57D57" w:rsidRDefault="00635B53" w:rsidP="00635B53">
            <w:pPr>
              <w:ind w:firstLineChars="200" w:firstLine="472"/>
              <w:rPr>
                <w:rFonts w:eastAsiaTheme="majorEastAsia" w:cs="Calibri"/>
                <w:spacing w:val="-2"/>
                <w:lang w:eastAsia="zh-CN"/>
              </w:rPr>
            </w:pPr>
            <w:r w:rsidRPr="00A57D57">
              <w:rPr>
                <w:color w:val="000000"/>
                <w:spacing w:val="-2"/>
                <w:lang w:val="zh-CN" w:eastAsia="zh-CN"/>
              </w:rPr>
              <w:t>建议实施差异化筹资方式，定期</w:t>
            </w:r>
            <w:r w:rsidRPr="00A57D57">
              <w:rPr>
                <w:rFonts w:hint="eastAsia"/>
                <w:color w:val="000000"/>
                <w:spacing w:val="-2"/>
                <w:lang w:val="zh-CN" w:eastAsia="zh-CN"/>
              </w:rPr>
              <w:t>进行</w:t>
            </w:r>
            <w:r w:rsidRPr="00A57D57">
              <w:rPr>
                <w:color w:val="000000"/>
                <w:spacing w:val="-2"/>
                <w:lang w:val="zh-CN" w:eastAsia="zh-CN"/>
              </w:rPr>
              <w:t>审查</w:t>
            </w:r>
            <w:r w:rsidRPr="00A57D57">
              <w:rPr>
                <w:rFonts w:hint="eastAsia"/>
                <w:color w:val="000000"/>
                <w:spacing w:val="-2"/>
                <w:lang w:val="zh-CN" w:eastAsia="zh-CN"/>
              </w:rPr>
              <w:t>，</w:t>
            </w:r>
            <w:r w:rsidRPr="00A57D57">
              <w:rPr>
                <w:color w:val="000000"/>
                <w:spacing w:val="-2"/>
                <w:lang w:val="zh-CN" w:eastAsia="zh-CN"/>
              </w:rPr>
              <w:t>以确保资源分配符合国际电联的宗旨</w:t>
            </w:r>
            <w:r w:rsidRPr="00A57D57">
              <w:rPr>
                <w:rFonts w:eastAsiaTheme="majorEastAsia" w:cs="Calibri" w:hint="eastAsia"/>
                <w:spacing w:val="-2"/>
                <w:lang w:eastAsia="zh-CN"/>
              </w:rPr>
              <w:t>。</w:t>
            </w:r>
          </w:p>
          <w:p w14:paraId="0DE8D143" w14:textId="77777777" w:rsidR="00635B53" w:rsidRPr="00477D57" w:rsidRDefault="00635B53" w:rsidP="00635B53">
            <w:pPr>
              <w:rPr>
                <w:b/>
                <w:bCs/>
                <w:lang w:eastAsia="zh-CN"/>
              </w:rPr>
            </w:pPr>
            <w:r w:rsidRPr="00477D57">
              <w:rPr>
                <w:b/>
                <w:bCs/>
                <w:lang w:eastAsia="zh-CN"/>
              </w:rPr>
              <w:t>理事会需采取的行动</w:t>
            </w:r>
          </w:p>
          <w:p w14:paraId="37B09CF4" w14:textId="77777777" w:rsidR="00635B53" w:rsidRPr="00242A97" w:rsidRDefault="00635B53" w:rsidP="00635B53">
            <w:pPr>
              <w:ind w:firstLineChars="200" w:firstLine="480"/>
              <w:rPr>
                <w:rFonts w:eastAsiaTheme="majorEastAsia" w:cs="Calibri"/>
                <w:lang w:eastAsia="zh-CN"/>
              </w:rPr>
            </w:pPr>
            <w:r w:rsidRPr="00242A97">
              <w:rPr>
                <w:rFonts w:eastAsiaTheme="majorEastAsia" w:cs="Calibri" w:hint="eastAsia"/>
                <w:lang w:eastAsia="zh-CN"/>
              </w:rPr>
              <w:t>请理事会</w:t>
            </w:r>
            <w:r w:rsidRPr="00645CC8">
              <w:rPr>
                <w:rFonts w:eastAsiaTheme="majorEastAsia" w:cs="Calibri" w:hint="eastAsia"/>
                <w:lang w:eastAsia="zh-CN"/>
              </w:rPr>
              <w:t>审议</w:t>
            </w:r>
            <w:r w:rsidRPr="00242A97">
              <w:rPr>
                <w:rFonts w:eastAsiaTheme="majorEastAsia" w:cs="Calibri" w:hint="eastAsia"/>
                <w:lang w:eastAsia="zh-CN"/>
              </w:rPr>
              <w:t>本文稿</w:t>
            </w:r>
            <w:r>
              <w:rPr>
                <w:color w:val="000000"/>
                <w:lang w:val="zh-CN" w:eastAsia="zh-CN"/>
              </w:rPr>
              <w:t>并提出任何必要的意见</w:t>
            </w:r>
            <w:r>
              <w:rPr>
                <w:rFonts w:eastAsiaTheme="majorEastAsia" w:cs="Calibri" w:hint="eastAsia"/>
                <w:lang w:eastAsia="zh-CN"/>
              </w:rPr>
              <w:t>。</w:t>
            </w:r>
          </w:p>
          <w:p w14:paraId="04F180B8" w14:textId="77777777" w:rsidR="00E24D59" w:rsidRPr="00DA2D30" w:rsidRDefault="00DA2D30" w:rsidP="00DA2D30">
            <w:pPr>
              <w:rPr>
                <w:lang w:eastAsia="zh-CN"/>
              </w:rPr>
            </w:pPr>
            <w:r>
              <w:rPr>
                <w:lang w:eastAsia="zh-CN"/>
              </w:rPr>
              <w:t>_______________</w:t>
            </w:r>
          </w:p>
          <w:p w14:paraId="3FE3CABE" w14:textId="77777777" w:rsidR="00E24D59" w:rsidRPr="00477D57" w:rsidRDefault="00E24D59" w:rsidP="00555C29">
            <w:pPr>
              <w:rPr>
                <w:b/>
                <w:bCs/>
                <w:lang w:eastAsia="zh-CN"/>
              </w:rPr>
            </w:pPr>
            <w:r w:rsidRPr="00477D57">
              <w:rPr>
                <w:rFonts w:hint="eastAsia"/>
                <w:b/>
                <w:bCs/>
                <w:lang w:eastAsia="zh-CN"/>
              </w:rPr>
              <w:t>参考文件</w:t>
            </w:r>
          </w:p>
          <w:p w14:paraId="20E5A1D5" w14:textId="59DB23F8" w:rsidR="00E24D59" w:rsidRPr="00477D57" w:rsidRDefault="00635B53" w:rsidP="00635B53">
            <w:pPr>
              <w:spacing w:after="120"/>
              <w:ind w:firstLineChars="200" w:firstLine="440"/>
              <w:rPr>
                <w:rFonts w:asciiTheme="majorEastAsia" w:eastAsiaTheme="majorEastAsia" w:hAnsiTheme="majorEastAsia"/>
                <w:i/>
                <w:iCs/>
                <w:sz w:val="22"/>
                <w:szCs w:val="22"/>
                <w:lang w:eastAsia="zh-CN"/>
              </w:rPr>
            </w:pPr>
            <w:r w:rsidRPr="00336337">
              <w:rPr>
                <w:rFonts w:ascii="STKaiti" w:eastAsia="STKaiti" w:hAnsi="STKaiti" w:cs="Calibri" w:hint="eastAsia"/>
                <w:sz w:val="22"/>
                <w:szCs w:val="22"/>
                <w:lang w:eastAsia="zh-CN"/>
              </w:rPr>
              <w:t>俄罗斯联邦</w:t>
            </w:r>
            <w:hyperlink r:id="rId11" w:tgtFrame="/private/var/folders/w1/r6xq73091_gfxzys7smktfw40000gn/T/com.kingsoft.wpsoffice.mac.global/wps-macos/x/_blank" w:history="1">
              <w:r w:rsidRPr="00C81272">
                <w:rPr>
                  <w:rStyle w:val="Hyperlink"/>
                  <w:rFonts w:eastAsia="SimSun"/>
                  <w:lang w:eastAsia="zh-CN"/>
                </w:rPr>
                <w:t>CWG-FHR-22/25</w:t>
              </w:r>
            </w:hyperlink>
            <w:r w:rsidRPr="00336337">
              <w:rPr>
                <w:rFonts w:ascii="STKaiti" w:eastAsia="STKaiti" w:hAnsi="STKaiti" w:cs="Calibri" w:hint="eastAsia"/>
                <w:sz w:val="22"/>
                <w:szCs w:val="22"/>
                <w:lang w:eastAsia="zh-CN"/>
              </w:rPr>
              <w:t>号文稿</w:t>
            </w:r>
            <w:r>
              <w:rPr>
                <w:rFonts w:ascii="STKaiti" w:eastAsia="STKaiti" w:hAnsi="STKaiti" w:cs="Calibri" w:hint="eastAsia"/>
                <w:sz w:val="22"/>
                <w:szCs w:val="22"/>
                <w:lang w:eastAsia="zh-CN"/>
              </w:rPr>
              <w:t>；</w:t>
            </w:r>
            <w:r w:rsidRPr="00336337">
              <w:rPr>
                <w:rFonts w:ascii="STKaiti" w:eastAsia="STKaiti" w:hAnsi="STKaiti" w:cs="Calibri" w:hint="eastAsia"/>
                <w:sz w:val="22"/>
                <w:szCs w:val="22"/>
                <w:lang w:eastAsia="zh-CN"/>
              </w:rPr>
              <w:t>多国文稿（中国、古巴和俄罗斯联邦）</w:t>
            </w:r>
            <w:hyperlink r:id="rId12" w:history="1">
              <w:r w:rsidRPr="00C81272">
                <w:rPr>
                  <w:rStyle w:val="Hyperlink"/>
                  <w:rFonts w:eastAsia="SimSun"/>
                  <w:lang w:eastAsia="zh-CN"/>
                </w:rPr>
                <w:t>C25/86</w:t>
              </w:r>
            </w:hyperlink>
            <w:r>
              <w:rPr>
                <w:rFonts w:ascii="STKaiti" w:eastAsia="STKaiti" w:hAnsi="STKaiti" w:cs="Calibri" w:hint="eastAsia"/>
                <w:sz w:val="22"/>
                <w:szCs w:val="22"/>
                <w:lang w:eastAsia="zh-CN"/>
              </w:rPr>
              <w:t>号文件；</w:t>
            </w:r>
            <w:r w:rsidRPr="00336337">
              <w:rPr>
                <w:rFonts w:ascii="STKaiti" w:eastAsia="STKaiti" w:hAnsi="STKaiti" w:cs="Calibri" w:hint="eastAsia"/>
                <w:sz w:val="22"/>
                <w:szCs w:val="22"/>
                <w:lang w:eastAsia="zh-CN"/>
              </w:rPr>
              <w:t>主席有关</w:t>
            </w:r>
            <w:r w:rsidRPr="00635B53">
              <w:rPr>
                <w:rFonts w:asciiTheme="minorHAnsi" w:eastAsia="STKaiti" w:hAnsiTheme="minorHAnsi" w:cstheme="minorHAnsi"/>
                <w:sz w:val="22"/>
                <w:szCs w:val="22"/>
                <w:lang w:eastAsia="zh-CN"/>
              </w:rPr>
              <w:t>CWG-FHR</w:t>
            </w:r>
            <w:r w:rsidRPr="00336337">
              <w:rPr>
                <w:rFonts w:ascii="STKaiti" w:eastAsia="STKaiti" w:hAnsi="STKaiti" w:cs="Calibri" w:hint="eastAsia"/>
                <w:sz w:val="22"/>
                <w:szCs w:val="22"/>
                <w:lang w:eastAsia="zh-CN"/>
              </w:rPr>
              <w:t>第</w:t>
            </w:r>
            <w:r w:rsidRPr="00C81272">
              <w:rPr>
                <w:rFonts w:asciiTheme="minorHAnsi" w:eastAsia="STKaiti" w:hAnsiTheme="minorHAnsi" w:cstheme="minorHAnsi"/>
                <w:sz w:val="22"/>
                <w:szCs w:val="22"/>
                <w:lang w:eastAsia="zh-CN"/>
              </w:rPr>
              <w:t>22</w:t>
            </w:r>
            <w:r w:rsidRPr="00336337">
              <w:rPr>
                <w:rFonts w:ascii="STKaiti" w:eastAsia="STKaiti" w:hAnsi="STKaiti" w:cs="Calibri" w:hint="eastAsia"/>
                <w:sz w:val="22"/>
                <w:szCs w:val="22"/>
                <w:lang w:eastAsia="zh-CN"/>
              </w:rPr>
              <w:t>次会议的报告</w:t>
            </w:r>
            <w:hyperlink r:id="rId13" w:history="1">
              <w:r w:rsidRPr="00C81272">
                <w:rPr>
                  <w:rStyle w:val="Hyperlink"/>
                  <w:rFonts w:eastAsia="SimSun"/>
                  <w:lang w:eastAsia="zh-CN"/>
                </w:rPr>
                <w:t>CWG-FHR-22/36</w:t>
              </w:r>
            </w:hyperlink>
            <w:r>
              <w:rPr>
                <w:rFonts w:ascii="STKaiti" w:eastAsia="STKaiti" w:hAnsi="STKaiti" w:cs="Calibri" w:hint="eastAsia"/>
                <w:sz w:val="22"/>
                <w:szCs w:val="22"/>
                <w:lang w:eastAsia="zh-CN"/>
              </w:rPr>
              <w:t>号文件</w:t>
            </w:r>
            <w:r w:rsidRPr="00AE101F">
              <w:rPr>
                <w:rFonts w:ascii="STKaiti" w:eastAsia="STKaiti" w:hAnsi="STKaiti" w:cs="Calibri" w:hint="eastAsia"/>
                <w:sz w:val="22"/>
                <w:szCs w:val="22"/>
                <w:lang w:eastAsia="zh-CN"/>
              </w:rPr>
              <w:t>）</w:t>
            </w:r>
          </w:p>
        </w:tc>
      </w:tr>
      <w:bookmarkEnd w:id="2"/>
      <w:bookmarkEnd w:id="6"/>
    </w:tbl>
    <w:p w14:paraId="18BCA72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865D86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F610D6C" w14:textId="77777777" w:rsidR="00635B53" w:rsidRPr="002D2A48" w:rsidRDefault="00635B53" w:rsidP="00635B53">
      <w:pPr>
        <w:pStyle w:val="Heading1"/>
        <w:rPr>
          <w:rFonts w:eastAsia="Times New Roman"/>
          <w:lang w:eastAsia="zh-CN"/>
        </w:rPr>
      </w:pPr>
      <w:r>
        <w:rPr>
          <w:lang w:val="zh-CN" w:eastAsia="zh-CN"/>
        </w:rPr>
        <w:lastRenderedPageBreak/>
        <w:t>1</w:t>
      </w:r>
      <w:r>
        <w:rPr>
          <w:lang w:val="zh-CN" w:eastAsia="zh-CN"/>
        </w:rPr>
        <w:tab/>
      </w:r>
      <w:r>
        <w:rPr>
          <w:rFonts w:hint="eastAsia"/>
          <w:lang w:val="zh-CN" w:eastAsia="zh-CN"/>
        </w:rPr>
        <w:t>引言</w:t>
      </w:r>
    </w:p>
    <w:p w14:paraId="494CEC1C" w14:textId="77777777" w:rsidR="00635B53" w:rsidRPr="0022325D" w:rsidRDefault="00635B53" w:rsidP="00635B53">
      <w:pPr>
        <w:ind w:firstLineChars="200" w:firstLine="480"/>
        <w:rPr>
          <w:lang w:eastAsia="zh-CN"/>
        </w:rPr>
      </w:pPr>
      <w:r>
        <w:rPr>
          <w:lang w:val="zh-CN" w:eastAsia="zh-CN"/>
        </w:rPr>
        <w:t>在</w:t>
      </w:r>
      <w:hyperlink r:id="rId14" w:tgtFrame="/private/var/folders/w1/r6xq73091_gfxzys7smktfw40000gn/T/com.kingsoft.wpsoffice.mac.global/wps-macos/x/_blank" w:history="1">
        <w:r w:rsidRPr="00B374AE">
          <w:rPr>
            <w:rStyle w:val="Hyperlink"/>
            <w:rFonts w:eastAsia="SimSun"/>
            <w:lang w:eastAsia="zh-CN"/>
          </w:rPr>
          <w:t>CWG-FHR-22/25</w:t>
        </w:r>
      </w:hyperlink>
      <w:r>
        <w:rPr>
          <w:lang w:val="zh-CN" w:eastAsia="zh-CN"/>
        </w:rPr>
        <w:t>号文件中，俄罗斯联邦呼吁全面评估和审议国际电联的工作计划，以确定这些计划是否符合国际电联的宗旨，从而为核心活动提供充足的资金。</w:t>
      </w:r>
      <w:hyperlink r:id="rId15" w:history="1"/>
      <w:hyperlink r:id="rId16" w:tgtFrame="/private/var/folders/w1/r6xq73091_gfxzys7smktfw40000gn/T/com.kingsoft.wpsoffice.mac.global/wps-macos/x/_blank" w:history="1"/>
    </w:p>
    <w:p w14:paraId="270ABC06" w14:textId="77777777" w:rsidR="00635B53" w:rsidRPr="0022325D" w:rsidRDefault="00635B53" w:rsidP="00635B53">
      <w:pPr>
        <w:ind w:firstLineChars="200" w:firstLine="480"/>
        <w:rPr>
          <w:lang w:eastAsia="zh-CN"/>
        </w:rPr>
      </w:pPr>
      <w:r>
        <w:rPr>
          <w:lang w:val="zh-CN" w:eastAsia="zh-CN"/>
        </w:rPr>
        <w:t>理事会财务和人力资源工作组（</w:t>
      </w:r>
      <w:r>
        <w:rPr>
          <w:lang w:val="zh-CN" w:eastAsia="zh-CN"/>
        </w:rPr>
        <w:t>CWG-FHR</w:t>
      </w:r>
      <w:r>
        <w:rPr>
          <w:lang w:val="zh-CN" w:eastAsia="zh-CN"/>
        </w:rPr>
        <w:t>）第</w:t>
      </w:r>
      <w:r>
        <w:rPr>
          <w:lang w:val="zh-CN" w:eastAsia="zh-CN"/>
        </w:rPr>
        <w:t>22</w:t>
      </w:r>
      <w:r>
        <w:rPr>
          <w:lang w:val="zh-CN" w:eastAsia="zh-CN"/>
        </w:rPr>
        <w:t>次会议主席报告中所反映的意见概述如下。</w:t>
      </w:r>
    </w:p>
    <w:p w14:paraId="61DC0174" w14:textId="77777777" w:rsidR="00635B53" w:rsidRPr="0022325D" w:rsidRDefault="00635B53" w:rsidP="00635B53">
      <w:pPr>
        <w:ind w:firstLineChars="200" w:firstLine="480"/>
        <w:rPr>
          <w:lang w:eastAsia="zh-CN"/>
        </w:rPr>
      </w:pPr>
      <w:r>
        <w:rPr>
          <w:lang w:val="zh-CN" w:eastAsia="zh-CN"/>
        </w:rPr>
        <w:t>几位代表一致认为，有必要进一步澄清国际电联的核心宗旨，以便根据国际电联《组织法》和《公约》确定各项活动的轻重缓急。他们支持进一步研究为全权代表大会通过的决议引入有效期，前提是有明确区分</w:t>
      </w:r>
      <w:r>
        <w:rPr>
          <w:rFonts w:hint="eastAsia"/>
          <w:lang w:val="zh-CN" w:eastAsia="zh-CN"/>
        </w:rPr>
        <w:t>“</w:t>
      </w:r>
      <w:r>
        <w:rPr>
          <w:lang w:val="zh-CN" w:eastAsia="zh-CN"/>
        </w:rPr>
        <w:t>核心</w:t>
      </w:r>
      <w:r>
        <w:rPr>
          <w:rFonts w:hint="eastAsia"/>
          <w:lang w:val="zh-CN" w:eastAsia="zh-CN"/>
        </w:rPr>
        <w:t>”</w:t>
      </w:r>
      <w:r>
        <w:rPr>
          <w:lang w:val="zh-CN" w:eastAsia="zh-CN"/>
        </w:rPr>
        <w:t>和</w:t>
      </w:r>
      <w:r>
        <w:rPr>
          <w:rFonts w:hint="eastAsia"/>
          <w:lang w:val="zh-CN" w:eastAsia="zh-CN"/>
        </w:rPr>
        <w:t>“</w:t>
      </w:r>
      <w:r>
        <w:rPr>
          <w:lang w:val="zh-CN" w:eastAsia="zh-CN"/>
        </w:rPr>
        <w:t>非核心</w:t>
      </w:r>
      <w:r>
        <w:rPr>
          <w:rFonts w:hint="eastAsia"/>
          <w:lang w:val="zh-CN" w:eastAsia="zh-CN"/>
        </w:rPr>
        <w:t>”</w:t>
      </w:r>
      <w:r>
        <w:rPr>
          <w:lang w:val="zh-CN" w:eastAsia="zh-CN"/>
        </w:rPr>
        <w:t>活动的标准。代表们要求得到有关四年期审查机制的进一步信息。</w:t>
      </w:r>
    </w:p>
    <w:p w14:paraId="50309FB9" w14:textId="77777777" w:rsidR="00635B53" w:rsidRPr="0022325D" w:rsidRDefault="00635B53" w:rsidP="00635B53">
      <w:pPr>
        <w:ind w:firstLineChars="200" w:firstLine="480"/>
        <w:rPr>
          <w:lang w:eastAsia="zh-CN"/>
        </w:rPr>
      </w:pPr>
      <w:r>
        <w:rPr>
          <w:lang w:val="zh-CN" w:eastAsia="zh-CN"/>
        </w:rPr>
        <w:t>其他代表强调了国际电联在气候变化、性别平等、人工智能伦理、远程医疗和远程教育等领域的贡献，并指出了在联合国系统内开展协作的好处。</w:t>
      </w:r>
    </w:p>
    <w:p w14:paraId="746C5B37" w14:textId="0D290381" w:rsidR="00635B53" w:rsidRPr="0022325D" w:rsidRDefault="00635B53" w:rsidP="00635B53">
      <w:pPr>
        <w:ind w:firstLineChars="200" w:firstLine="480"/>
        <w:rPr>
          <w:rFonts w:asciiTheme="minorHAnsi" w:hAnsiTheme="minorHAnsi" w:cstheme="minorHAnsi"/>
          <w:lang w:eastAsia="zh-CN"/>
        </w:rPr>
      </w:pPr>
      <w:r>
        <w:rPr>
          <w:lang w:val="zh-CN" w:eastAsia="zh-CN"/>
        </w:rPr>
        <w:t>俄罗斯联邦认识到，在确定国际电联的新目标时，有必要考虑到包括数字化在内的电信</w:t>
      </w:r>
      <w:r>
        <w:rPr>
          <w:lang w:val="zh-CN" w:eastAsia="zh-CN"/>
        </w:rPr>
        <w:t>/</w:t>
      </w:r>
      <w:r>
        <w:rPr>
          <w:lang w:val="zh-CN" w:eastAsia="zh-CN"/>
        </w:rPr>
        <w:t>信息通信技术（</w:t>
      </w:r>
      <w:r>
        <w:rPr>
          <w:lang w:val="zh-CN" w:eastAsia="zh-CN"/>
        </w:rPr>
        <w:t>ICT</w:t>
      </w:r>
      <w:r>
        <w:rPr>
          <w:lang w:val="zh-CN" w:eastAsia="zh-CN"/>
        </w:rPr>
        <w:t>）的不断变化。然而，令人担忧的是，</w:t>
      </w:r>
      <w:r>
        <w:rPr>
          <w:rFonts w:hint="eastAsia"/>
          <w:lang w:val="zh-CN" w:eastAsia="zh-CN"/>
        </w:rPr>
        <w:t>核心</w:t>
      </w:r>
      <w:r>
        <w:rPr>
          <w:lang w:val="zh-CN" w:eastAsia="zh-CN"/>
        </w:rPr>
        <w:t>使命逐渐</w:t>
      </w:r>
      <w:r>
        <w:rPr>
          <w:rFonts w:hint="eastAsia"/>
          <w:lang w:val="zh-CN" w:eastAsia="zh-CN"/>
        </w:rPr>
        <w:t>被</w:t>
      </w:r>
      <w:r>
        <w:rPr>
          <w:lang w:val="zh-CN" w:eastAsia="zh-CN"/>
        </w:rPr>
        <w:t>外围主题渗透导致资源短缺，而频谱协调和标准制定等核心职能却需要持续不断的支持，以应对累积的挑战</w:t>
      </w:r>
      <w:r w:rsidR="00D56759">
        <w:rPr>
          <w:rStyle w:val="FootnoteReference"/>
          <w:lang w:val="zh-CN" w:eastAsia="zh-CN"/>
        </w:rPr>
        <w:footnoteReference w:customMarkFollows="1" w:id="1"/>
        <w:t>1</w:t>
      </w:r>
      <w:r>
        <w:rPr>
          <w:lang w:val="zh-CN" w:eastAsia="zh-CN"/>
        </w:rPr>
        <w:t>。</w:t>
      </w:r>
    </w:p>
    <w:p w14:paraId="7BF4331B" w14:textId="77777777" w:rsidR="00635B53" w:rsidRPr="00336337" w:rsidRDefault="00635B53" w:rsidP="00635B53">
      <w:pPr>
        <w:pStyle w:val="Heading1"/>
        <w:rPr>
          <w:lang w:val="zh-CN" w:eastAsia="zh-CN"/>
        </w:rPr>
      </w:pPr>
      <w:r>
        <w:rPr>
          <w:lang w:val="zh-CN" w:eastAsia="zh-CN"/>
        </w:rPr>
        <w:t>2</w:t>
      </w:r>
      <w:r>
        <w:rPr>
          <w:lang w:val="zh-CN" w:eastAsia="zh-CN"/>
        </w:rPr>
        <w:tab/>
      </w:r>
      <w:r>
        <w:rPr>
          <w:lang w:val="zh-CN" w:eastAsia="zh-CN"/>
        </w:rPr>
        <w:t>未能根据实际需求分配资源的原因</w:t>
      </w:r>
    </w:p>
    <w:p w14:paraId="625982D3" w14:textId="77777777" w:rsidR="00635B53" w:rsidRPr="0022325D" w:rsidRDefault="00635B53" w:rsidP="00635B53">
      <w:pPr>
        <w:ind w:firstLineChars="200" w:firstLine="480"/>
        <w:rPr>
          <w:lang w:eastAsia="zh-CN"/>
        </w:rPr>
      </w:pPr>
      <w:r>
        <w:rPr>
          <w:lang w:val="zh-CN" w:eastAsia="zh-CN"/>
        </w:rPr>
        <w:t>全权代表大会和国际电联各部门大会</w:t>
      </w:r>
      <w:r>
        <w:rPr>
          <w:lang w:val="zh-CN" w:eastAsia="zh-CN"/>
        </w:rPr>
        <w:t>/</w:t>
      </w:r>
      <w:r>
        <w:rPr>
          <w:lang w:val="zh-CN" w:eastAsia="zh-CN"/>
        </w:rPr>
        <w:t>全会通过的新决议为国际电联</w:t>
      </w:r>
      <w:r>
        <w:rPr>
          <w:rFonts w:hint="eastAsia"/>
          <w:lang w:val="zh-CN" w:eastAsia="zh-CN"/>
        </w:rPr>
        <w:t>分配</w:t>
      </w:r>
      <w:r>
        <w:rPr>
          <w:lang w:val="zh-CN" w:eastAsia="zh-CN"/>
        </w:rPr>
        <w:t>了与《组织法》规定的宗旨并非直接相关的附加目标。这些决议通常涉及以信息通信技术作为工具的领域，但一般性政策问题属于联合国其他机构的职权范围。默认情况下，所有决议都具有同等地位。</w:t>
      </w:r>
    </w:p>
    <w:p w14:paraId="1EFCC7C6" w14:textId="77777777" w:rsidR="00635B53" w:rsidRPr="0022325D" w:rsidRDefault="00635B53" w:rsidP="005B4AB2">
      <w:pPr>
        <w:ind w:firstLineChars="200" w:firstLine="480"/>
        <w:rPr>
          <w:lang w:eastAsia="zh-CN"/>
        </w:rPr>
      </w:pPr>
      <w:r>
        <w:rPr>
          <w:lang w:val="zh-CN" w:eastAsia="zh-CN"/>
        </w:rPr>
        <w:t>俄罗斯联邦申明，《组织法》第</w:t>
      </w:r>
      <w:r>
        <w:rPr>
          <w:lang w:val="zh-CN" w:eastAsia="zh-CN"/>
        </w:rPr>
        <w:t>1</w:t>
      </w:r>
      <w:r>
        <w:rPr>
          <w:lang w:val="zh-CN" w:eastAsia="zh-CN"/>
        </w:rPr>
        <w:t>条规定的国际电联的独特作用应侧重于：</w:t>
      </w:r>
    </w:p>
    <w:p w14:paraId="6288B8B7"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无线电频谱的划分、无线电频率的分配和无线电频率指配的登记，以及空间业务中对地静止卫星的相关轨道位置或其他轨道中卫星的相关特性的登记；</w:t>
      </w:r>
    </w:p>
    <w:p w14:paraId="322330C1"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全球范围内电信</w:t>
      </w:r>
      <w:r w:rsidRPr="00635B53">
        <w:rPr>
          <w:lang w:eastAsia="zh-CN"/>
        </w:rPr>
        <w:t>/ICT</w:t>
      </w:r>
      <w:r w:rsidRPr="00635B53">
        <w:rPr>
          <w:lang w:eastAsia="zh-CN"/>
        </w:rPr>
        <w:t>的标准化；</w:t>
      </w:r>
    </w:p>
    <w:p w14:paraId="0B1221A6"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编号、命名、寻址和识别（</w:t>
      </w:r>
      <w:r w:rsidRPr="00635B53">
        <w:rPr>
          <w:lang w:eastAsia="zh-CN"/>
        </w:rPr>
        <w:t>NNAI</w:t>
      </w:r>
      <w:r w:rsidRPr="00635B53">
        <w:rPr>
          <w:lang w:eastAsia="zh-CN"/>
        </w:rPr>
        <w:t>）资源的分配；</w:t>
      </w:r>
    </w:p>
    <w:p w14:paraId="51A1A65C"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对发展中国家的技术援助；</w:t>
      </w:r>
    </w:p>
    <w:p w14:paraId="4177F515"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为</w:t>
      </w:r>
      <w:r w:rsidRPr="00635B53">
        <w:rPr>
          <w:lang w:eastAsia="zh-CN"/>
        </w:rPr>
        <w:t>ICT</w:t>
      </w:r>
      <w:r w:rsidRPr="00635B53">
        <w:rPr>
          <w:lang w:eastAsia="zh-CN"/>
        </w:rPr>
        <w:t>发展创造有利的监管环境；</w:t>
      </w:r>
    </w:p>
    <w:p w14:paraId="3202026B"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宣传将新技术的好处惠及全人类；和</w:t>
      </w:r>
    </w:p>
    <w:p w14:paraId="122389E8" w14:textId="77777777" w:rsidR="00635B53" w:rsidRPr="00635B53" w:rsidRDefault="00635B53" w:rsidP="00635B53">
      <w:pPr>
        <w:pStyle w:val="enumlev1"/>
        <w:rPr>
          <w:lang w:eastAsia="zh-CN"/>
        </w:rPr>
      </w:pPr>
      <w:r w:rsidRPr="00635B53">
        <w:rPr>
          <w:lang w:eastAsia="zh-CN"/>
        </w:rPr>
        <w:t>–</w:t>
      </w:r>
      <w:r w:rsidRPr="00635B53">
        <w:rPr>
          <w:lang w:eastAsia="zh-CN"/>
        </w:rPr>
        <w:tab/>
      </w:r>
      <w:r w:rsidRPr="00635B53">
        <w:rPr>
          <w:lang w:eastAsia="zh-CN"/>
        </w:rPr>
        <w:t>成员国之间的协调。</w:t>
      </w:r>
    </w:p>
    <w:p w14:paraId="786E443F" w14:textId="77777777" w:rsidR="00635B53" w:rsidRPr="0022325D" w:rsidRDefault="00635B53" w:rsidP="00635B53">
      <w:pPr>
        <w:ind w:firstLineChars="200" w:firstLine="480"/>
        <w:rPr>
          <w:lang w:eastAsia="zh-CN"/>
        </w:rPr>
      </w:pPr>
      <w:r>
        <w:rPr>
          <w:lang w:val="zh-CN" w:eastAsia="zh-CN"/>
        </w:rPr>
        <w:t>国际电联的宗旨由具有约束力的国际条约</w:t>
      </w:r>
      <w:r>
        <w:rPr>
          <w:rFonts w:hint="eastAsia"/>
          <w:lang w:val="zh-CN" w:eastAsia="zh-CN"/>
        </w:rPr>
        <w:t>国际电联</w:t>
      </w:r>
      <w:r>
        <w:rPr>
          <w:lang w:val="zh-CN" w:eastAsia="zh-CN"/>
        </w:rPr>
        <w:t>《行政规则》（《无线电规则》和《国际电信规则》）确定。</w:t>
      </w:r>
    </w:p>
    <w:p w14:paraId="393D2337" w14:textId="77777777" w:rsidR="00635B53" w:rsidRPr="0022325D" w:rsidRDefault="00635B53" w:rsidP="00635B53">
      <w:pPr>
        <w:pStyle w:val="Heading1"/>
        <w:rPr>
          <w:lang w:eastAsia="zh-CN"/>
        </w:rPr>
      </w:pPr>
      <w:r>
        <w:rPr>
          <w:bCs/>
          <w:lang w:val="zh-CN" w:eastAsia="zh-CN"/>
        </w:rPr>
        <w:lastRenderedPageBreak/>
        <w:t>3</w:t>
      </w:r>
      <w:r>
        <w:rPr>
          <w:bCs/>
          <w:lang w:val="zh-CN" w:eastAsia="zh-CN"/>
        </w:rPr>
        <w:tab/>
      </w:r>
      <w:r>
        <w:rPr>
          <w:bCs/>
          <w:lang w:val="zh-CN" w:eastAsia="zh-CN"/>
        </w:rPr>
        <w:t>建议的实施机制</w:t>
      </w:r>
    </w:p>
    <w:p w14:paraId="797CD868" w14:textId="4759FAC3" w:rsidR="00635B53" w:rsidRPr="0022325D" w:rsidRDefault="00635B53" w:rsidP="00635B53">
      <w:pPr>
        <w:rPr>
          <w:lang w:eastAsia="zh-CN"/>
        </w:rPr>
      </w:pPr>
      <w:r w:rsidRPr="00E657C2">
        <w:rPr>
          <w:b/>
          <w:bCs/>
          <w:lang w:val="zh-CN" w:eastAsia="zh-CN"/>
        </w:rPr>
        <w:t>第</w:t>
      </w:r>
      <w:r w:rsidRPr="00E657C2">
        <w:rPr>
          <w:b/>
          <w:bCs/>
          <w:lang w:val="zh-CN" w:eastAsia="zh-CN"/>
        </w:rPr>
        <w:t>1</w:t>
      </w:r>
      <w:r w:rsidRPr="00E657C2">
        <w:rPr>
          <w:b/>
          <w:bCs/>
          <w:lang w:val="zh-CN" w:eastAsia="zh-CN"/>
        </w:rPr>
        <w:t>阶段</w:t>
      </w:r>
      <w:r>
        <w:rPr>
          <w:lang w:val="zh-CN" w:eastAsia="zh-CN"/>
        </w:rPr>
        <w:t>：试点审查（</w:t>
      </w:r>
      <w:r>
        <w:rPr>
          <w:rFonts w:hint="eastAsia"/>
          <w:lang w:val="zh-CN" w:eastAsia="zh-CN"/>
        </w:rPr>
        <w:t>第</w:t>
      </w:r>
      <w:r>
        <w:rPr>
          <w:lang w:val="zh-CN" w:eastAsia="zh-CN"/>
        </w:rPr>
        <w:t>0-6</w:t>
      </w:r>
      <w:r>
        <w:rPr>
          <w:lang w:val="zh-CN" w:eastAsia="zh-CN"/>
        </w:rPr>
        <w:t>个月）</w:t>
      </w:r>
    </w:p>
    <w:p w14:paraId="45870F68" w14:textId="77777777" w:rsidR="00635B53" w:rsidRPr="0022325D" w:rsidRDefault="00635B53" w:rsidP="00635B53">
      <w:pPr>
        <w:ind w:firstLineChars="200" w:firstLine="480"/>
        <w:rPr>
          <w:lang w:eastAsia="zh-CN"/>
        </w:rPr>
      </w:pPr>
      <w:r>
        <w:rPr>
          <w:lang w:val="zh-CN" w:eastAsia="zh-CN"/>
        </w:rPr>
        <w:t>建议</w:t>
      </w:r>
      <w:r>
        <w:rPr>
          <w:lang w:val="zh-CN" w:eastAsia="zh-CN"/>
        </w:rPr>
        <w:t>2026</w:t>
      </w:r>
      <w:r>
        <w:rPr>
          <w:lang w:val="zh-CN" w:eastAsia="zh-CN"/>
        </w:rPr>
        <w:t>年全权代表大会成立一个临时高级别专家工作组，以确定应如何根据国际电联的宗旨分配资源，其组成如下：</w:t>
      </w:r>
    </w:p>
    <w:p w14:paraId="6966EBE9"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来自</w:t>
      </w:r>
      <w:r>
        <w:rPr>
          <w:lang w:val="zh-CN" w:eastAsia="zh-CN"/>
        </w:rPr>
        <w:t>12</w:t>
      </w:r>
      <w:r>
        <w:rPr>
          <w:lang w:val="zh-CN" w:eastAsia="zh-CN"/>
        </w:rPr>
        <w:t>个成员国的代表（地域分布相等）</w:t>
      </w:r>
      <w:r>
        <w:rPr>
          <w:rFonts w:hint="eastAsia"/>
          <w:lang w:val="zh-CN" w:eastAsia="zh-CN"/>
        </w:rPr>
        <w:t>；</w:t>
      </w:r>
    </w:p>
    <w:p w14:paraId="2C752F66"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三个部门成员的代表（私营公司，每个部门一名）</w:t>
      </w:r>
      <w:r>
        <w:rPr>
          <w:rFonts w:hint="eastAsia"/>
          <w:lang w:val="zh-CN" w:eastAsia="zh-CN"/>
        </w:rPr>
        <w:t>；</w:t>
      </w:r>
    </w:p>
    <w:p w14:paraId="26A82928"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联合国系统联合检查组（</w:t>
      </w:r>
      <w:r>
        <w:rPr>
          <w:lang w:val="zh-CN" w:eastAsia="zh-CN"/>
        </w:rPr>
        <w:t>JIU</w:t>
      </w:r>
      <w:r>
        <w:rPr>
          <w:lang w:val="zh-CN" w:eastAsia="zh-CN"/>
        </w:rPr>
        <w:t>）的一名代表</w:t>
      </w:r>
      <w:r>
        <w:rPr>
          <w:rFonts w:hint="eastAsia"/>
          <w:lang w:val="zh-CN" w:eastAsia="zh-CN"/>
        </w:rPr>
        <w:t>；</w:t>
      </w:r>
    </w:p>
    <w:p w14:paraId="1C3FB9DA"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国际电联总秘书处的一名执行秘书。</w:t>
      </w:r>
    </w:p>
    <w:p w14:paraId="53C99D43" w14:textId="77777777" w:rsidR="00635B53" w:rsidRPr="0022325D" w:rsidRDefault="00635B53" w:rsidP="00635B53">
      <w:pPr>
        <w:ind w:firstLineChars="200" w:firstLine="480"/>
        <w:rPr>
          <w:lang w:eastAsia="zh-CN"/>
        </w:rPr>
      </w:pPr>
      <w:r>
        <w:rPr>
          <w:lang w:val="zh-CN" w:eastAsia="zh-CN"/>
        </w:rPr>
        <w:t>指导小组（高级专家组）的职责范围包括：</w:t>
      </w:r>
    </w:p>
    <w:p w14:paraId="78A2EE99"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根据附件</w:t>
      </w:r>
      <w:r>
        <w:rPr>
          <w:lang w:val="zh-CN" w:eastAsia="zh-CN"/>
        </w:rPr>
        <w:t>1</w:t>
      </w:r>
      <w:r>
        <w:rPr>
          <w:lang w:val="zh-CN" w:eastAsia="zh-CN"/>
        </w:rPr>
        <w:t>制定标准化的评估方法；</w:t>
      </w:r>
    </w:p>
    <w:p w14:paraId="1DA86CEE"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为试点审查选择三至五个具有代表性的国际电联目标；</w:t>
      </w:r>
    </w:p>
    <w:p w14:paraId="616797FD"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向理事会</w:t>
      </w:r>
      <w:r>
        <w:rPr>
          <w:lang w:val="zh-CN" w:eastAsia="zh-CN"/>
        </w:rPr>
        <w:t>2027</w:t>
      </w:r>
      <w:r>
        <w:rPr>
          <w:lang w:val="zh-CN" w:eastAsia="zh-CN"/>
        </w:rPr>
        <w:t>年会议（</w:t>
      </w:r>
      <w:r w:rsidRPr="0022325D">
        <w:rPr>
          <w:lang w:eastAsia="zh-CN"/>
        </w:rPr>
        <w:t>Council-27</w:t>
      </w:r>
      <w:r>
        <w:rPr>
          <w:lang w:val="zh-CN" w:eastAsia="zh-CN"/>
        </w:rPr>
        <w:t>）提交一份关于方法建议的报告。</w:t>
      </w:r>
    </w:p>
    <w:p w14:paraId="5E3EA138" w14:textId="46AD7503" w:rsidR="00635B53" w:rsidRPr="0022325D" w:rsidRDefault="00635B53" w:rsidP="00635B53">
      <w:pPr>
        <w:rPr>
          <w:lang w:eastAsia="zh-CN"/>
        </w:rPr>
      </w:pPr>
      <w:r w:rsidRPr="004D24BE">
        <w:rPr>
          <w:b/>
          <w:bCs/>
          <w:lang w:val="zh-CN" w:eastAsia="zh-CN"/>
        </w:rPr>
        <w:t>第</w:t>
      </w:r>
      <w:r w:rsidRPr="004D24BE">
        <w:rPr>
          <w:b/>
          <w:bCs/>
          <w:lang w:val="zh-CN" w:eastAsia="zh-CN"/>
        </w:rPr>
        <w:t>2</w:t>
      </w:r>
      <w:r w:rsidRPr="004D24BE">
        <w:rPr>
          <w:b/>
          <w:bCs/>
          <w:lang w:val="zh-CN" w:eastAsia="zh-CN"/>
        </w:rPr>
        <w:t>阶段</w:t>
      </w:r>
      <w:r>
        <w:rPr>
          <w:lang w:val="zh-CN" w:eastAsia="zh-CN"/>
        </w:rPr>
        <w:t>：独立审查（第</w:t>
      </w:r>
      <w:r>
        <w:rPr>
          <w:lang w:val="zh-CN" w:eastAsia="zh-CN"/>
        </w:rPr>
        <w:t>7-18</w:t>
      </w:r>
      <w:r>
        <w:rPr>
          <w:lang w:val="zh-CN" w:eastAsia="zh-CN"/>
        </w:rPr>
        <w:t>个月）</w:t>
      </w:r>
    </w:p>
    <w:p w14:paraId="23BBD928" w14:textId="77777777" w:rsidR="00635B53" w:rsidRPr="0022325D" w:rsidRDefault="00635B53" w:rsidP="00635B53">
      <w:pPr>
        <w:ind w:firstLineChars="200" w:firstLine="480"/>
        <w:rPr>
          <w:lang w:eastAsia="zh-CN"/>
        </w:rPr>
      </w:pPr>
      <w:r>
        <w:rPr>
          <w:lang w:val="zh-CN" w:eastAsia="zh-CN"/>
        </w:rPr>
        <w:t>理事会</w:t>
      </w:r>
      <w:r>
        <w:rPr>
          <w:lang w:val="zh-CN" w:eastAsia="zh-CN"/>
        </w:rPr>
        <w:t>2027</w:t>
      </w:r>
      <w:r>
        <w:rPr>
          <w:lang w:val="zh-CN" w:eastAsia="zh-CN"/>
        </w:rPr>
        <w:t>年会议须授权对外包给外部实体（如联检组或专业顾问）的所有国际电联活动进行全面、独立的审查。</w:t>
      </w:r>
    </w:p>
    <w:p w14:paraId="78869803" w14:textId="77777777" w:rsidR="00635B53" w:rsidRPr="0022325D" w:rsidRDefault="00635B53" w:rsidP="00635B53">
      <w:pPr>
        <w:ind w:firstLineChars="200" w:firstLine="480"/>
        <w:rPr>
          <w:lang w:eastAsia="zh-CN"/>
        </w:rPr>
      </w:pPr>
      <w:r>
        <w:rPr>
          <w:lang w:val="zh-CN" w:eastAsia="zh-CN"/>
        </w:rPr>
        <w:t>审查</w:t>
      </w:r>
      <w:r>
        <w:rPr>
          <w:rFonts w:hint="eastAsia"/>
          <w:lang w:val="zh-CN" w:eastAsia="zh-CN"/>
        </w:rPr>
        <w:t>须</w:t>
      </w:r>
      <w:r>
        <w:rPr>
          <w:lang w:val="zh-CN" w:eastAsia="zh-CN"/>
        </w:rPr>
        <w:t>采用分层分类系统（</w:t>
      </w:r>
      <w:r>
        <w:rPr>
          <w:lang w:val="zh-CN" w:eastAsia="zh-CN"/>
        </w:rPr>
        <w:t>1</w:t>
      </w:r>
      <w:r>
        <w:rPr>
          <w:lang w:val="zh-CN" w:eastAsia="zh-CN"/>
        </w:rPr>
        <w:t>至</w:t>
      </w:r>
      <w:r>
        <w:rPr>
          <w:lang w:val="zh-CN" w:eastAsia="zh-CN"/>
        </w:rPr>
        <w:t>4</w:t>
      </w:r>
      <w:r>
        <w:rPr>
          <w:lang w:val="zh-CN" w:eastAsia="zh-CN"/>
        </w:rPr>
        <w:t>级），并根据附件</w:t>
      </w:r>
      <w:r>
        <w:rPr>
          <w:lang w:val="zh-CN" w:eastAsia="zh-CN"/>
        </w:rPr>
        <w:t>1</w:t>
      </w:r>
      <w:r>
        <w:rPr>
          <w:lang w:val="zh-CN" w:eastAsia="zh-CN"/>
        </w:rPr>
        <w:t>规定的标准评价所有活动。</w:t>
      </w:r>
    </w:p>
    <w:p w14:paraId="5E82AC0A" w14:textId="77777777" w:rsidR="00635B53" w:rsidRPr="0022325D" w:rsidRDefault="00635B53" w:rsidP="00635B53">
      <w:pPr>
        <w:ind w:firstLineChars="200" w:firstLine="480"/>
        <w:rPr>
          <w:lang w:eastAsia="zh-CN"/>
        </w:rPr>
      </w:pPr>
      <w:r>
        <w:rPr>
          <w:lang w:val="zh-CN" w:eastAsia="zh-CN"/>
        </w:rPr>
        <w:t>交付</w:t>
      </w:r>
      <w:r>
        <w:rPr>
          <w:rFonts w:hint="eastAsia"/>
          <w:lang w:val="zh-CN" w:eastAsia="zh-CN"/>
        </w:rPr>
        <w:t>成果</w:t>
      </w:r>
      <w:r>
        <w:rPr>
          <w:lang w:val="zh-CN" w:eastAsia="zh-CN"/>
        </w:rPr>
        <w:t>：</w:t>
      </w:r>
    </w:p>
    <w:p w14:paraId="560EECB3"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按照国际电联宗旨监督资源分配的公共信息概览（</w:t>
      </w:r>
      <w:r>
        <w:rPr>
          <w:lang w:val="zh-CN" w:eastAsia="zh-CN"/>
        </w:rPr>
        <w:t>Dashboard</w:t>
      </w:r>
      <w:r>
        <w:rPr>
          <w:lang w:val="zh-CN" w:eastAsia="zh-CN"/>
        </w:rPr>
        <w:t>）（按活动、预算、人员</w:t>
      </w:r>
      <w:r>
        <w:rPr>
          <w:rFonts w:hint="eastAsia"/>
          <w:lang w:val="zh-CN" w:eastAsia="zh-CN"/>
        </w:rPr>
        <w:t>列出</w:t>
      </w:r>
      <w:r>
        <w:rPr>
          <w:lang w:val="zh-CN" w:eastAsia="zh-CN"/>
        </w:rPr>
        <w:t>）；</w:t>
      </w:r>
    </w:p>
    <w:p w14:paraId="159B6C8A"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关于理事会</w:t>
      </w:r>
      <w:r>
        <w:rPr>
          <w:lang w:val="zh-CN" w:eastAsia="zh-CN"/>
        </w:rPr>
        <w:t>2028</w:t>
      </w:r>
      <w:r>
        <w:rPr>
          <w:lang w:val="zh-CN" w:eastAsia="zh-CN"/>
        </w:rPr>
        <w:t>年会议资源重新分配的提案。</w:t>
      </w:r>
    </w:p>
    <w:p w14:paraId="069FB7FD" w14:textId="77777777" w:rsidR="00635B53" w:rsidRPr="0022325D" w:rsidRDefault="00635B53" w:rsidP="00635B53">
      <w:pPr>
        <w:rPr>
          <w:lang w:eastAsia="zh-CN"/>
        </w:rPr>
      </w:pPr>
      <w:r w:rsidRPr="004D24BE">
        <w:rPr>
          <w:b/>
          <w:bCs/>
          <w:lang w:val="zh-CN" w:eastAsia="zh-CN"/>
        </w:rPr>
        <w:t>第</w:t>
      </w:r>
      <w:r w:rsidRPr="004D24BE">
        <w:rPr>
          <w:b/>
          <w:bCs/>
          <w:lang w:val="zh-CN" w:eastAsia="zh-CN"/>
        </w:rPr>
        <w:t>3</w:t>
      </w:r>
      <w:r w:rsidRPr="004D24BE">
        <w:rPr>
          <w:b/>
          <w:bCs/>
          <w:lang w:val="zh-CN" w:eastAsia="zh-CN"/>
        </w:rPr>
        <w:t>阶段</w:t>
      </w:r>
      <w:r>
        <w:rPr>
          <w:lang w:val="zh-CN" w:eastAsia="zh-CN"/>
        </w:rPr>
        <w:t>：在理事会的指导下重新分配资源（第</w:t>
      </w:r>
      <w:r>
        <w:rPr>
          <w:lang w:val="zh-CN" w:eastAsia="zh-CN"/>
        </w:rPr>
        <w:t>19-30</w:t>
      </w:r>
      <w:r>
        <w:rPr>
          <w:lang w:val="zh-CN" w:eastAsia="zh-CN"/>
        </w:rPr>
        <w:t>个月）</w:t>
      </w:r>
    </w:p>
    <w:p w14:paraId="38620DD2" w14:textId="77777777" w:rsidR="00635B53" w:rsidRPr="0022325D" w:rsidRDefault="00635B53" w:rsidP="00635B53">
      <w:pPr>
        <w:ind w:firstLineChars="200" w:firstLine="480"/>
        <w:rPr>
          <w:lang w:eastAsia="zh-CN"/>
        </w:rPr>
      </w:pPr>
      <w:r>
        <w:rPr>
          <w:lang w:val="zh-CN" w:eastAsia="zh-CN"/>
        </w:rPr>
        <w:t>理事会将根据国际电联的宗旨成立一个资源分配常设委员会，该委员会</w:t>
      </w:r>
      <w:r>
        <w:rPr>
          <w:rFonts w:hint="eastAsia"/>
          <w:lang w:val="zh-CN" w:eastAsia="zh-CN"/>
        </w:rPr>
        <w:t>须</w:t>
      </w:r>
      <w:r>
        <w:rPr>
          <w:lang w:val="zh-CN" w:eastAsia="zh-CN"/>
        </w:rPr>
        <w:t>：</w:t>
      </w:r>
    </w:p>
    <w:p w14:paraId="24B911E0"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审查独立报告和信息概览数据；</w:t>
      </w:r>
    </w:p>
    <w:p w14:paraId="6AEF7705"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就下一个双年度的预算重新分配提出建议；</w:t>
      </w:r>
    </w:p>
    <w:p w14:paraId="7FB5E0F1"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向理事会</w:t>
      </w:r>
      <w:r>
        <w:rPr>
          <w:lang w:val="zh-CN" w:eastAsia="zh-CN"/>
        </w:rPr>
        <w:t>2029</w:t>
      </w:r>
      <w:r>
        <w:rPr>
          <w:lang w:val="zh-CN" w:eastAsia="zh-CN"/>
        </w:rPr>
        <w:t>年会议（</w:t>
      </w:r>
      <w:r w:rsidRPr="0022325D">
        <w:rPr>
          <w:lang w:eastAsia="zh-CN"/>
        </w:rPr>
        <w:t>Council-29</w:t>
      </w:r>
      <w:r>
        <w:rPr>
          <w:lang w:val="zh-CN" w:eastAsia="zh-CN"/>
        </w:rPr>
        <w:t>）提交报告，就以下问题提出建议：</w:t>
      </w:r>
    </w:p>
    <w:p w14:paraId="7F836D91" w14:textId="77777777" w:rsidR="00635B53" w:rsidRPr="0022325D" w:rsidRDefault="00635B53" w:rsidP="00635B53">
      <w:pPr>
        <w:pStyle w:val="enumlev2"/>
        <w:rPr>
          <w:lang w:eastAsia="zh-CN"/>
        </w:rPr>
      </w:pPr>
      <w:r w:rsidRPr="0022325D">
        <w:rPr>
          <w:lang w:val="zh-CN" w:eastAsia="zh-CN"/>
        </w:rPr>
        <w:t>•</w:t>
      </w:r>
      <w:r>
        <w:rPr>
          <w:lang w:val="zh-CN" w:eastAsia="zh-CN"/>
        </w:rPr>
        <w:tab/>
      </w:r>
      <w:r>
        <w:rPr>
          <w:lang w:val="zh-CN" w:eastAsia="zh-CN"/>
        </w:rPr>
        <w:t>终止或重组国际电联的非核心活动；</w:t>
      </w:r>
    </w:p>
    <w:p w14:paraId="700F42CB" w14:textId="77777777" w:rsidR="00635B53" w:rsidRPr="0022325D" w:rsidRDefault="00635B53" w:rsidP="00635B53">
      <w:pPr>
        <w:pStyle w:val="enumlev2"/>
        <w:rPr>
          <w:lang w:eastAsia="zh-CN"/>
        </w:rPr>
      </w:pPr>
      <w:r w:rsidRPr="0022325D">
        <w:rPr>
          <w:lang w:val="zh-CN" w:eastAsia="zh-CN"/>
        </w:rPr>
        <w:t>•</w:t>
      </w:r>
      <w:r>
        <w:rPr>
          <w:lang w:val="zh-CN" w:eastAsia="zh-CN"/>
        </w:rPr>
        <w:tab/>
      </w:r>
      <w:r>
        <w:rPr>
          <w:lang w:val="zh-CN" w:eastAsia="zh-CN"/>
        </w:rPr>
        <w:t>保护第</w:t>
      </w:r>
      <w:r>
        <w:rPr>
          <w:lang w:val="zh-CN" w:eastAsia="zh-CN"/>
        </w:rPr>
        <w:t>1</w:t>
      </w:r>
      <w:r>
        <w:rPr>
          <w:lang w:val="zh-CN" w:eastAsia="zh-CN"/>
        </w:rPr>
        <w:t>级活动的预算项目；</w:t>
      </w:r>
    </w:p>
    <w:p w14:paraId="14824DF9" w14:textId="77777777" w:rsidR="00635B53" w:rsidRPr="0022325D" w:rsidRDefault="00635B53" w:rsidP="00635B53">
      <w:pPr>
        <w:pStyle w:val="enumlev2"/>
        <w:rPr>
          <w:lang w:eastAsia="zh-CN"/>
        </w:rPr>
      </w:pPr>
      <w:r w:rsidRPr="0022325D">
        <w:rPr>
          <w:lang w:val="zh-CN" w:eastAsia="zh-CN"/>
        </w:rPr>
        <w:t>•</w:t>
      </w:r>
      <w:r>
        <w:rPr>
          <w:lang w:val="zh-CN" w:eastAsia="zh-CN"/>
        </w:rPr>
        <w:tab/>
      </w:r>
      <w:r>
        <w:rPr>
          <w:lang w:val="zh-CN" w:eastAsia="zh-CN"/>
        </w:rPr>
        <w:t>将</w:t>
      </w:r>
      <w:r>
        <w:rPr>
          <w:lang w:val="zh-CN" w:eastAsia="zh-CN"/>
        </w:rPr>
        <w:t>3</w:t>
      </w:r>
      <w:r>
        <w:rPr>
          <w:lang w:val="zh-CN" w:eastAsia="zh-CN"/>
        </w:rPr>
        <w:t>至</w:t>
      </w:r>
      <w:r>
        <w:rPr>
          <w:lang w:val="zh-CN" w:eastAsia="zh-CN"/>
        </w:rPr>
        <w:t>4</w:t>
      </w:r>
      <w:r>
        <w:rPr>
          <w:lang w:val="zh-CN" w:eastAsia="zh-CN"/>
        </w:rPr>
        <w:t>级活动转为自愿或伙伴关系筹资。</w:t>
      </w:r>
    </w:p>
    <w:p w14:paraId="65F61668" w14:textId="77777777" w:rsidR="00635B53" w:rsidRPr="0022325D" w:rsidRDefault="00635B53" w:rsidP="00635B53">
      <w:pPr>
        <w:pStyle w:val="Headingb"/>
        <w:rPr>
          <w:lang w:eastAsia="zh-CN"/>
        </w:rPr>
      </w:pPr>
      <w:r>
        <w:rPr>
          <w:lang w:val="zh-CN" w:eastAsia="zh-CN"/>
        </w:rPr>
        <w:t>年度审查的制度化</w:t>
      </w:r>
    </w:p>
    <w:p w14:paraId="2CC68287" w14:textId="77777777" w:rsidR="00635B53" w:rsidRPr="0022325D" w:rsidRDefault="00635B53" w:rsidP="00635B53">
      <w:pPr>
        <w:ind w:firstLineChars="200" w:firstLine="480"/>
        <w:rPr>
          <w:lang w:eastAsia="zh-CN"/>
        </w:rPr>
      </w:pPr>
      <w:r>
        <w:rPr>
          <w:lang w:val="zh-CN" w:eastAsia="zh-CN"/>
        </w:rPr>
        <w:t>这项工作在理事会</w:t>
      </w:r>
      <w:r>
        <w:rPr>
          <w:lang w:val="zh-CN" w:eastAsia="zh-CN"/>
        </w:rPr>
        <w:t>2029</w:t>
      </w:r>
      <w:r>
        <w:rPr>
          <w:lang w:val="zh-CN" w:eastAsia="zh-CN"/>
        </w:rPr>
        <w:t>年会议和</w:t>
      </w:r>
      <w:r>
        <w:rPr>
          <w:lang w:val="zh-CN" w:eastAsia="zh-CN"/>
        </w:rPr>
        <w:t>2030</w:t>
      </w:r>
      <w:r>
        <w:rPr>
          <w:lang w:val="zh-CN" w:eastAsia="zh-CN"/>
        </w:rPr>
        <w:t>年全权代表大会之后的持续延续将需要：</w:t>
      </w:r>
    </w:p>
    <w:p w14:paraId="568A3A5A" w14:textId="77777777" w:rsidR="00635B53" w:rsidRPr="0063289C" w:rsidRDefault="00635B53" w:rsidP="00635B53">
      <w:pPr>
        <w:pStyle w:val="enumlev1"/>
        <w:rPr>
          <w:spacing w:val="2"/>
          <w:lang w:eastAsia="zh-CN"/>
        </w:rPr>
      </w:pPr>
      <w:r w:rsidRPr="0063289C">
        <w:rPr>
          <w:spacing w:val="2"/>
          <w:lang w:val="zh-CN" w:eastAsia="zh-CN"/>
        </w:rPr>
        <w:t>–</w:t>
      </w:r>
      <w:r w:rsidRPr="0063289C">
        <w:rPr>
          <w:spacing w:val="2"/>
          <w:lang w:val="zh-CN" w:eastAsia="zh-CN"/>
        </w:rPr>
        <w:tab/>
      </w:r>
      <w:r w:rsidRPr="0063289C">
        <w:rPr>
          <w:spacing w:val="2"/>
          <w:lang w:val="zh-CN" w:eastAsia="zh-CN"/>
        </w:rPr>
        <w:t>根据国际电联的宗旨对资源分配进行年度审议，由秘书处进行并由</w:t>
      </w:r>
      <w:r w:rsidRPr="0063289C">
        <w:rPr>
          <w:spacing w:val="2"/>
          <w:lang w:val="zh-CN" w:eastAsia="zh-CN"/>
        </w:rPr>
        <w:t>CWG-FHR</w:t>
      </w:r>
      <w:r w:rsidRPr="0063289C">
        <w:rPr>
          <w:spacing w:val="2"/>
          <w:lang w:val="zh-CN" w:eastAsia="zh-CN"/>
        </w:rPr>
        <w:t>审议；</w:t>
      </w:r>
    </w:p>
    <w:p w14:paraId="0FED6936" w14:textId="77777777" w:rsidR="00635B53" w:rsidRPr="0063289C" w:rsidRDefault="00635B53" w:rsidP="00635B53">
      <w:pPr>
        <w:pStyle w:val="enumlev1"/>
        <w:rPr>
          <w:lang w:eastAsia="zh-CN"/>
        </w:rPr>
      </w:pPr>
      <w:r w:rsidRPr="0063289C">
        <w:rPr>
          <w:lang w:val="zh-CN" w:eastAsia="zh-CN"/>
        </w:rPr>
        <w:t>–</w:t>
      </w:r>
      <w:r w:rsidRPr="0063289C">
        <w:rPr>
          <w:lang w:val="zh-CN" w:eastAsia="zh-CN"/>
        </w:rPr>
        <w:tab/>
      </w:r>
      <w:r w:rsidRPr="0063289C">
        <w:rPr>
          <w:lang w:val="zh-CN" w:eastAsia="zh-CN"/>
        </w:rPr>
        <w:t>将其纳入计划和预算程序（必须确认与国际电联的宗旨和资源影响评估相一致）；</w:t>
      </w:r>
    </w:p>
    <w:p w14:paraId="21EA0048" w14:textId="77777777" w:rsidR="00635B53" w:rsidRPr="003B40F3" w:rsidRDefault="00635B53" w:rsidP="00635B53">
      <w:pPr>
        <w:pStyle w:val="enumlev1"/>
        <w:rPr>
          <w:spacing w:val="2"/>
          <w:lang w:eastAsia="zh-CN"/>
        </w:rPr>
      </w:pPr>
      <w:r w:rsidRPr="003B40F3">
        <w:rPr>
          <w:spacing w:val="2"/>
          <w:lang w:val="zh-CN" w:eastAsia="zh-CN"/>
        </w:rPr>
        <w:lastRenderedPageBreak/>
        <w:t>–</w:t>
      </w:r>
      <w:r w:rsidRPr="003B40F3">
        <w:rPr>
          <w:spacing w:val="2"/>
          <w:lang w:val="zh-CN" w:eastAsia="zh-CN"/>
        </w:rPr>
        <w:tab/>
      </w:r>
      <w:r w:rsidRPr="003B40F3">
        <w:rPr>
          <w:spacing w:val="2"/>
          <w:lang w:val="zh-CN" w:eastAsia="zh-CN"/>
        </w:rPr>
        <w:t>规定所有新的全权代表大会决议的有效期不得超过四年，只有在进行审查确认符合国际电联宗旨、进行资源影响评估和确认不</w:t>
      </w:r>
      <w:r w:rsidRPr="003B40F3">
        <w:rPr>
          <w:rFonts w:hint="eastAsia"/>
          <w:spacing w:val="2"/>
          <w:lang w:val="zh-CN" w:eastAsia="zh-CN"/>
        </w:rPr>
        <w:t>存在</w:t>
      </w:r>
      <w:r w:rsidRPr="003B40F3">
        <w:rPr>
          <w:spacing w:val="2"/>
          <w:lang w:val="zh-CN" w:eastAsia="zh-CN"/>
        </w:rPr>
        <w:t>重复工作后才能延长有效期。</w:t>
      </w:r>
    </w:p>
    <w:p w14:paraId="29197E75" w14:textId="77777777" w:rsidR="00635B53" w:rsidRPr="0022325D" w:rsidRDefault="00635B53" w:rsidP="00635B53">
      <w:pPr>
        <w:pStyle w:val="Headingb"/>
        <w:rPr>
          <w:lang w:eastAsia="zh-CN"/>
        </w:rPr>
      </w:pPr>
      <w:r>
        <w:rPr>
          <w:bCs/>
          <w:lang w:val="zh-CN" w:eastAsia="zh-CN"/>
        </w:rPr>
        <w:t>透明度和利益攸关方参与</w:t>
      </w:r>
    </w:p>
    <w:p w14:paraId="5215201A"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公众按照国际电联的宗旨获取有关资源分配的汇总数据</w:t>
      </w:r>
      <w:r>
        <w:rPr>
          <w:rFonts w:hint="eastAsia"/>
          <w:lang w:val="zh-CN" w:eastAsia="zh-CN"/>
        </w:rPr>
        <w:t>；</w:t>
      </w:r>
    </w:p>
    <w:p w14:paraId="0F7D57DF"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国际电联职员的匿名反馈机制</w:t>
      </w:r>
      <w:r>
        <w:rPr>
          <w:rFonts w:hint="eastAsia"/>
          <w:lang w:val="zh-CN" w:eastAsia="zh-CN"/>
        </w:rPr>
        <w:t>；</w:t>
      </w:r>
    </w:p>
    <w:p w14:paraId="56A0B1FE"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每年向成员国汇报进展情况。</w:t>
      </w:r>
    </w:p>
    <w:p w14:paraId="6DD94F03" w14:textId="77777777" w:rsidR="00635B53" w:rsidRPr="0022325D" w:rsidRDefault="00635B53" w:rsidP="00635B53">
      <w:pPr>
        <w:pStyle w:val="Headingb"/>
        <w:rPr>
          <w:lang w:eastAsia="zh-CN"/>
        </w:rPr>
      </w:pPr>
      <w:r>
        <w:rPr>
          <w:bCs/>
          <w:lang w:val="zh-CN" w:eastAsia="zh-CN"/>
        </w:rPr>
        <w:t>与预算周期的联系</w:t>
      </w:r>
    </w:p>
    <w:p w14:paraId="44B91BF4" w14:textId="77777777" w:rsidR="00635B53" w:rsidRPr="0022325D" w:rsidRDefault="00635B53" w:rsidP="00E74250">
      <w:pPr>
        <w:ind w:firstLineChars="200" w:firstLine="480"/>
        <w:rPr>
          <w:lang w:eastAsia="zh-CN"/>
        </w:rPr>
      </w:pPr>
      <w:r>
        <w:rPr>
          <w:lang w:val="zh-CN" w:eastAsia="zh-CN"/>
        </w:rPr>
        <w:t>项目和预算建议</w:t>
      </w:r>
      <w:r>
        <w:rPr>
          <w:rFonts w:hint="eastAsia"/>
          <w:lang w:val="zh-CN" w:eastAsia="zh-CN"/>
        </w:rPr>
        <w:t>须</w:t>
      </w:r>
      <w:r>
        <w:rPr>
          <w:lang w:val="zh-CN" w:eastAsia="zh-CN"/>
        </w:rPr>
        <w:t>包括每</w:t>
      </w:r>
      <w:r>
        <w:rPr>
          <w:rFonts w:hint="eastAsia"/>
          <w:lang w:val="zh-CN" w:eastAsia="zh-CN"/>
        </w:rPr>
        <w:t>个</w:t>
      </w:r>
      <w:r>
        <w:rPr>
          <w:lang w:val="zh-CN" w:eastAsia="zh-CN"/>
        </w:rPr>
        <w:t>项目符合国际电联宗旨的得分。可建议为第</w:t>
      </w:r>
      <w:r>
        <w:rPr>
          <w:lang w:val="zh-CN" w:eastAsia="zh-CN"/>
        </w:rPr>
        <w:t>3</w:t>
      </w:r>
      <w:r>
        <w:rPr>
          <w:lang w:val="zh-CN" w:eastAsia="zh-CN"/>
        </w:rPr>
        <w:t>级和第</w:t>
      </w:r>
      <w:r>
        <w:rPr>
          <w:lang w:val="zh-CN" w:eastAsia="zh-CN"/>
        </w:rPr>
        <w:t>4</w:t>
      </w:r>
      <w:r>
        <w:rPr>
          <w:lang w:val="zh-CN" w:eastAsia="zh-CN"/>
        </w:rPr>
        <w:t>级的活动提供自愿资金，除非将其重新划入其它级别。</w:t>
      </w:r>
    </w:p>
    <w:p w14:paraId="0C722ED8" w14:textId="77777777" w:rsidR="00635B53" w:rsidRPr="0022325D" w:rsidRDefault="00635B53" w:rsidP="00635B53">
      <w:pPr>
        <w:pStyle w:val="Headingb"/>
        <w:rPr>
          <w:lang w:eastAsia="zh-CN"/>
        </w:rPr>
      </w:pPr>
      <w:r>
        <w:rPr>
          <w:bCs/>
          <w:lang w:val="zh-CN" w:eastAsia="zh-CN"/>
        </w:rPr>
        <w:t>加强</w:t>
      </w:r>
      <w:r>
        <w:rPr>
          <w:bCs/>
          <w:lang w:val="zh-CN" w:eastAsia="zh-CN"/>
        </w:rPr>
        <w:t>CWG-FHR</w:t>
      </w:r>
      <w:r>
        <w:rPr>
          <w:bCs/>
          <w:lang w:val="zh-CN" w:eastAsia="zh-CN"/>
        </w:rPr>
        <w:t>的作用</w:t>
      </w:r>
    </w:p>
    <w:p w14:paraId="137BC7B9" w14:textId="77777777" w:rsidR="00635B53" w:rsidRPr="00E130FC" w:rsidRDefault="00635B53" w:rsidP="00E74250">
      <w:pPr>
        <w:ind w:firstLineChars="200" w:firstLine="472"/>
        <w:rPr>
          <w:spacing w:val="-2"/>
          <w:lang w:eastAsia="zh-CN"/>
        </w:rPr>
      </w:pPr>
      <w:r w:rsidRPr="00E130FC">
        <w:rPr>
          <w:spacing w:val="-2"/>
          <w:lang w:val="zh-CN" w:eastAsia="zh-CN"/>
        </w:rPr>
        <w:t>CWG-FHR</w:t>
      </w:r>
      <w:r w:rsidRPr="00E130FC">
        <w:rPr>
          <w:spacing w:val="-2"/>
          <w:lang w:val="zh-CN" w:eastAsia="zh-CN"/>
        </w:rPr>
        <w:t>须进行年度审议，以确保资源分配符合国际电联的宗旨。秘书处须报告：</w:t>
      </w:r>
    </w:p>
    <w:p w14:paraId="0EA9C0FA"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为各活动层级分配职员时间和预算；</w:t>
      </w:r>
    </w:p>
    <w:p w14:paraId="215CF636"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终止或重组非核心活动的进展</w:t>
      </w:r>
      <w:r>
        <w:rPr>
          <w:rFonts w:hint="eastAsia"/>
          <w:lang w:val="zh-CN" w:eastAsia="zh-CN"/>
        </w:rPr>
        <w:t>情况</w:t>
      </w:r>
      <w:r>
        <w:rPr>
          <w:lang w:val="zh-CN" w:eastAsia="zh-CN"/>
        </w:rPr>
        <w:t>；</w:t>
      </w:r>
    </w:p>
    <w:p w14:paraId="065E42B9"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新的活动</w:t>
      </w:r>
      <w:r>
        <w:rPr>
          <w:rFonts w:hint="eastAsia"/>
          <w:lang w:val="zh-CN" w:eastAsia="zh-CN"/>
        </w:rPr>
        <w:t>须</w:t>
      </w:r>
      <w:r>
        <w:rPr>
          <w:lang w:val="zh-CN" w:eastAsia="zh-CN"/>
        </w:rPr>
        <w:t>附有符合国际电联宗旨的声明。</w:t>
      </w:r>
    </w:p>
    <w:p w14:paraId="69326329" w14:textId="77777777" w:rsidR="00635B53" w:rsidRPr="0022325D" w:rsidRDefault="00635B53" w:rsidP="00635B53">
      <w:pPr>
        <w:pStyle w:val="Heading1"/>
        <w:rPr>
          <w:lang w:eastAsia="zh-CN"/>
        </w:rPr>
      </w:pPr>
      <w:r>
        <w:rPr>
          <w:bCs/>
          <w:lang w:val="zh-CN" w:eastAsia="zh-CN"/>
        </w:rPr>
        <w:t>4</w:t>
      </w:r>
      <w:r>
        <w:rPr>
          <w:bCs/>
          <w:lang w:val="zh-CN" w:eastAsia="zh-CN"/>
        </w:rPr>
        <w:tab/>
      </w:r>
      <w:r>
        <w:rPr>
          <w:bCs/>
          <w:lang w:val="zh-CN" w:eastAsia="zh-CN"/>
        </w:rPr>
        <w:t>结论</w:t>
      </w:r>
    </w:p>
    <w:p w14:paraId="4D12FF53" w14:textId="77777777" w:rsidR="00635B53" w:rsidRPr="0022325D" w:rsidRDefault="00635B53" w:rsidP="00E74250">
      <w:pPr>
        <w:ind w:firstLineChars="200" w:firstLine="480"/>
        <w:rPr>
          <w:lang w:eastAsia="zh-CN"/>
        </w:rPr>
      </w:pPr>
      <w:r>
        <w:rPr>
          <w:lang w:val="zh-CN" w:eastAsia="zh-CN"/>
        </w:rPr>
        <w:t>国际电联必须采取一种方法，使其重新回到核心职能和目标的优先次序上来，以扩大其影响力，提高技术信誉，理顺运作并树立利益攸关方的信心。这样做的目的不是缩小国际电联的工作规模，而是从战略上重新关注其核心比较优势。</w:t>
      </w:r>
    </w:p>
    <w:p w14:paraId="27A3024E" w14:textId="77777777" w:rsidR="00635B53" w:rsidRPr="0022325D" w:rsidRDefault="00635B53" w:rsidP="00C47128">
      <w:pPr>
        <w:spacing w:before="2280"/>
        <w:rPr>
          <w:b/>
          <w:bCs/>
          <w:lang w:eastAsia="zh-CN"/>
        </w:rPr>
      </w:pPr>
      <w:r w:rsidRPr="00626732">
        <w:rPr>
          <w:b/>
          <w:bCs/>
          <w:lang w:val="zh-CN" w:eastAsia="zh-CN"/>
        </w:rPr>
        <w:t>附件：</w:t>
      </w:r>
      <w:r>
        <w:rPr>
          <w:lang w:val="zh-CN" w:eastAsia="zh-CN"/>
        </w:rPr>
        <w:t>1</w:t>
      </w:r>
      <w:r>
        <w:rPr>
          <w:rFonts w:hint="eastAsia"/>
          <w:lang w:val="zh-CN" w:eastAsia="zh-CN"/>
        </w:rPr>
        <w:t>件</w:t>
      </w:r>
    </w:p>
    <w:p w14:paraId="339C205C" w14:textId="77777777" w:rsidR="00635B53" w:rsidRPr="0022325D" w:rsidRDefault="00635B53" w:rsidP="00635B53">
      <w:pPr>
        <w:snapToGrid w:val="0"/>
        <w:spacing w:before="0"/>
        <w:rPr>
          <w:rFonts w:asciiTheme="minorHAnsi" w:hAnsiTheme="minorHAnsi"/>
          <w:szCs w:val="24"/>
          <w:lang w:eastAsia="zh-CN"/>
        </w:rPr>
      </w:pPr>
      <w:r w:rsidRPr="0022325D">
        <w:rPr>
          <w:rFonts w:asciiTheme="minorHAnsi" w:hAnsiTheme="minorHAnsi"/>
          <w:szCs w:val="24"/>
          <w:lang w:eastAsia="zh-CN"/>
        </w:rPr>
        <w:br w:type="page"/>
      </w:r>
    </w:p>
    <w:p w14:paraId="079241D7" w14:textId="77777777" w:rsidR="00635B53" w:rsidRPr="0022325D" w:rsidRDefault="00635B53" w:rsidP="00635B53">
      <w:pPr>
        <w:pStyle w:val="AnnexNo"/>
        <w:rPr>
          <w:lang w:eastAsia="zh-CN"/>
        </w:rPr>
      </w:pPr>
      <w:r>
        <w:rPr>
          <w:lang w:val="zh-CN" w:eastAsia="zh-CN"/>
        </w:rPr>
        <w:lastRenderedPageBreak/>
        <w:t>附件</w:t>
      </w:r>
      <w:r>
        <w:rPr>
          <w:lang w:val="zh-CN" w:eastAsia="zh-CN"/>
        </w:rPr>
        <w:t>1</w:t>
      </w:r>
    </w:p>
    <w:p w14:paraId="1216F78F" w14:textId="77777777" w:rsidR="00635B53" w:rsidRPr="0022325D" w:rsidRDefault="00635B53" w:rsidP="00635B53">
      <w:pPr>
        <w:pStyle w:val="Headingb"/>
        <w:rPr>
          <w:lang w:eastAsia="zh-CN"/>
        </w:rPr>
      </w:pPr>
      <w:r>
        <w:rPr>
          <w:bCs/>
          <w:lang w:val="zh-CN" w:eastAsia="zh-CN"/>
        </w:rPr>
        <w:t>指标</w:t>
      </w:r>
    </w:p>
    <w:p w14:paraId="1623F00F"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国际电联的法律文件是否提及该活动？</w:t>
      </w:r>
    </w:p>
    <w:p w14:paraId="7BBD3162"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国际电联是否是与此问题相关的唯一全球性技术论坛？</w:t>
      </w:r>
    </w:p>
    <w:p w14:paraId="241C76D0"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其他联合国机构是否明确承认国际电联的领导地位？</w:t>
      </w:r>
    </w:p>
    <w:p w14:paraId="7306C6ED" w14:textId="77777777" w:rsidR="00635B53" w:rsidRPr="0022325D" w:rsidRDefault="00635B53" w:rsidP="00635B53">
      <w:pPr>
        <w:pStyle w:val="Headingb"/>
        <w:rPr>
          <w:lang w:eastAsia="zh-CN"/>
        </w:rPr>
      </w:pPr>
      <w:r>
        <w:rPr>
          <w:bCs/>
          <w:lang w:val="zh-CN" w:eastAsia="zh-CN"/>
        </w:rPr>
        <w:t>各项活动的关键问题</w:t>
      </w:r>
    </w:p>
    <w:p w14:paraId="660A693B"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活动是否直接支持《组织法》、《公约》、《无线电规则》和《国际电信规则》确定的国际电联的核心宗旨（</w:t>
      </w:r>
      <w:r>
        <w:rPr>
          <w:lang w:val="zh-CN" w:eastAsia="zh-CN"/>
        </w:rPr>
        <w:t>ITU-R</w:t>
      </w:r>
      <w:r>
        <w:rPr>
          <w:lang w:val="zh-CN" w:eastAsia="zh-CN"/>
        </w:rPr>
        <w:t>、</w:t>
      </w:r>
      <w:r>
        <w:rPr>
          <w:lang w:val="zh-CN" w:eastAsia="zh-CN"/>
        </w:rPr>
        <w:t>ITU-T</w:t>
      </w:r>
      <w:r>
        <w:rPr>
          <w:lang w:val="zh-CN" w:eastAsia="zh-CN"/>
        </w:rPr>
        <w:t>、</w:t>
      </w:r>
      <w:r>
        <w:rPr>
          <w:lang w:val="zh-CN" w:eastAsia="zh-CN"/>
        </w:rPr>
        <w:t>ITU-D</w:t>
      </w:r>
      <w:r>
        <w:rPr>
          <w:lang w:val="zh-CN" w:eastAsia="zh-CN"/>
        </w:rPr>
        <w:t>）？</w:t>
      </w:r>
    </w:p>
    <w:p w14:paraId="3873F572"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鉴于国际电联的宗旨及其相对优势，该活动是否必要、有效和适当？</w:t>
      </w:r>
    </w:p>
    <w:p w14:paraId="539BD74D"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国际电联是否拥有独特的技术专长，或相关活动是否与联合国其他机构（联合国开发计划署、联合国教科文组织、联合国环境规划署、世卫组织等）的工作相重复？</w:t>
      </w:r>
    </w:p>
    <w:p w14:paraId="1C9F8A5A"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即使活动是出于好意，国际电联的方法是否有效，还是超出了其专业领域（如社会政治问题、国际人道主义法）？</w:t>
      </w:r>
    </w:p>
    <w:p w14:paraId="2F8B6F52"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该活动是否从国际电联的核心职能（如筹备</w:t>
      </w:r>
      <w:r>
        <w:rPr>
          <w:lang w:val="zh-CN" w:eastAsia="zh-CN"/>
        </w:rPr>
        <w:t>WRC</w:t>
      </w:r>
      <w:r>
        <w:rPr>
          <w:lang w:val="zh-CN" w:eastAsia="zh-CN"/>
        </w:rPr>
        <w:t>、满足申报</w:t>
      </w:r>
      <w:r>
        <w:rPr>
          <w:rFonts w:hint="eastAsia"/>
          <w:lang w:val="zh-CN" w:eastAsia="zh-CN"/>
        </w:rPr>
        <w:t>资料</w:t>
      </w:r>
      <w:r>
        <w:rPr>
          <w:lang w:val="zh-CN" w:eastAsia="zh-CN"/>
        </w:rPr>
        <w:t>处理的最后期限、确保数据库完整性和制定标准）上转移资源？</w:t>
      </w:r>
    </w:p>
    <w:p w14:paraId="133A615A" w14:textId="77777777" w:rsidR="00635B53" w:rsidRPr="0022325D" w:rsidRDefault="00635B53" w:rsidP="00E74250">
      <w:pPr>
        <w:ind w:firstLineChars="200" w:firstLine="480"/>
        <w:rPr>
          <w:lang w:eastAsia="zh-CN"/>
        </w:rPr>
      </w:pPr>
      <w:r>
        <w:rPr>
          <w:lang w:val="zh-CN" w:eastAsia="zh-CN"/>
        </w:rPr>
        <w:t>审查还须评估结果：目标利益攸关方对已制定政策的接受程度、技术能力的持续改善以及论坛交付的实际成果。</w:t>
      </w:r>
    </w:p>
    <w:p w14:paraId="41B574E4" w14:textId="77777777" w:rsidR="00635B53" w:rsidRPr="0022325D" w:rsidRDefault="00635B53" w:rsidP="00635B53">
      <w:pPr>
        <w:pStyle w:val="Headingb"/>
        <w:rPr>
          <w:lang w:eastAsia="zh-CN"/>
        </w:rPr>
      </w:pPr>
      <w:r>
        <w:rPr>
          <w:bCs/>
          <w:lang w:val="zh-CN" w:eastAsia="zh-CN"/>
        </w:rPr>
        <w:t>分类和分层分类</w:t>
      </w:r>
    </w:p>
    <w:p w14:paraId="69521555" w14:textId="77777777" w:rsidR="00635B53" w:rsidRPr="0022325D" w:rsidRDefault="00635B53" w:rsidP="00E74250">
      <w:pPr>
        <w:ind w:firstLineChars="200" w:firstLine="480"/>
        <w:rPr>
          <w:lang w:eastAsia="zh-CN"/>
        </w:rPr>
      </w:pPr>
      <w:r>
        <w:rPr>
          <w:lang w:val="zh-CN" w:eastAsia="zh-CN"/>
        </w:rPr>
        <w:t>应根据《组织法》、《公约》、《无线电规则》和《国际电信规则》的具体规定对上一个四年周期内的所有活动、项目、输出成果和会议进行分类。</w:t>
      </w:r>
    </w:p>
    <w:p w14:paraId="0D095B2A" w14:textId="194940F7" w:rsidR="00635B53" w:rsidRPr="0022325D" w:rsidRDefault="00635B53" w:rsidP="00635B53">
      <w:pPr>
        <w:pStyle w:val="Headingb"/>
        <w:rPr>
          <w:lang w:eastAsia="zh-CN"/>
        </w:rPr>
      </w:pPr>
      <w:r>
        <w:rPr>
          <w:bCs/>
          <w:lang w:val="zh-CN" w:eastAsia="zh-CN"/>
        </w:rPr>
        <w:t>1</w:t>
      </w:r>
      <w:r>
        <w:rPr>
          <w:bCs/>
          <w:lang w:val="zh-CN" w:eastAsia="zh-CN"/>
        </w:rPr>
        <w:t>级</w:t>
      </w:r>
      <w:r w:rsidR="00E74250">
        <w:rPr>
          <w:rFonts w:hint="eastAsia"/>
          <w:bCs/>
          <w:lang w:val="zh-CN" w:eastAsia="zh-CN"/>
        </w:rPr>
        <w:t xml:space="preserve"> </w:t>
      </w:r>
      <w:r w:rsidR="00E74250" w:rsidRPr="00E74250">
        <w:rPr>
          <w:bCs/>
          <w:lang w:val="zh-CN" w:eastAsia="zh-CN"/>
        </w:rPr>
        <w:t>–</w:t>
      </w:r>
      <w:r w:rsidR="00E74250">
        <w:rPr>
          <w:rFonts w:hint="eastAsia"/>
          <w:bCs/>
          <w:lang w:val="zh-CN" w:eastAsia="zh-CN"/>
        </w:rPr>
        <w:t xml:space="preserve"> </w:t>
      </w:r>
      <w:r>
        <w:rPr>
          <w:bCs/>
          <w:lang w:val="zh-CN" w:eastAsia="zh-CN"/>
        </w:rPr>
        <w:t>基于国际条约的活动</w:t>
      </w:r>
    </w:p>
    <w:p w14:paraId="3AFB0258" w14:textId="77777777" w:rsidR="00635B53" w:rsidRPr="0022325D" w:rsidRDefault="00635B53" w:rsidP="00E74250">
      <w:pPr>
        <w:ind w:firstLineChars="200" w:firstLine="480"/>
        <w:rPr>
          <w:lang w:eastAsia="zh-CN"/>
        </w:rPr>
      </w:pPr>
      <w:r>
        <w:rPr>
          <w:lang w:val="zh-CN" w:eastAsia="zh-CN"/>
        </w:rPr>
        <w:t>这些活动直接源于国际电联的宗旨，不依赖于已通过的决议（如，维护国际频率登记总表；制定互操作性建议书）。《组织法》第</w:t>
      </w:r>
      <w:r>
        <w:rPr>
          <w:lang w:val="zh-CN" w:eastAsia="zh-CN"/>
        </w:rPr>
        <w:t>1</w:t>
      </w:r>
      <w:r>
        <w:rPr>
          <w:lang w:val="zh-CN" w:eastAsia="zh-CN"/>
        </w:rPr>
        <w:t>条、《公约》和《行政规则》均对此有所规定。核心输出成果是强制性</w:t>
      </w:r>
      <w:r>
        <w:rPr>
          <w:lang w:val="zh-CN" w:eastAsia="zh-CN"/>
        </w:rPr>
        <w:t>/</w:t>
      </w:r>
      <w:r>
        <w:rPr>
          <w:lang w:val="zh-CN" w:eastAsia="zh-CN"/>
        </w:rPr>
        <w:t>技术性的。</w:t>
      </w:r>
    </w:p>
    <w:p w14:paraId="4A95CAA0" w14:textId="77777777" w:rsidR="00635B53" w:rsidRPr="0022325D" w:rsidRDefault="00635B53" w:rsidP="00635B53">
      <w:pPr>
        <w:pStyle w:val="Headingb"/>
        <w:rPr>
          <w:b w:val="0"/>
          <w:bCs/>
          <w:lang w:eastAsia="zh-CN"/>
        </w:rPr>
      </w:pPr>
      <w:r>
        <w:rPr>
          <w:bCs/>
          <w:lang w:val="zh-CN" w:eastAsia="zh-CN"/>
        </w:rPr>
        <w:t>2</w:t>
      </w:r>
      <w:r>
        <w:rPr>
          <w:bCs/>
          <w:lang w:val="zh-CN" w:eastAsia="zh-CN"/>
        </w:rPr>
        <w:t>级</w:t>
      </w:r>
      <w:r>
        <w:rPr>
          <w:bCs/>
          <w:lang w:val="zh-CN" w:eastAsia="zh-CN"/>
        </w:rPr>
        <w:t xml:space="preserve"> – </w:t>
      </w:r>
      <w:r>
        <w:rPr>
          <w:bCs/>
          <w:lang w:val="zh-CN" w:eastAsia="zh-CN"/>
        </w:rPr>
        <w:t>必要的补充活动</w:t>
      </w:r>
    </w:p>
    <w:p w14:paraId="6F8B421A" w14:textId="77777777" w:rsidR="00635B53" w:rsidRPr="0022325D" w:rsidRDefault="00635B53" w:rsidP="00E74250">
      <w:pPr>
        <w:ind w:firstLineChars="200" w:firstLine="480"/>
        <w:rPr>
          <w:lang w:eastAsia="zh-CN"/>
        </w:rPr>
      </w:pPr>
      <w:r>
        <w:rPr>
          <w:lang w:val="zh-CN" w:eastAsia="zh-CN"/>
        </w:rPr>
        <w:t>这些活动是实现国际电联核心目标所必需的（如培训频谱管理监管机构、支持新技术、弥合数字鸿沟）。</w:t>
      </w:r>
    </w:p>
    <w:p w14:paraId="4C73C173" w14:textId="77777777" w:rsidR="00635B53" w:rsidRPr="0022325D" w:rsidRDefault="00635B53" w:rsidP="00635B53">
      <w:pPr>
        <w:pStyle w:val="Headingb"/>
        <w:rPr>
          <w:b w:val="0"/>
          <w:bCs/>
          <w:lang w:eastAsia="zh-CN"/>
        </w:rPr>
      </w:pPr>
      <w:r>
        <w:rPr>
          <w:bCs/>
          <w:lang w:val="zh-CN" w:eastAsia="zh-CN"/>
        </w:rPr>
        <w:t>3</w:t>
      </w:r>
      <w:r>
        <w:rPr>
          <w:bCs/>
          <w:lang w:val="zh-CN" w:eastAsia="zh-CN"/>
        </w:rPr>
        <w:t>级</w:t>
      </w:r>
      <w:r>
        <w:rPr>
          <w:bCs/>
          <w:lang w:val="zh-CN" w:eastAsia="zh-CN"/>
        </w:rPr>
        <w:t xml:space="preserve"> – </w:t>
      </w:r>
      <w:r>
        <w:rPr>
          <w:bCs/>
          <w:lang w:val="zh-CN" w:eastAsia="zh-CN"/>
        </w:rPr>
        <w:t>作为工具的</w:t>
      </w:r>
      <w:r>
        <w:rPr>
          <w:bCs/>
          <w:lang w:val="zh-CN" w:eastAsia="zh-CN"/>
        </w:rPr>
        <w:t>ICT</w:t>
      </w:r>
    </w:p>
    <w:p w14:paraId="0FD14919" w14:textId="77777777" w:rsidR="00635B53" w:rsidRPr="00C91FF7" w:rsidRDefault="00635B53" w:rsidP="00E74250">
      <w:pPr>
        <w:ind w:firstLineChars="200" w:firstLine="472"/>
        <w:rPr>
          <w:spacing w:val="-2"/>
          <w:lang w:eastAsia="zh-CN"/>
        </w:rPr>
      </w:pPr>
      <w:r w:rsidRPr="00C91FF7">
        <w:rPr>
          <w:spacing w:val="-2"/>
          <w:lang w:val="zh-CN" w:eastAsia="zh-CN"/>
        </w:rPr>
        <w:t>其他机构领导这些活动的一般政策和实施。尽管这些活动极大有助于实现国际电联法律文件中规定的宗旨，但国际电联必须恪守这些宗旨，避免介入一般性政策事务。</w:t>
      </w:r>
    </w:p>
    <w:p w14:paraId="6AEE0245" w14:textId="77777777" w:rsidR="00635B53" w:rsidRPr="0022325D" w:rsidRDefault="00635B53" w:rsidP="00635B53">
      <w:pPr>
        <w:pStyle w:val="Headingb"/>
        <w:rPr>
          <w:b w:val="0"/>
          <w:bCs/>
          <w:lang w:eastAsia="zh-CN"/>
        </w:rPr>
      </w:pPr>
      <w:r>
        <w:rPr>
          <w:bCs/>
          <w:lang w:val="zh-CN" w:eastAsia="zh-CN"/>
        </w:rPr>
        <w:t>第</w:t>
      </w:r>
      <w:r>
        <w:rPr>
          <w:bCs/>
          <w:lang w:val="zh-CN" w:eastAsia="zh-CN"/>
        </w:rPr>
        <w:t>4</w:t>
      </w:r>
      <w:r>
        <w:rPr>
          <w:bCs/>
          <w:lang w:val="zh-CN" w:eastAsia="zh-CN"/>
        </w:rPr>
        <w:t>级</w:t>
      </w:r>
      <w:r>
        <w:rPr>
          <w:bCs/>
          <w:lang w:val="zh-CN" w:eastAsia="zh-CN"/>
        </w:rPr>
        <w:t xml:space="preserve"> – </w:t>
      </w:r>
      <w:r>
        <w:rPr>
          <w:bCs/>
          <w:lang w:val="zh-CN" w:eastAsia="zh-CN"/>
        </w:rPr>
        <w:t>仅与国际电联宗旨间接相关的活动</w:t>
      </w:r>
    </w:p>
    <w:p w14:paraId="47DA0821" w14:textId="77777777" w:rsidR="00635B53" w:rsidRPr="0022325D" w:rsidRDefault="00635B53" w:rsidP="00E74250">
      <w:pPr>
        <w:ind w:firstLineChars="200" w:firstLine="480"/>
        <w:rPr>
          <w:lang w:eastAsia="zh-CN"/>
        </w:rPr>
      </w:pPr>
      <w:bookmarkStart w:id="7" w:name="_Hlk226977071"/>
      <w:r>
        <w:rPr>
          <w:lang w:val="zh-CN" w:eastAsia="zh-CN"/>
        </w:rPr>
        <w:t>这些活动源于通过的决议，旨在制定一般性政策，并让其他联合国机构参与进来。其主要议题属于联合国其他组织的职责范围。职能重叠，各项活动与</w:t>
      </w:r>
      <w:r>
        <w:rPr>
          <w:lang w:val="zh-CN" w:eastAsia="zh-CN"/>
        </w:rPr>
        <w:t>ICT</w:t>
      </w:r>
      <w:r>
        <w:rPr>
          <w:lang w:val="zh-CN" w:eastAsia="zh-CN"/>
        </w:rPr>
        <w:t>的联系也非常松散。</w:t>
      </w:r>
      <w:bookmarkEnd w:id="7"/>
    </w:p>
    <w:p w14:paraId="1276A598" w14:textId="77777777" w:rsidR="00635B53" w:rsidRPr="0022325D" w:rsidRDefault="00635B53" w:rsidP="00635B53">
      <w:pPr>
        <w:pStyle w:val="Headingb"/>
        <w:rPr>
          <w:b w:val="0"/>
          <w:bCs/>
          <w:lang w:eastAsia="zh-CN"/>
        </w:rPr>
      </w:pPr>
      <w:r>
        <w:rPr>
          <w:bCs/>
          <w:lang w:val="zh-CN" w:eastAsia="zh-CN"/>
        </w:rPr>
        <w:lastRenderedPageBreak/>
        <w:t>评估</w:t>
      </w:r>
      <w:r>
        <w:rPr>
          <w:rFonts w:hint="eastAsia"/>
          <w:bCs/>
          <w:lang w:val="zh-CN" w:eastAsia="zh-CN"/>
        </w:rPr>
        <w:t>标准</w:t>
      </w:r>
    </w:p>
    <w:p w14:paraId="6CBB7642"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财务：正常预算和自愿捐款。</w:t>
      </w:r>
    </w:p>
    <w:p w14:paraId="6EB4AB19"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人力资源：相当于国际电联全职职员的数量，包括高级管理人员。</w:t>
      </w:r>
    </w:p>
    <w:p w14:paraId="2414D84B" w14:textId="77777777" w:rsidR="00635B53" w:rsidRPr="00C47128" w:rsidRDefault="00635B53" w:rsidP="00635B53">
      <w:pPr>
        <w:pStyle w:val="enumlev1"/>
        <w:rPr>
          <w:lang w:eastAsia="zh-CN"/>
        </w:rPr>
      </w:pPr>
      <w:r w:rsidRPr="00C47128">
        <w:rPr>
          <w:lang w:val="zh-CN" w:eastAsia="zh-CN"/>
        </w:rPr>
        <w:t>–</w:t>
      </w:r>
      <w:r w:rsidRPr="00C47128">
        <w:rPr>
          <w:lang w:val="zh-CN" w:eastAsia="zh-CN"/>
        </w:rPr>
        <w:tab/>
      </w:r>
      <w:r w:rsidRPr="00C47128">
        <w:rPr>
          <w:lang w:val="zh-CN" w:eastAsia="zh-CN"/>
        </w:rPr>
        <w:t>时间分配：分配给核心和外围活动的理事会</w:t>
      </w:r>
      <w:r w:rsidRPr="00C47128">
        <w:rPr>
          <w:lang w:val="zh-CN" w:eastAsia="zh-CN"/>
        </w:rPr>
        <w:t>/</w:t>
      </w:r>
      <w:r w:rsidRPr="00C47128">
        <w:rPr>
          <w:lang w:val="zh-CN" w:eastAsia="zh-CN"/>
        </w:rPr>
        <w:t>全权代表大会</w:t>
      </w:r>
      <w:r w:rsidRPr="00C47128">
        <w:rPr>
          <w:lang w:val="zh-CN" w:eastAsia="zh-CN"/>
        </w:rPr>
        <w:t>/</w:t>
      </w:r>
      <w:r w:rsidRPr="00C47128">
        <w:rPr>
          <w:lang w:val="zh-CN" w:eastAsia="zh-CN"/>
        </w:rPr>
        <w:t>部门大会时间的估算。</w:t>
      </w:r>
    </w:p>
    <w:p w14:paraId="4EBA729D" w14:textId="77777777" w:rsidR="00635B53" w:rsidRPr="0022325D" w:rsidRDefault="00635B53" w:rsidP="00635B53">
      <w:pPr>
        <w:pStyle w:val="enumlev1"/>
        <w:rPr>
          <w:lang w:eastAsia="zh-CN"/>
        </w:rPr>
      </w:pPr>
      <w:r>
        <w:rPr>
          <w:lang w:val="zh-CN" w:eastAsia="zh-CN"/>
        </w:rPr>
        <w:t>–</w:t>
      </w:r>
      <w:r>
        <w:rPr>
          <w:lang w:val="zh-CN" w:eastAsia="zh-CN"/>
        </w:rPr>
        <w:tab/>
      </w:r>
      <w:r>
        <w:rPr>
          <w:rFonts w:hint="eastAsia"/>
          <w:lang w:val="zh-CN" w:eastAsia="zh-CN"/>
        </w:rPr>
        <w:t>工作重叠</w:t>
      </w:r>
      <w:r>
        <w:rPr>
          <w:lang w:val="zh-CN" w:eastAsia="zh-CN"/>
        </w:rPr>
        <w:t>分析：与其他联合国机构重叠（例如，在可持续智慧城市方面与联合国人居署</w:t>
      </w:r>
      <w:r>
        <w:rPr>
          <w:rFonts w:hint="eastAsia"/>
          <w:lang w:val="zh-CN" w:eastAsia="zh-CN"/>
        </w:rPr>
        <w:t>重叠</w:t>
      </w:r>
      <w:r>
        <w:rPr>
          <w:lang w:val="zh-CN" w:eastAsia="zh-CN"/>
        </w:rPr>
        <w:t>；</w:t>
      </w:r>
      <w:r>
        <w:rPr>
          <w:rFonts w:hint="eastAsia"/>
          <w:lang w:val="zh-CN" w:eastAsia="zh-CN"/>
        </w:rPr>
        <w:t>在</w:t>
      </w:r>
      <w:r>
        <w:rPr>
          <w:lang w:val="zh-CN" w:eastAsia="zh-CN"/>
        </w:rPr>
        <w:t>远程医疗</w:t>
      </w:r>
      <w:r>
        <w:rPr>
          <w:rFonts w:hint="eastAsia"/>
          <w:lang w:val="zh-CN" w:eastAsia="zh-CN"/>
        </w:rPr>
        <w:t>方面与</w:t>
      </w:r>
      <w:r>
        <w:rPr>
          <w:lang w:val="zh-CN" w:eastAsia="zh-CN"/>
        </w:rPr>
        <w:t>世界卫生组织</w:t>
      </w:r>
      <w:r>
        <w:rPr>
          <w:rFonts w:hint="eastAsia"/>
          <w:lang w:val="zh-CN" w:eastAsia="zh-CN"/>
        </w:rPr>
        <w:t>重叠</w:t>
      </w:r>
      <w:r>
        <w:rPr>
          <w:lang w:val="zh-CN" w:eastAsia="zh-CN"/>
        </w:rPr>
        <w:t>；</w:t>
      </w:r>
      <w:r>
        <w:rPr>
          <w:rFonts w:hint="eastAsia"/>
          <w:lang w:val="zh-CN" w:eastAsia="zh-CN"/>
        </w:rPr>
        <w:t>在</w:t>
      </w:r>
      <w:r>
        <w:rPr>
          <w:lang w:val="zh-CN" w:eastAsia="zh-CN"/>
        </w:rPr>
        <w:t>电子废弃物</w:t>
      </w:r>
      <w:r>
        <w:rPr>
          <w:rFonts w:hint="eastAsia"/>
          <w:lang w:val="zh-CN" w:eastAsia="zh-CN"/>
        </w:rPr>
        <w:t>方面</w:t>
      </w:r>
      <w:r>
        <w:rPr>
          <w:lang w:val="zh-CN" w:eastAsia="zh-CN"/>
        </w:rPr>
        <w:t>与</w:t>
      </w:r>
      <w:r>
        <w:rPr>
          <w:lang w:val="zh-CN" w:eastAsia="zh-CN"/>
        </w:rPr>
        <w:t>UNEP</w:t>
      </w:r>
      <w:r>
        <w:rPr>
          <w:rFonts w:hint="eastAsia"/>
          <w:lang w:val="zh-CN" w:eastAsia="zh-CN"/>
        </w:rPr>
        <w:t>重叠</w:t>
      </w:r>
      <w:r>
        <w:rPr>
          <w:lang w:val="zh-CN" w:eastAsia="zh-CN"/>
        </w:rPr>
        <w:t>）。</w:t>
      </w:r>
    </w:p>
    <w:p w14:paraId="61CBC1CE"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发展项目：这些项目是在核心活动中创造新的可持续能力，还是短期捐助项目？</w:t>
      </w:r>
    </w:p>
    <w:p w14:paraId="60D6F4B2"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论坛：人工智能</w:t>
      </w:r>
      <w:r>
        <w:rPr>
          <w:rFonts w:hint="eastAsia"/>
          <w:lang w:val="zh-CN" w:eastAsia="zh-CN"/>
        </w:rPr>
        <w:t>向善</w:t>
      </w:r>
      <w:r>
        <w:rPr>
          <w:lang w:val="zh-CN" w:eastAsia="zh-CN"/>
        </w:rPr>
        <w:t>全球峰会或信息社会世界峰会论坛等活动是否通过实际应用产生切实的成果？</w:t>
      </w:r>
    </w:p>
    <w:p w14:paraId="317629FB" w14:textId="77777777" w:rsidR="00635B53" w:rsidRPr="0022325D" w:rsidRDefault="00635B53" w:rsidP="00635B53">
      <w:pPr>
        <w:pStyle w:val="enumlev1"/>
        <w:rPr>
          <w:lang w:eastAsia="zh-CN"/>
        </w:rPr>
      </w:pPr>
      <w:r>
        <w:rPr>
          <w:lang w:val="zh-CN" w:eastAsia="zh-CN"/>
        </w:rPr>
        <w:t>–</w:t>
      </w:r>
      <w:r>
        <w:rPr>
          <w:lang w:val="zh-CN" w:eastAsia="zh-CN"/>
        </w:rPr>
        <w:tab/>
      </w:r>
      <w:r>
        <w:rPr>
          <w:rFonts w:hint="eastAsia"/>
          <w:lang w:val="zh-CN" w:eastAsia="zh-CN"/>
        </w:rPr>
        <w:t>问卷</w:t>
      </w:r>
      <w:r>
        <w:rPr>
          <w:lang w:val="zh-CN" w:eastAsia="zh-CN"/>
        </w:rPr>
        <w:t>调查：成员国（尤其是大型捐助方）；私营部门；其它联合国机构；国际电联职员（匿名）。</w:t>
      </w:r>
    </w:p>
    <w:p w14:paraId="1D354971"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不利影响评估（机会成本）：定量评估使命</w:t>
      </w:r>
      <w:r>
        <w:rPr>
          <w:rFonts w:hint="eastAsia"/>
          <w:lang w:val="zh-CN" w:eastAsia="zh-CN"/>
        </w:rPr>
        <w:t>随意</w:t>
      </w:r>
      <w:r>
        <w:rPr>
          <w:lang w:val="zh-CN" w:eastAsia="zh-CN"/>
        </w:rPr>
        <w:t>蔓延对国际电联宗旨的不利影响。</w:t>
      </w:r>
    </w:p>
    <w:p w14:paraId="204F43ED" w14:textId="77777777" w:rsidR="00635B53" w:rsidRPr="0022325D" w:rsidRDefault="00635B53" w:rsidP="00635B53">
      <w:pPr>
        <w:pStyle w:val="enumlev1"/>
        <w:rPr>
          <w:lang w:eastAsia="zh-CN"/>
        </w:rPr>
      </w:pPr>
      <w:r>
        <w:rPr>
          <w:lang w:val="zh-CN" w:eastAsia="zh-CN"/>
        </w:rPr>
        <w:t>–</w:t>
      </w:r>
      <w:r>
        <w:rPr>
          <w:lang w:val="zh-CN" w:eastAsia="zh-CN"/>
        </w:rPr>
        <w:tab/>
      </w:r>
      <w:r>
        <w:rPr>
          <w:lang w:val="zh-CN" w:eastAsia="zh-CN"/>
        </w:rPr>
        <w:t>案例研究：核心领域（例如，卫星网络申报</w:t>
      </w:r>
      <w:r>
        <w:rPr>
          <w:rFonts w:hint="eastAsia"/>
          <w:lang w:val="zh-CN" w:eastAsia="zh-CN"/>
        </w:rPr>
        <w:t>资料</w:t>
      </w:r>
      <w:r>
        <w:rPr>
          <w:lang w:val="zh-CN" w:eastAsia="zh-CN"/>
        </w:rPr>
        <w:t>处理的</w:t>
      </w:r>
      <w:r>
        <w:rPr>
          <w:rFonts w:hint="eastAsia"/>
          <w:lang w:val="zh-CN" w:eastAsia="zh-CN"/>
        </w:rPr>
        <w:t>时限</w:t>
      </w:r>
      <w:r>
        <w:rPr>
          <w:lang w:val="zh-CN" w:eastAsia="zh-CN"/>
        </w:rPr>
        <w:t>；</w:t>
      </w:r>
      <w:r>
        <w:rPr>
          <w:lang w:val="zh-CN" w:eastAsia="zh-CN"/>
        </w:rPr>
        <w:t>BR IFIC</w:t>
      </w:r>
      <w:r>
        <w:rPr>
          <w:lang w:val="zh-CN" w:eastAsia="zh-CN"/>
        </w:rPr>
        <w:t>数据库现代化）资源与输出成果的分析及其相关性。</w:t>
      </w:r>
    </w:p>
    <w:p w14:paraId="498AA411" w14:textId="6D850274" w:rsidR="00E323D0" w:rsidRPr="00E323D0" w:rsidRDefault="00635B53" w:rsidP="00635B53">
      <w:pPr>
        <w:spacing w:before="480"/>
        <w:jc w:val="center"/>
      </w:pPr>
      <w:r>
        <w:t>______________</w:t>
      </w:r>
    </w:p>
    <w:sectPr w:rsidR="00E323D0" w:rsidRPr="00E323D0" w:rsidSect="00E24D59">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9478" w14:textId="77777777" w:rsidR="00940EA6" w:rsidRDefault="00940EA6">
      <w:r>
        <w:separator/>
      </w:r>
    </w:p>
  </w:endnote>
  <w:endnote w:type="continuationSeparator" w:id="0">
    <w:p w14:paraId="27E30408" w14:textId="77777777" w:rsidR="00940EA6" w:rsidRDefault="0094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9311CB4" w14:textId="77777777" w:rsidTr="00E31DCE">
      <w:trPr>
        <w:jc w:val="center"/>
      </w:trPr>
      <w:tc>
        <w:tcPr>
          <w:tcW w:w="1803" w:type="dxa"/>
          <w:vAlign w:val="center"/>
        </w:tcPr>
        <w:p w14:paraId="55883B67" w14:textId="21395E4C" w:rsidR="00E24D59" w:rsidRPr="00E74250"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E74250">
            <w:rPr>
              <w:rFonts w:eastAsiaTheme="minorEastAsia" w:hint="eastAsia"/>
              <w:noProof/>
              <w:color w:val="808080" w:themeColor="background1" w:themeShade="80"/>
              <w:lang w:eastAsia="zh-CN"/>
            </w:rPr>
            <w:t xml:space="preserve"> 2600984</w:t>
          </w:r>
        </w:p>
      </w:tc>
      <w:tc>
        <w:tcPr>
          <w:tcW w:w="8261" w:type="dxa"/>
        </w:tcPr>
        <w:p w14:paraId="665BC212" w14:textId="6774089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E74250">
            <w:rPr>
              <w:rFonts w:eastAsiaTheme="minorEastAsia" w:hint="eastAsia"/>
              <w:bCs/>
              <w:color w:val="808080" w:themeColor="background1" w:themeShade="80"/>
              <w:lang w:eastAsia="zh-CN"/>
            </w:rPr>
            <w:t>9</w:t>
          </w:r>
          <w:r w:rsidR="005F7D51">
            <w:rPr>
              <w:rFonts w:eastAsiaTheme="minorEastAsia" w:hint="eastAsia"/>
              <w:bCs/>
              <w:color w:val="808080" w:themeColor="background1" w:themeShade="80"/>
              <w:lang w:eastAsia="zh-CN"/>
            </w:rPr>
            <w:t>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27226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5ACED86" w14:textId="77777777" w:rsidTr="00E31DCE">
      <w:trPr>
        <w:jc w:val="center"/>
      </w:trPr>
      <w:tc>
        <w:tcPr>
          <w:tcW w:w="1803" w:type="dxa"/>
          <w:vAlign w:val="center"/>
        </w:tcPr>
        <w:p w14:paraId="7E65FAE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95825C0" w14:textId="6EC7CC5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635B53">
            <w:rPr>
              <w:rFonts w:eastAsiaTheme="minorEastAsia" w:hint="eastAsia"/>
              <w:bCs/>
              <w:color w:val="808080" w:themeColor="background1" w:themeShade="80"/>
              <w:lang w:eastAsia="zh-CN"/>
            </w:rPr>
            <w:t>91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620FF0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BE8E" w14:textId="77777777" w:rsidR="00940EA6" w:rsidRDefault="00940EA6">
      <w:r>
        <w:t>____________________</w:t>
      </w:r>
    </w:p>
  </w:footnote>
  <w:footnote w:type="continuationSeparator" w:id="0">
    <w:p w14:paraId="24B4F4FD" w14:textId="77777777" w:rsidR="00940EA6" w:rsidRDefault="00940EA6">
      <w:r>
        <w:continuationSeparator/>
      </w:r>
    </w:p>
  </w:footnote>
  <w:footnote w:id="1">
    <w:p w14:paraId="79782EFF" w14:textId="77777777" w:rsidR="00D56759" w:rsidRDefault="00D56759" w:rsidP="00D56759">
      <w:pPr>
        <w:pStyle w:val="FootnoteText"/>
        <w:rPr>
          <w:lang w:eastAsia="zh-CN"/>
        </w:rPr>
      </w:pPr>
      <w:r>
        <w:rPr>
          <w:rStyle w:val="FootnoteReference"/>
          <w:lang w:eastAsia="zh-CN"/>
        </w:rPr>
        <w:t>1</w:t>
      </w:r>
      <w:r>
        <w:rPr>
          <w:lang w:eastAsia="zh-CN"/>
        </w:rPr>
        <w:tab/>
      </w:r>
      <w:r w:rsidRPr="00D56759">
        <w:rPr>
          <w:rFonts w:hint="eastAsia"/>
          <w:sz w:val="22"/>
          <w:szCs w:val="22"/>
          <w:lang w:eastAsia="zh-CN"/>
        </w:rPr>
        <w:t>例如，在</w:t>
      </w:r>
      <w:r w:rsidRPr="00D56759">
        <w:rPr>
          <w:rFonts w:hint="eastAsia"/>
          <w:sz w:val="22"/>
          <w:szCs w:val="22"/>
          <w:lang w:eastAsia="zh-CN"/>
        </w:rPr>
        <w:t>2026</w:t>
      </w:r>
      <w:r w:rsidRPr="00D56759">
        <w:rPr>
          <w:rFonts w:hint="eastAsia"/>
          <w:sz w:val="22"/>
          <w:szCs w:val="22"/>
          <w:lang w:eastAsia="zh-CN"/>
        </w:rPr>
        <w:t>年</w:t>
      </w:r>
      <w:r w:rsidRPr="00D56759">
        <w:rPr>
          <w:rFonts w:hint="eastAsia"/>
          <w:sz w:val="22"/>
          <w:szCs w:val="22"/>
          <w:lang w:eastAsia="zh-CN"/>
        </w:rPr>
        <w:t>1</w:t>
      </w:r>
      <w:r w:rsidRPr="00D56759">
        <w:rPr>
          <w:rFonts w:hint="eastAsia"/>
          <w:sz w:val="22"/>
          <w:szCs w:val="22"/>
          <w:lang w:eastAsia="zh-CN"/>
        </w:rPr>
        <w:t>月的</w:t>
      </w:r>
      <w:r w:rsidRPr="00D56759">
        <w:rPr>
          <w:rFonts w:hint="eastAsia"/>
          <w:sz w:val="22"/>
          <w:szCs w:val="22"/>
          <w:lang w:eastAsia="zh-CN"/>
        </w:rPr>
        <w:t>CWG-FHR</w:t>
      </w:r>
      <w:r w:rsidRPr="00D56759">
        <w:rPr>
          <w:rFonts w:hint="eastAsia"/>
          <w:sz w:val="22"/>
          <w:szCs w:val="22"/>
          <w:lang w:eastAsia="zh-CN"/>
        </w:rPr>
        <w:t>会议上，无线电通信局主任同意代表们关于卫星网络申报资料积压的意见，并指出，随着申报资料数量和复杂性的增加，遵守登记截止日期的情况可能变得更加具有挑战性。无线电通信局主任强调指出，如不对软件进行现代化改造或增加人员，情况将无法得到改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7FEB"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B"/>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1E477A"/>
    <w:rsid w:val="00215132"/>
    <w:rsid w:val="00220C45"/>
    <w:rsid w:val="00224449"/>
    <w:rsid w:val="00276D69"/>
    <w:rsid w:val="00277DEA"/>
    <w:rsid w:val="00280EB8"/>
    <w:rsid w:val="002916B4"/>
    <w:rsid w:val="002A1D39"/>
    <w:rsid w:val="002A6670"/>
    <w:rsid w:val="002C3F32"/>
    <w:rsid w:val="00303502"/>
    <w:rsid w:val="00325C25"/>
    <w:rsid w:val="00372C8F"/>
    <w:rsid w:val="00380ECE"/>
    <w:rsid w:val="00393DDF"/>
    <w:rsid w:val="00397F55"/>
    <w:rsid w:val="003B40F3"/>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B4AB2"/>
    <w:rsid w:val="005C6632"/>
    <w:rsid w:val="005D1C9E"/>
    <w:rsid w:val="005F7D51"/>
    <w:rsid w:val="00602842"/>
    <w:rsid w:val="00626732"/>
    <w:rsid w:val="00630DD5"/>
    <w:rsid w:val="0063289C"/>
    <w:rsid w:val="00635B53"/>
    <w:rsid w:val="00637584"/>
    <w:rsid w:val="00647633"/>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C7FC0"/>
    <w:rsid w:val="007E189D"/>
    <w:rsid w:val="007F0210"/>
    <w:rsid w:val="00806E3F"/>
    <w:rsid w:val="00811259"/>
    <w:rsid w:val="00813AA2"/>
    <w:rsid w:val="008173A3"/>
    <w:rsid w:val="008418F5"/>
    <w:rsid w:val="0084546D"/>
    <w:rsid w:val="0086059C"/>
    <w:rsid w:val="00864589"/>
    <w:rsid w:val="00874C82"/>
    <w:rsid w:val="0088203B"/>
    <w:rsid w:val="00890AFB"/>
    <w:rsid w:val="00890FC4"/>
    <w:rsid w:val="00895905"/>
    <w:rsid w:val="008F64AD"/>
    <w:rsid w:val="00902536"/>
    <w:rsid w:val="00911230"/>
    <w:rsid w:val="00911867"/>
    <w:rsid w:val="009164A9"/>
    <w:rsid w:val="009258CB"/>
    <w:rsid w:val="0093362E"/>
    <w:rsid w:val="00940EA6"/>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57D57"/>
    <w:rsid w:val="00A71B57"/>
    <w:rsid w:val="00AA2E08"/>
    <w:rsid w:val="00AB42C1"/>
    <w:rsid w:val="00AC516F"/>
    <w:rsid w:val="00AE195F"/>
    <w:rsid w:val="00AE2926"/>
    <w:rsid w:val="00B0184B"/>
    <w:rsid w:val="00B035CD"/>
    <w:rsid w:val="00B0769D"/>
    <w:rsid w:val="00B217F8"/>
    <w:rsid w:val="00B326AA"/>
    <w:rsid w:val="00B332EA"/>
    <w:rsid w:val="00B374AE"/>
    <w:rsid w:val="00B40A53"/>
    <w:rsid w:val="00B45365"/>
    <w:rsid w:val="00B46A65"/>
    <w:rsid w:val="00B60184"/>
    <w:rsid w:val="00B62D20"/>
    <w:rsid w:val="00B81E75"/>
    <w:rsid w:val="00B91673"/>
    <w:rsid w:val="00B93453"/>
    <w:rsid w:val="00B9445B"/>
    <w:rsid w:val="00BA52D6"/>
    <w:rsid w:val="00BD0954"/>
    <w:rsid w:val="00BD1A5A"/>
    <w:rsid w:val="00BD3776"/>
    <w:rsid w:val="00BD7A9B"/>
    <w:rsid w:val="00BD7BE1"/>
    <w:rsid w:val="00BF416B"/>
    <w:rsid w:val="00C0599D"/>
    <w:rsid w:val="00C24DAC"/>
    <w:rsid w:val="00C45EB2"/>
    <w:rsid w:val="00C47128"/>
    <w:rsid w:val="00C63BAC"/>
    <w:rsid w:val="00C64E4E"/>
    <w:rsid w:val="00C66E64"/>
    <w:rsid w:val="00C761A0"/>
    <w:rsid w:val="00C81272"/>
    <w:rsid w:val="00C85F7E"/>
    <w:rsid w:val="00C90D53"/>
    <w:rsid w:val="00C91FF7"/>
    <w:rsid w:val="00CA0B2E"/>
    <w:rsid w:val="00CA260A"/>
    <w:rsid w:val="00CA6EF7"/>
    <w:rsid w:val="00CD47F0"/>
    <w:rsid w:val="00CD5566"/>
    <w:rsid w:val="00CD64D7"/>
    <w:rsid w:val="00CE6F22"/>
    <w:rsid w:val="00CF41F6"/>
    <w:rsid w:val="00CF7D3E"/>
    <w:rsid w:val="00D02B4E"/>
    <w:rsid w:val="00D12B72"/>
    <w:rsid w:val="00D21F11"/>
    <w:rsid w:val="00D36817"/>
    <w:rsid w:val="00D453EE"/>
    <w:rsid w:val="00D5666C"/>
    <w:rsid w:val="00D56759"/>
    <w:rsid w:val="00D666BC"/>
    <w:rsid w:val="00D83542"/>
    <w:rsid w:val="00D87C3A"/>
    <w:rsid w:val="00D92F45"/>
    <w:rsid w:val="00D94637"/>
    <w:rsid w:val="00D9725C"/>
    <w:rsid w:val="00DA0E66"/>
    <w:rsid w:val="00DA2D30"/>
    <w:rsid w:val="00DA7006"/>
    <w:rsid w:val="00DB2D2B"/>
    <w:rsid w:val="00DB3621"/>
    <w:rsid w:val="00DC6427"/>
    <w:rsid w:val="00DD62F5"/>
    <w:rsid w:val="00DD66A1"/>
    <w:rsid w:val="00DE196D"/>
    <w:rsid w:val="00DF6B49"/>
    <w:rsid w:val="00E067C5"/>
    <w:rsid w:val="00E130FC"/>
    <w:rsid w:val="00E24D59"/>
    <w:rsid w:val="00E265BF"/>
    <w:rsid w:val="00E323D0"/>
    <w:rsid w:val="00E34C96"/>
    <w:rsid w:val="00E378D8"/>
    <w:rsid w:val="00E43A12"/>
    <w:rsid w:val="00E67C67"/>
    <w:rsid w:val="00E74250"/>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E0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C285"/>
  <w15:docId w15:val="{6CDEB007-381A-41AE-A1B8-AEC474A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74250"/>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StyleHyperlinkAsian">
    <w:name w:val="Style Hyperlink + (Asian) 宋体"/>
    <w:basedOn w:val="Hyperlink"/>
    <w:rsid w:val="00635B53"/>
    <w:rPr>
      <w:rFonts w:eastAsia="SimSun"/>
      <w:noProof/>
      <w:color w:val="4F81BD" w:themeColor="accent1"/>
      <w:u w:val="none"/>
    </w:rPr>
  </w:style>
  <w:style w:type="character" w:customStyle="1" w:styleId="Style">
    <w:name w:val="Style"/>
    <w:basedOn w:val="Hyperlink"/>
    <w:rsid w:val="00E74250"/>
    <w:rPr>
      <w:rFonts w:eastAsia="SimSun"/>
      <w:noProof/>
      <w:color w:val="4F81BD"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5/en" TargetMode="External"/><Relationship Id="rId13" Type="http://schemas.openxmlformats.org/officeDocument/2006/relationships/hyperlink" Target="https://www.itu.int/md/S26-CWGFHR22-C-0036/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CL-C-0086/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6-CWGFHR22-C-0025/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FHR22-C-0025/en" TargetMode="External"/><Relationship Id="rId5" Type="http://schemas.openxmlformats.org/officeDocument/2006/relationships/webSettings" Target="webSettings.xml"/><Relationship Id="rId15" Type="http://schemas.openxmlformats.org/officeDocument/2006/relationships/hyperlink" Target="https://www.itu.int/md/S26-CWGFHR22-C-0025/en" TargetMode="External"/><Relationship Id="rId10" Type="http://schemas.openxmlformats.org/officeDocument/2006/relationships/hyperlink" Target="https://www.itu.int/md/S26-CWGFHR22-C-0025/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6-CWGFHR22-C-0025/en" TargetMode="External"/><Relationship Id="rId14" Type="http://schemas.openxmlformats.org/officeDocument/2006/relationships/hyperlink" Target="https://www.itu.int/md/S26-CWGFHR22-C-002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120;&#29992;&#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6</Pages>
  <Words>2414</Words>
  <Characters>2608</Characters>
  <Application>Microsoft Office Word</Application>
  <DocSecurity>0</DocSecurity>
  <Lines>124</Lines>
  <Paragraphs>147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optimization of ITU resource allocation to better align with the purposes of the Union</dc:title>
  <dc:subject>ITU Council 2026</dc:subject>
  <cp:keywords>C26; C2026; Council 2026; PP26</cp:keywords>
  <dc:description/>
  <cp:lastPrinted>2015-02-24T13:23:00Z</cp:lastPrinted>
  <dcterms:created xsi:type="dcterms:W3CDTF">2026-04-29T17:52:00Z</dcterms:created>
  <dcterms:modified xsi:type="dcterms:W3CDTF">2026-04-29T17:52:00Z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