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F363FE">
        <w:tc>
          <w:tcPr>
            <w:tcW w:w="6512" w:type="dxa"/>
          </w:tcPr>
          <w:p w14:paraId="7CD5DD5C" w14:textId="21A00016" w:rsidR="007B0AA0" w:rsidRPr="00546882" w:rsidRDefault="007B0AA0" w:rsidP="00F363FE">
            <w:pPr>
              <w:spacing w:before="60" w:after="60" w:line="260" w:lineRule="exact"/>
              <w:rPr>
                <w:b/>
                <w:bCs/>
                <w:rtl/>
              </w:rPr>
            </w:pPr>
            <w:r w:rsidRPr="007B0AA0">
              <w:rPr>
                <w:rFonts w:hint="cs"/>
                <w:b/>
                <w:bCs/>
                <w:rtl/>
                <w:lang w:bidi="ar-EG"/>
              </w:rPr>
              <w:t>بند جدول الأعمال:</w:t>
            </w:r>
            <w:r w:rsidR="00546882">
              <w:rPr>
                <w:rFonts w:hint="cs"/>
                <w:b/>
                <w:bCs/>
                <w:rtl/>
              </w:rPr>
              <w:t xml:space="preserve"> </w:t>
            </w:r>
            <w:r w:rsidR="00546882" w:rsidRPr="00C0781D">
              <w:rPr>
                <w:b/>
              </w:rPr>
              <w:t>ADM</w:t>
            </w:r>
            <w:r w:rsidR="00546882">
              <w:rPr>
                <w:b/>
              </w:rPr>
              <w:t xml:space="preserve"> </w:t>
            </w:r>
            <w:r w:rsidR="00546882" w:rsidRPr="00C0781D">
              <w:rPr>
                <w:b/>
              </w:rPr>
              <w:t>1</w:t>
            </w:r>
          </w:p>
        </w:tc>
        <w:tc>
          <w:tcPr>
            <w:tcW w:w="3117" w:type="dxa"/>
          </w:tcPr>
          <w:p w14:paraId="339A15C6" w14:textId="5C866C5E"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546882">
              <w:rPr>
                <w:b/>
                <w:bCs/>
                <w:lang w:bidi="ar-EG"/>
              </w:rPr>
              <w:t>91</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08F0B58E" w:rsidR="007B0AA0" w:rsidRPr="00546882" w:rsidRDefault="00546882" w:rsidP="00F363FE">
            <w:pPr>
              <w:spacing w:before="60" w:after="60" w:line="260" w:lineRule="exact"/>
              <w:rPr>
                <w:b/>
                <w:bCs/>
                <w:lang w:val="en-GB"/>
              </w:rPr>
            </w:pPr>
            <w:r>
              <w:rPr>
                <w:b/>
                <w:bCs/>
                <w:lang w:bidi="ar-EG"/>
              </w:rPr>
              <w:t>14</w:t>
            </w:r>
            <w:r>
              <w:rPr>
                <w:rFonts w:hint="cs"/>
                <w:b/>
                <w:bCs/>
                <w:rtl/>
              </w:rPr>
              <w:t xml:space="preserve"> أبريل </w:t>
            </w:r>
            <w:r>
              <w:rPr>
                <w:b/>
                <w:bCs/>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32A08524" w:rsidR="007B0AA0" w:rsidRPr="007B0AA0" w:rsidRDefault="001D64C7" w:rsidP="00F363FE">
            <w:pPr>
              <w:spacing w:before="60" w:after="60" w:line="260" w:lineRule="exact"/>
              <w:rPr>
                <w:b/>
                <w:bCs/>
                <w:rtl/>
                <w:lang w:bidi="ar-EG"/>
              </w:rPr>
            </w:pPr>
            <w:r w:rsidRPr="007B0AA0">
              <w:rPr>
                <w:rFonts w:hint="cs"/>
                <w:b/>
                <w:bCs/>
                <w:rtl/>
                <w:lang w:bidi="ar-EG"/>
              </w:rPr>
              <w:t xml:space="preserve">الأصل: </w:t>
            </w:r>
            <w:r w:rsidR="00546882">
              <w:rPr>
                <w:rFonts w:hint="cs"/>
                <w:b/>
                <w:bCs/>
                <w:rtl/>
                <w:lang w:bidi="ar-EG"/>
              </w:rPr>
              <w:t>بالروسية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608A4512" w:rsidR="007B0AA0" w:rsidRDefault="00907C67" w:rsidP="007B0AA0">
            <w:pPr>
              <w:pStyle w:val="Source"/>
              <w:jc w:val="left"/>
              <w:rPr>
                <w:lang w:bidi="ar-EG"/>
              </w:rPr>
            </w:pPr>
            <w:r>
              <w:rPr>
                <w:rFonts w:hint="cs"/>
                <w:rtl/>
                <w:lang w:bidi="ar-EG"/>
              </w:rPr>
              <w:t>مساهمة من الاتحاد الروسي</w:t>
            </w:r>
          </w:p>
        </w:tc>
      </w:tr>
      <w:tr w:rsidR="007B0AA0" w14:paraId="07BBDF5C" w14:textId="77777777" w:rsidTr="007B0AA0">
        <w:tc>
          <w:tcPr>
            <w:tcW w:w="9629" w:type="dxa"/>
            <w:gridSpan w:val="2"/>
            <w:tcBorders>
              <w:bottom w:val="single" w:sz="4" w:space="0" w:color="auto"/>
            </w:tcBorders>
          </w:tcPr>
          <w:p w14:paraId="4CEEFF10" w14:textId="1D3B4B82" w:rsidR="007B0AA0" w:rsidRPr="005546CF" w:rsidRDefault="00546882" w:rsidP="007B0AA0">
            <w:pPr>
              <w:pStyle w:val="Subtitle0"/>
              <w:rPr>
                <w:sz w:val="32"/>
                <w:szCs w:val="32"/>
              </w:rPr>
            </w:pPr>
            <w:r w:rsidRPr="00546882">
              <w:rPr>
                <w:sz w:val="32"/>
                <w:szCs w:val="32"/>
                <w:rtl/>
              </w:rPr>
              <w:t>مقترح لتحقيق أمثل توزيع لموارد الاتحاد الدولي للاتصالات ليتماشى بشكل أفضل مع أغراض الاتحاد</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41BDC1EA" w14:textId="7F23A24C" w:rsidR="00546882" w:rsidRDefault="00546882" w:rsidP="00546882">
            <w:pPr>
              <w:rPr>
                <w:rtl/>
              </w:rPr>
            </w:pPr>
            <w:r>
              <w:rPr>
                <w:rtl/>
              </w:rPr>
              <w:t xml:space="preserve">تطور هذه المساهمة أفكاراً سبق أن عرضها الاتحاد الروسي في الوثيقة </w:t>
            </w:r>
            <w:hyperlink r:id="rId8" w:history="1">
              <w:r w:rsidRPr="00546882">
                <w:rPr>
                  <w:rStyle w:val="Hyperlink"/>
                  <w:noProof w:val="0"/>
                  <w:lang w:val="en-US" w:eastAsia="zh-CN"/>
                </w:rPr>
                <w:t>CWG-FHR-22/25</w:t>
              </w:r>
            </w:hyperlink>
            <w:r>
              <w:rPr>
                <w:rtl/>
              </w:rPr>
              <w:t xml:space="preserve"> في الاجتماع الثاني والعشرين لفريق العمل التابع للمجلس والمعني بالموارد المالية والبشرية (</w:t>
            </w:r>
            <w:r>
              <w:t>CWG-FHR</w:t>
            </w:r>
            <w:r>
              <w:rPr>
                <w:rtl/>
              </w:rPr>
              <w:t>) في يناير 2026. وسلطت تلك الوثيقة الضوء على تزايد الإخفاق في توزيع الموارد وفقاً لأغراض الاتحاد، على النحو المنصوص عليه في دستور الاتحاد والصكوك الأساسية الأخرى، حتى مع تراجع بعض الوظائف الأساسية للاتحاد.</w:t>
            </w:r>
          </w:p>
          <w:p w14:paraId="082D99CF" w14:textId="27C4F471" w:rsidR="007B0AA0" w:rsidRDefault="00546882" w:rsidP="00546882">
            <w:pPr>
              <w:rPr>
                <w:rtl/>
              </w:rPr>
            </w:pPr>
            <w:r>
              <w:rPr>
                <w:rtl/>
              </w:rPr>
              <w:t>ويُقترح تنفيذ نهج تمويل متمايز يتضمن استعراضات دورية لضمان توزيع الموارد وفقاً لأغراض الاتحاد.</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287DF16E" w:rsidR="007B0AA0" w:rsidRDefault="00546882" w:rsidP="007B0AA0">
            <w:pPr>
              <w:rPr>
                <w:rtl/>
              </w:rPr>
            </w:pPr>
            <w:r w:rsidRPr="00546882">
              <w:rPr>
                <w:rtl/>
              </w:rPr>
              <w:t xml:space="preserve">يُدعى المجلس إلى </w:t>
            </w:r>
            <w:r w:rsidRPr="00907C67">
              <w:rPr>
                <w:rtl/>
              </w:rPr>
              <w:t>النظر</w:t>
            </w:r>
            <w:r w:rsidRPr="00546882">
              <w:rPr>
                <w:rtl/>
              </w:rPr>
              <w:t xml:space="preserve"> في هذه المساهمة وتقديم أي تعليقات ضرورية.</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2B39766E" w:rsidR="007B0AA0" w:rsidRPr="005546CF" w:rsidRDefault="00546882" w:rsidP="007B0AA0">
            <w:pPr>
              <w:rPr>
                <w:i/>
                <w:iCs/>
                <w:rtl/>
              </w:rPr>
            </w:pPr>
            <w:r w:rsidRPr="00456D39">
              <w:rPr>
                <w:i/>
                <w:iCs/>
                <w:rtl/>
                <w:lang w:bidi="ar-EG"/>
              </w:rPr>
              <w:t xml:space="preserve">مساهمة الاتحاد الروسي </w:t>
            </w:r>
            <w:hyperlink r:id="rId9" w:history="1">
              <w:r w:rsidRPr="00456D39">
                <w:rPr>
                  <w:rStyle w:val="Hyperlink"/>
                  <w:i/>
                  <w:iCs/>
                  <w:noProof w:val="0"/>
                  <w:lang w:val="en-US" w:eastAsia="zh-CN"/>
                </w:rPr>
                <w:t>CWG-FHR-22/25</w:t>
              </w:r>
            </w:hyperlink>
            <w:r w:rsidRPr="00456D39">
              <w:rPr>
                <w:i/>
                <w:iCs/>
                <w:rtl/>
                <w:lang w:bidi="ar-EG"/>
              </w:rPr>
              <w:t xml:space="preserve">؛ ومساهمة </w:t>
            </w:r>
            <w:r w:rsidR="00907C67">
              <w:rPr>
                <w:rFonts w:hint="cs"/>
                <w:i/>
                <w:iCs/>
                <w:rtl/>
                <w:lang w:bidi="ar-EG"/>
              </w:rPr>
              <w:t xml:space="preserve">مقدمة من عدة </w:t>
            </w:r>
            <w:r w:rsidRPr="00456D39">
              <w:rPr>
                <w:i/>
                <w:iCs/>
                <w:rtl/>
                <w:lang w:bidi="ar-EG"/>
              </w:rPr>
              <w:t xml:space="preserve">بلدان (الصين وكوبا والاتحاد الروسي) </w:t>
            </w:r>
            <w:hyperlink r:id="rId10" w:history="1">
              <w:r w:rsidRPr="00456D39">
                <w:rPr>
                  <w:rStyle w:val="Hyperlink"/>
                  <w:i/>
                  <w:iCs/>
                  <w:noProof w:val="0"/>
                  <w:lang w:val="en-US" w:eastAsia="zh-CN" w:bidi="ar-EG"/>
                </w:rPr>
                <w:t>C25/86</w:t>
              </w:r>
            </w:hyperlink>
            <w:r w:rsidRPr="00456D39">
              <w:rPr>
                <w:i/>
                <w:iCs/>
                <w:rtl/>
                <w:lang w:bidi="ar-EG"/>
              </w:rPr>
              <w:t xml:space="preserve">؛ وتقرير الرئيس عن أعمال الاجتماع الثاني والعشرين لفريق العمل </w:t>
            </w:r>
            <w:r w:rsidRPr="00456D39">
              <w:rPr>
                <w:i/>
                <w:iCs/>
              </w:rPr>
              <w:t>CWG-FHR</w:t>
            </w:r>
            <w:r w:rsidRPr="00456D39">
              <w:rPr>
                <w:i/>
                <w:iCs/>
                <w:rtl/>
                <w:lang w:bidi="ar-EG"/>
              </w:rPr>
              <w:t xml:space="preserve"> </w:t>
            </w:r>
            <w:hyperlink r:id="rId11" w:history="1">
              <w:r w:rsidRPr="00456D39">
                <w:rPr>
                  <w:rStyle w:val="Hyperlink"/>
                  <w:rFonts w:eastAsia="Times New Roman"/>
                  <w:i/>
                  <w:iCs/>
                </w:rPr>
                <w:t>CWG-FHR-22/36</w:t>
              </w:r>
            </w:hyperlink>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3F288C02" w14:textId="77777777" w:rsidR="00546882" w:rsidRPr="00546882" w:rsidRDefault="00546882" w:rsidP="00546882">
      <w:pPr>
        <w:pStyle w:val="Heading1"/>
        <w:rPr>
          <w:rtl/>
          <w:lang w:bidi="ar-EG"/>
        </w:rPr>
      </w:pPr>
      <w:r w:rsidRPr="00546882">
        <w:rPr>
          <w:rtl/>
          <w:lang w:bidi="ar-EG"/>
        </w:rPr>
        <w:lastRenderedPageBreak/>
        <w:t>1</w:t>
      </w:r>
      <w:r w:rsidRPr="00546882">
        <w:rPr>
          <w:rtl/>
          <w:lang w:bidi="ar-EG"/>
        </w:rPr>
        <w:tab/>
        <w:t>مقدمة</w:t>
      </w:r>
    </w:p>
    <w:p w14:paraId="119010A8" w14:textId="77777777" w:rsidR="00546882" w:rsidRPr="00546882" w:rsidRDefault="00546882" w:rsidP="00546882">
      <w:pPr>
        <w:rPr>
          <w:rtl/>
          <w:lang w:bidi="ar-EG"/>
        </w:rPr>
      </w:pPr>
      <w:r w:rsidRPr="00546882">
        <w:rPr>
          <w:rtl/>
          <w:lang w:bidi="ar-EG"/>
        </w:rPr>
        <w:t xml:space="preserve">في الوثيقة </w:t>
      </w:r>
      <w:hyperlink r:id="rId12" w:history="1">
        <w:r w:rsidRPr="00546882">
          <w:rPr>
            <w:rStyle w:val="Hyperlink"/>
            <w:lang w:val="en-US" w:eastAsia="zh-CN"/>
          </w:rPr>
          <w:t>CWG-FHR-22/25</w:t>
        </w:r>
      </w:hyperlink>
      <w:r w:rsidRPr="00546882">
        <w:rPr>
          <w:rtl/>
          <w:lang w:bidi="ar-EG"/>
        </w:rPr>
        <w:t>، دعا الاتحاد الروسي إلى إجراء تقييم واستعراض شاملين لبرامج عمل الاتحاد لتحديد مدى توافقها مع أغراض الاتحاد، بهدف تمويل الأنشطة الأساسية تمويلاً كاملاً.</w:t>
      </w:r>
    </w:p>
    <w:p w14:paraId="5EDBAE08" w14:textId="77777777" w:rsidR="00546882" w:rsidRPr="00546882" w:rsidRDefault="00546882" w:rsidP="00546882">
      <w:pPr>
        <w:rPr>
          <w:rtl/>
          <w:lang w:bidi="ar-EG"/>
        </w:rPr>
      </w:pPr>
      <w:r w:rsidRPr="00546882">
        <w:rPr>
          <w:rtl/>
          <w:lang w:bidi="ar-EG"/>
        </w:rPr>
        <w:t xml:space="preserve">ويرد أدناه ملخص مقتضب لتعليقات المشاركين في الاجتماع الثاني والعشرين لفريق العمل </w:t>
      </w:r>
      <w:r w:rsidRPr="00546882">
        <w:rPr>
          <w:lang w:bidi="ar-EG"/>
        </w:rPr>
        <w:t>CWG-FHR</w:t>
      </w:r>
      <w:r w:rsidRPr="00546882">
        <w:rPr>
          <w:rtl/>
          <w:lang w:bidi="ar-EG"/>
        </w:rPr>
        <w:t>، على النحو الذي ينعكس في تقرير رئيسه.</w:t>
      </w:r>
    </w:p>
    <w:p w14:paraId="2CB0612B" w14:textId="77777777" w:rsidR="00546882" w:rsidRPr="00546882" w:rsidRDefault="00546882" w:rsidP="00546882">
      <w:pPr>
        <w:rPr>
          <w:rtl/>
          <w:lang w:bidi="ar-EG"/>
        </w:rPr>
      </w:pPr>
      <w:r w:rsidRPr="00546882">
        <w:rPr>
          <w:rtl/>
          <w:lang w:bidi="ar-EG"/>
        </w:rPr>
        <w:t>واتفق عدد من المندوبين على ضرورة مواصلة توضيح الأغراض الأساسية للاتحاد بشكل أكبر من أجل إعطاء الأولوية للأنشطة التي تتوافق مع دستور الاتحاد واتفاقيته. ودعموا مواصلة دراسة إدخال فترات لصلاحية القرارات التي يعتمدها مؤتمر المندوبين المفوضين، شريطة وجود معايير واضحة للتمييز بين الأنشطة "الأساسية" و"غير الأساسية". وطلب المندوبون مزيداً من المعلومات عن الآلية التي ستُستخدم لإجراء الاستعراضات المقرر إجراؤها كل أربع سنوات.</w:t>
      </w:r>
    </w:p>
    <w:p w14:paraId="058C768E" w14:textId="77777777" w:rsidR="00546882" w:rsidRPr="00546882" w:rsidRDefault="00546882" w:rsidP="00546882">
      <w:pPr>
        <w:rPr>
          <w:rtl/>
          <w:lang w:bidi="ar-EG"/>
        </w:rPr>
      </w:pPr>
      <w:r w:rsidRPr="00546882">
        <w:rPr>
          <w:rtl/>
          <w:lang w:bidi="ar-EG"/>
        </w:rPr>
        <w:t>وسلط مندوبون آخرون الضوء على مساهمة الاتحاد في مجالات مثل تغير المناخ، والمساواة بين الجنسين، والأخلاقيات في مجال الذكاء الاصطناعي، والطب عن بُعد، والتعليم عن بُعد، مشيرين إلى فوائد التعاون داخل منظومة الأمم المتحدة.</w:t>
      </w:r>
    </w:p>
    <w:p w14:paraId="78ACE772" w14:textId="4A020A02" w:rsidR="00546882" w:rsidRPr="00546882" w:rsidRDefault="00546882" w:rsidP="00546882">
      <w:pPr>
        <w:rPr>
          <w:rtl/>
          <w:lang w:bidi="ar-EG"/>
        </w:rPr>
      </w:pPr>
      <w:r w:rsidRPr="00546882">
        <w:rPr>
          <w:rtl/>
          <w:lang w:bidi="ar-EG"/>
        </w:rPr>
        <w:t>ويقر الاتحاد الروسي بضرورة مراعاة التغيرات المستمرة في مجال الاتصالات/تكنولوجيا المعلومات والاتصالات</w:t>
      </w:r>
      <w:r w:rsidR="00F20FAD">
        <w:rPr>
          <w:rFonts w:hint="cs"/>
          <w:rtl/>
          <w:lang w:bidi="ar-EG"/>
        </w:rPr>
        <w:t xml:space="preserve"> </w:t>
      </w:r>
      <w:r w:rsidR="00F20FAD">
        <w:rPr>
          <w:lang w:val="en-GB" w:bidi="ar-EG"/>
        </w:rPr>
        <w:t>(ICT)</w:t>
      </w:r>
      <w:r w:rsidRPr="00546882">
        <w:rPr>
          <w:rtl/>
          <w:lang w:bidi="ar-EG"/>
        </w:rPr>
        <w:t>، بما في ذلك الرقمنة، عند تحديد أهداف جديدة للاتحاد. ومع ذلك، يبقى من المقلق أن يؤدي توسع نطاق مهام الاتحاد ليشمل مواضيع هامشية إلى عجز في الموارد، في حين أن الوظائف الأساسية، مثل تنسيق الطيف ووضع المعايير، تحتاج إلى دعم مستمر للتغلب على التحديات المتراكمة.</w:t>
      </w:r>
      <w:r w:rsidRPr="00546882">
        <w:rPr>
          <w:rStyle w:val="FootnoteReference"/>
          <w:rtl/>
        </w:rPr>
        <w:footnoteReference w:id="1"/>
      </w:r>
    </w:p>
    <w:p w14:paraId="1C37F3A8" w14:textId="77777777" w:rsidR="00546882" w:rsidRPr="00C579C8" w:rsidRDefault="00546882" w:rsidP="00546882">
      <w:pPr>
        <w:pStyle w:val="Heading1"/>
        <w:rPr>
          <w:rtl/>
          <w:lang w:bidi="ar-EG"/>
        </w:rPr>
      </w:pPr>
      <w:r w:rsidRPr="00C579C8">
        <w:rPr>
          <w:rFonts w:hint="cs"/>
          <w:rtl/>
          <w:lang w:bidi="ar-EG"/>
        </w:rPr>
        <w:t>2</w:t>
      </w:r>
      <w:r w:rsidRPr="00C579C8">
        <w:rPr>
          <w:rtl/>
          <w:lang w:bidi="ar-EG"/>
        </w:rPr>
        <w:tab/>
        <w:t>أسباب عدم توزيع الموارد وفقاً للاحتياجات الفعلية</w:t>
      </w:r>
    </w:p>
    <w:p w14:paraId="298B3598" w14:textId="77777777" w:rsidR="00546882" w:rsidRPr="00546882" w:rsidRDefault="00546882" w:rsidP="00546882">
      <w:pPr>
        <w:rPr>
          <w:rtl/>
          <w:lang w:bidi="ar-EG"/>
        </w:rPr>
      </w:pPr>
      <w:r w:rsidRPr="00546882">
        <w:rPr>
          <w:rtl/>
          <w:lang w:bidi="ar-EG"/>
        </w:rPr>
        <w:t>تُسنِد القرارات الجديدة التي يعتمدها مؤتمر المندوبين المفوضين ومؤتمرات/جمعيات قطاعات الاتحاد أهدافاً إضافية للاتحاد لا ترتبط ارتباطاً مباشراً بأغراضه على النحو المحدد في الدستور. وغالباً ما تتناول هذه القرارات مجالات تُستخدم فيها تكنولوجيا المعلومات والاتصالات كأدوات، ولكن قضايا السياسات تقع ضمن اختصاص وكالات أخرى تابعة للأمم المتحدة. وفي الأصل، تتمتع جميع القرارات بنفس المكانة.</w:t>
      </w:r>
    </w:p>
    <w:p w14:paraId="5C93DF95" w14:textId="77777777" w:rsidR="00546882" w:rsidRDefault="00546882" w:rsidP="00546882">
      <w:pPr>
        <w:rPr>
          <w:rtl/>
          <w:lang w:bidi="ar-EG"/>
        </w:rPr>
      </w:pPr>
      <w:r>
        <w:rPr>
          <w:rFonts w:hint="cs"/>
          <w:rtl/>
          <w:lang w:bidi="ar-EG"/>
        </w:rPr>
        <w:t>وي</w:t>
      </w:r>
      <w:r>
        <w:rPr>
          <w:rtl/>
          <w:lang w:bidi="ar-EG"/>
        </w:rPr>
        <w:t xml:space="preserve">ؤكد الاتحاد الروسي أن الدور الفريد للاتحاد، </w:t>
      </w:r>
      <w:r>
        <w:rPr>
          <w:rFonts w:hint="cs"/>
          <w:rtl/>
          <w:lang w:bidi="ar-EG"/>
        </w:rPr>
        <w:t>على النحو ال</w:t>
      </w:r>
      <w:r>
        <w:rPr>
          <w:rtl/>
          <w:lang w:bidi="ar-EG"/>
        </w:rPr>
        <w:t>منصوص عليه في المادة 1 من الدستور، ينبغي أن يركز على ما يلي:</w:t>
      </w:r>
    </w:p>
    <w:p w14:paraId="2FF54F64" w14:textId="0EAABA72" w:rsidR="00546882" w:rsidRDefault="00546882" w:rsidP="00546882">
      <w:pPr>
        <w:pStyle w:val="enumlev1"/>
        <w:rPr>
          <w:rtl/>
        </w:rPr>
      </w:pPr>
      <w:r>
        <w:rPr>
          <w:rFonts w:cs="Calibri" w:hint="cs"/>
          <w:rtl/>
          <w:lang w:val="en-GB"/>
        </w:rPr>
        <w:t>-</w:t>
      </w:r>
      <w:r>
        <w:rPr>
          <w:rtl/>
        </w:rPr>
        <w:tab/>
      </w:r>
      <w:r>
        <w:rPr>
          <w:rFonts w:hint="cs"/>
          <w:rtl/>
        </w:rPr>
        <w:t>توزيع</w:t>
      </w:r>
      <w:r>
        <w:rPr>
          <w:rtl/>
        </w:rPr>
        <w:t xml:space="preserve"> طيف الترددات الراديوية، </w:t>
      </w:r>
      <w:r>
        <w:rPr>
          <w:rFonts w:hint="cs"/>
          <w:rtl/>
        </w:rPr>
        <w:t>وتعيين</w:t>
      </w:r>
      <w:r>
        <w:rPr>
          <w:rtl/>
        </w:rPr>
        <w:t xml:space="preserve"> الترددات الراديوية، وتسجيل تخصيصات الترددات الراديوية، وبالنسبة ل</w:t>
      </w:r>
      <w:r>
        <w:rPr>
          <w:rFonts w:hint="cs"/>
          <w:rtl/>
        </w:rPr>
        <w:t>ل</w:t>
      </w:r>
      <w:r>
        <w:rPr>
          <w:rtl/>
        </w:rPr>
        <w:t>خدمات الفضا</w:t>
      </w:r>
      <w:r>
        <w:rPr>
          <w:rFonts w:hint="cs"/>
          <w:rtl/>
        </w:rPr>
        <w:t>ئية</w:t>
      </w:r>
      <w:r>
        <w:rPr>
          <w:rtl/>
        </w:rPr>
        <w:t xml:space="preserve">، الموقع المداري للسواتل </w:t>
      </w:r>
      <w:r>
        <w:rPr>
          <w:rFonts w:hint="cs"/>
          <w:rtl/>
        </w:rPr>
        <w:t>المستقرة</w:t>
      </w:r>
      <w:r>
        <w:rPr>
          <w:rtl/>
        </w:rPr>
        <w:t xml:space="preserve"> بالنسبة </w:t>
      </w:r>
      <w:r>
        <w:rPr>
          <w:rFonts w:hint="cs"/>
          <w:rtl/>
        </w:rPr>
        <w:t>إلى ا</w:t>
      </w:r>
      <w:r>
        <w:rPr>
          <w:rtl/>
        </w:rPr>
        <w:t>لأرض أو الخصائص المرتبطة بها للسواتل في مدارات أخرى؛</w:t>
      </w:r>
    </w:p>
    <w:p w14:paraId="70F37742" w14:textId="423F2576" w:rsidR="00546882" w:rsidRDefault="00546882" w:rsidP="00546882">
      <w:pPr>
        <w:pStyle w:val="enumlev1"/>
        <w:rPr>
          <w:rtl/>
        </w:rPr>
      </w:pPr>
      <w:r>
        <w:rPr>
          <w:rFonts w:cs="Calibri" w:hint="cs"/>
          <w:rtl/>
          <w:lang w:val="en-GB"/>
        </w:rPr>
        <w:t>-</w:t>
      </w:r>
      <w:r>
        <w:rPr>
          <w:rtl/>
        </w:rPr>
        <w:tab/>
      </w:r>
      <w:r>
        <w:rPr>
          <w:rFonts w:hint="cs"/>
          <w:rtl/>
        </w:rPr>
        <w:t>تقييس</w:t>
      </w:r>
      <w:r>
        <w:rPr>
          <w:rtl/>
        </w:rPr>
        <w:t xml:space="preserve"> الاتصالات/تكنولوجيا المعلومات والاتصالات على مستوى العالم؛</w:t>
      </w:r>
    </w:p>
    <w:p w14:paraId="47330734" w14:textId="0E166D6E" w:rsidR="00546882" w:rsidRDefault="00546882" w:rsidP="00546882">
      <w:pPr>
        <w:pStyle w:val="enumlev1"/>
        <w:rPr>
          <w:rtl/>
        </w:rPr>
      </w:pPr>
      <w:r>
        <w:rPr>
          <w:rFonts w:cs="Calibri" w:hint="cs"/>
          <w:rtl/>
          <w:lang w:val="en-GB"/>
        </w:rPr>
        <w:t>-</w:t>
      </w:r>
      <w:r>
        <w:rPr>
          <w:rtl/>
        </w:rPr>
        <w:tab/>
      </w:r>
      <w:r>
        <w:rPr>
          <w:rFonts w:hint="cs"/>
          <w:rtl/>
        </w:rPr>
        <w:t>توزيع</w:t>
      </w:r>
      <w:r>
        <w:rPr>
          <w:rtl/>
        </w:rPr>
        <w:t xml:space="preserve"> موارد الترقيم والتسمية والعنونة </w:t>
      </w:r>
      <w:r w:rsidRPr="002E2AD4">
        <w:rPr>
          <w:rtl/>
        </w:rPr>
        <w:t xml:space="preserve">وتعرّف الهوية </w:t>
      </w:r>
      <w:r>
        <w:rPr>
          <w:rtl/>
        </w:rPr>
        <w:t>(</w:t>
      </w:r>
      <w:r>
        <w:t>NNAI</w:t>
      </w:r>
      <w:r>
        <w:rPr>
          <w:rtl/>
        </w:rPr>
        <w:t>)؛</w:t>
      </w:r>
    </w:p>
    <w:p w14:paraId="0BA822D8" w14:textId="23D9EE42" w:rsidR="00546882" w:rsidRDefault="00546882" w:rsidP="00546882">
      <w:pPr>
        <w:pStyle w:val="enumlev1"/>
        <w:rPr>
          <w:rtl/>
        </w:rPr>
      </w:pPr>
      <w:r>
        <w:rPr>
          <w:rFonts w:cs="Calibri" w:hint="cs"/>
          <w:rtl/>
          <w:lang w:val="en-GB"/>
        </w:rPr>
        <w:t>-</w:t>
      </w:r>
      <w:r>
        <w:rPr>
          <w:rtl/>
        </w:rPr>
        <w:tab/>
        <w:t xml:space="preserve">تقديم المساعدة التقنية </w:t>
      </w:r>
      <w:r>
        <w:rPr>
          <w:rFonts w:hint="cs"/>
          <w:rtl/>
        </w:rPr>
        <w:t>للبلدان</w:t>
      </w:r>
      <w:r>
        <w:rPr>
          <w:rtl/>
        </w:rPr>
        <w:t xml:space="preserve"> النامية؛</w:t>
      </w:r>
    </w:p>
    <w:p w14:paraId="4C4D80D9" w14:textId="6F547C85" w:rsidR="00546882" w:rsidRDefault="00546882" w:rsidP="00546882">
      <w:pPr>
        <w:pStyle w:val="enumlev1"/>
        <w:rPr>
          <w:rtl/>
        </w:rPr>
      </w:pPr>
      <w:r>
        <w:rPr>
          <w:rFonts w:cs="Calibri" w:hint="cs"/>
          <w:rtl/>
          <w:lang w:val="en-GB"/>
        </w:rPr>
        <w:t>-</w:t>
      </w:r>
      <w:r>
        <w:rPr>
          <w:rtl/>
        </w:rPr>
        <w:tab/>
        <w:t xml:space="preserve">تهيئة بيئة تنظيمية </w:t>
      </w:r>
      <w:r>
        <w:rPr>
          <w:rFonts w:hint="cs"/>
          <w:rtl/>
        </w:rPr>
        <w:t>تمكينية</w:t>
      </w:r>
      <w:r>
        <w:rPr>
          <w:rtl/>
        </w:rPr>
        <w:t xml:space="preserve"> لتطوير تكنولوجيا المعلومات والاتصالات؛</w:t>
      </w:r>
    </w:p>
    <w:p w14:paraId="5454F081" w14:textId="6CF025E2" w:rsidR="00546882" w:rsidRDefault="00546882" w:rsidP="00546882">
      <w:pPr>
        <w:pStyle w:val="enumlev1"/>
        <w:rPr>
          <w:rtl/>
        </w:rPr>
      </w:pPr>
      <w:r>
        <w:rPr>
          <w:rFonts w:cs="Calibri" w:hint="cs"/>
          <w:rtl/>
          <w:lang w:val="en-GB"/>
        </w:rPr>
        <w:t>-</w:t>
      </w:r>
      <w:r>
        <w:rPr>
          <w:rtl/>
        </w:rPr>
        <w:tab/>
      </w:r>
      <w:r>
        <w:rPr>
          <w:rFonts w:hint="cs"/>
          <w:rtl/>
        </w:rPr>
        <w:t>ت</w:t>
      </w:r>
      <w:r>
        <w:rPr>
          <w:rtl/>
        </w:rPr>
        <w:t>عزيز تعميم فوائد التكنولوجيات الجديدة على الجميع؛</w:t>
      </w:r>
    </w:p>
    <w:p w14:paraId="599B5F60" w14:textId="5CF74BD8" w:rsidR="00546882" w:rsidRDefault="00546882" w:rsidP="00546882">
      <w:pPr>
        <w:pStyle w:val="enumlev1"/>
        <w:rPr>
          <w:rtl/>
        </w:rPr>
      </w:pPr>
      <w:r>
        <w:rPr>
          <w:rFonts w:cs="Calibri" w:hint="cs"/>
          <w:rtl/>
          <w:lang w:val="en-GB"/>
        </w:rPr>
        <w:t>-</w:t>
      </w:r>
      <w:r>
        <w:rPr>
          <w:rtl/>
        </w:rPr>
        <w:tab/>
        <w:t>التنسيق بين الدول الأعضاء.</w:t>
      </w:r>
    </w:p>
    <w:p w14:paraId="38A6CFE6" w14:textId="77777777" w:rsidR="00546882" w:rsidRPr="00546882" w:rsidRDefault="00546882" w:rsidP="00546882">
      <w:pPr>
        <w:rPr>
          <w:rtl/>
          <w:lang w:bidi="ar-EG"/>
        </w:rPr>
      </w:pPr>
      <w:r w:rsidRPr="00546882">
        <w:rPr>
          <w:rtl/>
          <w:lang w:bidi="ar-EG"/>
        </w:rPr>
        <w:t>وتُحدد أغراض الاتحاد في اللوائح الإدارية للاتحاد (لوائح الراديو ولوائح الاتصالات الدولية)، وهي معاهدات دولية ملزمة.</w:t>
      </w:r>
    </w:p>
    <w:p w14:paraId="72828537" w14:textId="77777777" w:rsidR="00546882" w:rsidRPr="00546882" w:rsidRDefault="00546882" w:rsidP="00546882">
      <w:pPr>
        <w:pStyle w:val="Heading1"/>
        <w:rPr>
          <w:rtl/>
          <w:lang w:bidi="ar-EG"/>
        </w:rPr>
      </w:pPr>
      <w:r w:rsidRPr="00546882">
        <w:rPr>
          <w:rtl/>
          <w:lang w:bidi="ar-EG"/>
        </w:rPr>
        <w:lastRenderedPageBreak/>
        <w:t>3</w:t>
      </w:r>
      <w:r w:rsidRPr="00546882">
        <w:rPr>
          <w:rtl/>
          <w:lang w:bidi="ar-EG"/>
        </w:rPr>
        <w:tab/>
        <w:t>آلية التنفيذ المقترحة</w:t>
      </w:r>
    </w:p>
    <w:p w14:paraId="143D86F2" w14:textId="77777777" w:rsidR="00546882" w:rsidRPr="00546882" w:rsidRDefault="00546882" w:rsidP="00546882">
      <w:pPr>
        <w:rPr>
          <w:rtl/>
          <w:lang w:bidi="ar-EG"/>
        </w:rPr>
      </w:pPr>
      <w:r w:rsidRPr="00546882">
        <w:rPr>
          <w:b/>
          <w:bCs/>
          <w:rtl/>
          <w:lang w:bidi="ar-EG"/>
        </w:rPr>
        <w:t>المرحلة 1:</w:t>
      </w:r>
      <w:r w:rsidRPr="00546882">
        <w:rPr>
          <w:rtl/>
          <w:lang w:bidi="ar-EG"/>
        </w:rPr>
        <w:t xml:space="preserve"> الاستعراض التجريبي (من البداية إلى الشهر 6)</w:t>
      </w:r>
    </w:p>
    <w:p w14:paraId="176E9E0D" w14:textId="77777777" w:rsidR="00546882" w:rsidRPr="00546882" w:rsidRDefault="00546882" w:rsidP="00546882">
      <w:pPr>
        <w:rPr>
          <w:rtl/>
          <w:lang w:bidi="ar-EG"/>
        </w:rPr>
      </w:pPr>
      <w:r w:rsidRPr="00546882">
        <w:rPr>
          <w:rtl/>
          <w:lang w:bidi="ar-EG"/>
        </w:rPr>
        <w:t>يُقترح أن ينشئ مؤتمر المندوبين المفوضين لعام 2026 فريق عمل مؤقتاً رفيع المستوى من الخبراء لتحديد كيفية توزيع الموارد وفقاً لأغراض الاتحاد، يتألف من:</w:t>
      </w:r>
    </w:p>
    <w:p w14:paraId="09B20BAD" w14:textId="2730D878" w:rsidR="00546882" w:rsidRPr="00546882" w:rsidRDefault="00546882" w:rsidP="00546882">
      <w:pPr>
        <w:pStyle w:val="enumlev1"/>
        <w:rPr>
          <w:rtl/>
        </w:rPr>
      </w:pPr>
      <w:r>
        <w:rPr>
          <w:rFonts w:hint="cs"/>
          <w:rtl/>
          <w:lang w:val="en-GB"/>
        </w:rPr>
        <w:t>-</w:t>
      </w:r>
      <w:r w:rsidRPr="00546882">
        <w:rPr>
          <w:rtl/>
        </w:rPr>
        <w:tab/>
        <w:t>ممثلين عن 12 دولة عضواً (بتوزيع جغرافي متساو)؛</w:t>
      </w:r>
    </w:p>
    <w:p w14:paraId="0E76B31C" w14:textId="6ADC3E92" w:rsidR="00546882" w:rsidRPr="00546882" w:rsidRDefault="00546882" w:rsidP="00546882">
      <w:pPr>
        <w:pStyle w:val="enumlev1"/>
        <w:rPr>
          <w:rtl/>
        </w:rPr>
      </w:pPr>
      <w:r>
        <w:rPr>
          <w:rFonts w:hint="cs"/>
          <w:rtl/>
          <w:lang w:val="en-GB"/>
        </w:rPr>
        <w:t>-</w:t>
      </w:r>
      <w:r w:rsidRPr="00546882">
        <w:rPr>
          <w:rtl/>
        </w:rPr>
        <w:tab/>
        <w:t>ممثلين من أعضاء القطاعات الثلاثة (شركات خاصة، واحدة لكل قطاع)؛</w:t>
      </w:r>
    </w:p>
    <w:p w14:paraId="7AC1E2AE" w14:textId="7CDEA487" w:rsidR="00546882" w:rsidRPr="00546882" w:rsidRDefault="00546882" w:rsidP="00546882">
      <w:pPr>
        <w:pStyle w:val="enumlev1"/>
        <w:rPr>
          <w:rtl/>
        </w:rPr>
      </w:pPr>
      <w:r>
        <w:rPr>
          <w:rFonts w:hint="cs"/>
          <w:rtl/>
          <w:lang w:val="en-GB"/>
        </w:rPr>
        <w:t>-</w:t>
      </w:r>
      <w:r w:rsidRPr="00546882">
        <w:rPr>
          <w:rtl/>
        </w:rPr>
        <w:tab/>
        <w:t>ممثل واحد عن وحدة التفتيش المشتركة التابعة لمنظومة الأمم المتحدة</w:t>
      </w:r>
      <w:r>
        <w:rPr>
          <w:rFonts w:hint="cs"/>
          <w:rtl/>
          <w:lang w:bidi="ar-SA"/>
        </w:rPr>
        <w:t xml:space="preserve"> </w:t>
      </w:r>
      <w:r>
        <w:rPr>
          <w:lang w:val="en-GB" w:bidi="ar-SA"/>
        </w:rPr>
        <w:t>(JIU)</w:t>
      </w:r>
      <w:r w:rsidRPr="00546882">
        <w:rPr>
          <w:rtl/>
        </w:rPr>
        <w:t>؛</w:t>
      </w:r>
    </w:p>
    <w:p w14:paraId="7B221F2C" w14:textId="4E26B15B" w:rsidR="00546882" w:rsidRPr="00546882" w:rsidRDefault="00546882" w:rsidP="00546882">
      <w:pPr>
        <w:pStyle w:val="enumlev1"/>
        <w:rPr>
          <w:rtl/>
        </w:rPr>
      </w:pPr>
      <w:r>
        <w:rPr>
          <w:rFonts w:hint="cs"/>
          <w:rtl/>
          <w:lang w:val="en-GB"/>
        </w:rPr>
        <w:t>-</w:t>
      </w:r>
      <w:r w:rsidRPr="00546882">
        <w:rPr>
          <w:rtl/>
        </w:rPr>
        <w:tab/>
        <w:t>أمين تنفيذي من الأمانة العامة للاتحاد.</w:t>
      </w:r>
    </w:p>
    <w:p w14:paraId="6712E5D3" w14:textId="77777777" w:rsidR="00546882" w:rsidRPr="00546882" w:rsidRDefault="00546882" w:rsidP="00546882">
      <w:pPr>
        <w:rPr>
          <w:rtl/>
          <w:lang w:bidi="ar-EG"/>
        </w:rPr>
      </w:pPr>
      <w:r w:rsidRPr="00546882">
        <w:rPr>
          <w:rtl/>
          <w:lang w:bidi="ar-EG"/>
        </w:rPr>
        <w:t>وتشمل اختصاصات الفريق التوجيهي (فريق الخبراء رفيع المستوى) ما يلي:</w:t>
      </w:r>
    </w:p>
    <w:p w14:paraId="5B07BFD2" w14:textId="2A773984" w:rsidR="00546882" w:rsidRPr="00546882" w:rsidRDefault="00546882" w:rsidP="00546882">
      <w:pPr>
        <w:pStyle w:val="enumlev1"/>
        <w:rPr>
          <w:rtl/>
        </w:rPr>
      </w:pPr>
      <w:r>
        <w:rPr>
          <w:rFonts w:hint="cs"/>
          <w:rtl/>
          <w:lang w:val="en-GB"/>
        </w:rPr>
        <w:t>-</w:t>
      </w:r>
      <w:r w:rsidRPr="00546882">
        <w:rPr>
          <w:rtl/>
        </w:rPr>
        <w:tab/>
        <w:t>وضع منهجية تقييم موحدة استناداً إلى الملحق 1 لهذه الوثيقة؛</w:t>
      </w:r>
    </w:p>
    <w:p w14:paraId="5356B1E8" w14:textId="2E1E83A4" w:rsidR="00546882" w:rsidRPr="00546882" w:rsidRDefault="00546882" w:rsidP="00546882">
      <w:pPr>
        <w:pStyle w:val="enumlev1"/>
        <w:rPr>
          <w:rtl/>
        </w:rPr>
      </w:pPr>
      <w:r>
        <w:rPr>
          <w:rFonts w:hint="cs"/>
          <w:rtl/>
          <w:lang w:val="en-GB"/>
        </w:rPr>
        <w:t>-</w:t>
      </w:r>
      <w:r w:rsidRPr="00546882">
        <w:rPr>
          <w:rtl/>
        </w:rPr>
        <w:tab/>
        <w:t>اختيار من ثلاثة إلى خمسة أهداف تمثيلية للاتحاد للاستعراض التجريبي؛</w:t>
      </w:r>
    </w:p>
    <w:p w14:paraId="3FF3EA39" w14:textId="7C171680" w:rsidR="00546882" w:rsidRPr="00546882" w:rsidRDefault="00546882" w:rsidP="00546882">
      <w:pPr>
        <w:pStyle w:val="enumlev1"/>
        <w:rPr>
          <w:rtl/>
        </w:rPr>
      </w:pPr>
      <w:r>
        <w:rPr>
          <w:rFonts w:hint="cs"/>
          <w:rtl/>
          <w:lang w:val="en-GB"/>
        </w:rPr>
        <w:t>-</w:t>
      </w:r>
      <w:r w:rsidRPr="00546882">
        <w:rPr>
          <w:rtl/>
        </w:rPr>
        <w:tab/>
        <w:t>تقديم تقرير عن توصيات المنهجية إلى المجلس في دورته لعام 2027.</w:t>
      </w:r>
    </w:p>
    <w:p w14:paraId="0B6D577D" w14:textId="77777777" w:rsidR="00546882" w:rsidRPr="00546882" w:rsidRDefault="00546882" w:rsidP="00546882">
      <w:pPr>
        <w:rPr>
          <w:rtl/>
          <w:lang w:bidi="ar-EG"/>
        </w:rPr>
      </w:pPr>
      <w:r w:rsidRPr="00546882">
        <w:rPr>
          <w:b/>
          <w:bCs/>
          <w:rtl/>
          <w:lang w:bidi="ar-EG"/>
        </w:rPr>
        <w:t>المرحلة 2:</w:t>
      </w:r>
      <w:r w:rsidRPr="00546882">
        <w:rPr>
          <w:rtl/>
          <w:lang w:bidi="ar-EG"/>
        </w:rPr>
        <w:t xml:space="preserve"> الاستعراض المستقل (من الشهر 7 إلى 18)</w:t>
      </w:r>
    </w:p>
    <w:p w14:paraId="7CC21486" w14:textId="77777777" w:rsidR="00546882" w:rsidRPr="00546882" w:rsidRDefault="00546882" w:rsidP="00546882">
      <w:pPr>
        <w:rPr>
          <w:rtl/>
          <w:lang w:bidi="ar-EG"/>
        </w:rPr>
      </w:pPr>
      <w:r w:rsidRPr="00546882">
        <w:rPr>
          <w:rtl/>
          <w:lang w:bidi="ar-EG"/>
        </w:rPr>
        <w:t>يأذن المجلس في دورته لعام 2027 بإجراء استعراض شامل ومستقل لجميع أنشطة الاتحاد المزمع إسنادها إلى كيان خارجي (مثل وحدة التفتيش المشتركة أو استشاريين متخصصين).</w:t>
      </w:r>
    </w:p>
    <w:p w14:paraId="3C9A48C6" w14:textId="77777777" w:rsidR="00546882" w:rsidRPr="00546882" w:rsidRDefault="00546882" w:rsidP="00546882">
      <w:pPr>
        <w:rPr>
          <w:rtl/>
          <w:lang w:bidi="ar-EG"/>
        </w:rPr>
      </w:pPr>
      <w:r w:rsidRPr="00546882">
        <w:rPr>
          <w:rtl/>
          <w:lang w:bidi="ar-EG"/>
        </w:rPr>
        <w:t>ويُطبق الاستعراض نظام تصنيف من طبقات (من المستوى 1 إلى المستوى 4) ويقيم جميع الأنشطة مقابل المعايير الواردة في الملحق 1.</w:t>
      </w:r>
    </w:p>
    <w:p w14:paraId="05E6A395" w14:textId="77777777" w:rsidR="00546882" w:rsidRPr="00546882" w:rsidRDefault="00546882" w:rsidP="00546882">
      <w:pPr>
        <w:rPr>
          <w:rtl/>
        </w:rPr>
      </w:pPr>
      <w:r w:rsidRPr="00546882">
        <w:rPr>
          <w:rtl/>
        </w:rPr>
        <w:t>المخرجات:</w:t>
      </w:r>
    </w:p>
    <w:p w14:paraId="7C1E41D3" w14:textId="333EF8E5" w:rsidR="00546882" w:rsidRPr="00546882" w:rsidRDefault="00546882" w:rsidP="00546882">
      <w:pPr>
        <w:pStyle w:val="enumlev1"/>
        <w:rPr>
          <w:rtl/>
        </w:rPr>
      </w:pPr>
      <w:r w:rsidRPr="00546882">
        <w:rPr>
          <w:rtl/>
          <w:lang w:bidi="ar-EG"/>
        </w:rPr>
        <w:t>-</w:t>
      </w:r>
      <w:r w:rsidRPr="00546882">
        <w:rPr>
          <w:rtl/>
        </w:rPr>
        <w:tab/>
        <w:t>لوحة معلومات عامة لرصد توزيع الموارد وفقاً لأغراض الاتحاد (حسب النشاط، والميزانية، والموظفين)؛</w:t>
      </w:r>
    </w:p>
    <w:p w14:paraId="2FD02C6C" w14:textId="3A3E5C8F" w:rsidR="00546882" w:rsidRPr="00546882" w:rsidRDefault="00546882" w:rsidP="00546882">
      <w:pPr>
        <w:pStyle w:val="enumlev1"/>
        <w:rPr>
          <w:rtl/>
        </w:rPr>
      </w:pPr>
      <w:r w:rsidRPr="00546882">
        <w:rPr>
          <w:rtl/>
          <w:lang w:val="en-GB"/>
        </w:rPr>
        <w:t>-</w:t>
      </w:r>
      <w:r w:rsidRPr="00546882">
        <w:rPr>
          <w:rtl/>
        </w:rPr>
        <w:tab/>
        <w:t>مقترحات بشأن إعادة توزيع الموارد لدورة المجلس لعام 2028.</w:t>
      </w:r>
    </w:p>
    <w:p w14:paraId="6044ECF2" w14:textId="77777777" w:rsidR="00546882" w:rsidRPr="00546882" w:rsidRDefault="00546882" w:rsidP="00546882">
      <w:pPr>
        <w:rPr>
          <w:rtl/>
        </w:rPr>
      </w:pPr>
      <w:r w:rsidRPr="00546882">
        <w:rPr>
          <w:b/>
          <w:bCs/>
          <w:rtl/>
        </w:rPr>
        <w:t>المرحلة 3:</w:t>
      </w:r>
      <w:r w:rsidRPr="00546882">
        <w:rPr>
          <w:rtl/>
        </w:rPr>
        <w:t xml:space="preserve"> إعادة توزيع الموارد بتوجيه من المجلس (الأشهر 19-30)</w:t>
      </w:r>
    </w:p>
    <w:p w14:paraId="4F42E537" w14:textId="77777777" w:rsidR="00546882" w:rsidRPr="00546882" w:rsidRDefault="00546882" w:rsidP="00546882">
      <w:pPr>
        <w:rPr>
          <w:rtl/>
        </w:rPr>
      </w:pPr>
      <w:r w:rsidRPr="00546882">
        <w:rPr>
          <w:rtl/>
        </w:rPr>
        <w:t>سينشئ المجلس لجنة دائمة معنية بتوزيع الموارد وفقاً لأغراض الاتحاد، وتقوم بما يلي:</w:t>
      </w:r>
    </w:p>
    <w:p w14:paraId="54605EFF" w14:textId="14185CAB" w:rsidR="00546882" w:rsidRPr="00546882" w:rsidRDefault="00546882" w:rsidP="00546882">
      <w:pPr>
        <w:pStyle w:val="enumlev1"/>
        <w:rPr>
          <w:rtl/>
        </w:rPr>
      </w:pPr>
      <w:r>
        <w:rPr>
          <w:rFonts w:hint="cs"/>
          <w:rtl/>
        </w:rPr>
        <w:t>-</w:t>
      </w:r>
      <w:r w:rsidRPr="00546882">
        <w:rPr>
          <w:rtl/>
        </w:rPr>
        <w:tab/>
        <w:t>استعراض التقرير المستقل وبيانات لوحة المعلومات؛</w:t>
      </w:r>
    </w:p>
    <w:p w14:paraId="10294BAF" w14:textId="13501074" w:rsidR="00546882" w:rsidRPr="00546882" w:rsidRDefault="00546882" w:rsidP="00546882">
      <w:pPr>
        <w:pStyle w:val="enumlev1"/>
        <w:rPr>
          <w:rtl/>
        </w:rPr>
      </w:pPr>
      <w:r>
        <w:rPr>
          <w:rFonts w:hint="cs"/>
          <w:rtl/>
        </w:rPr>
        <w:t>-</w:t>
      </w:r>
      <w:r w:rsidRPr="00546882">
        <w:rPr>
          <w:rtl/>
        </w:rPr>
        <w:tab/>
        <w:t>اقتراح إعادة توزيع الميزانية للفترة المالية التالية؛</w:t>
      </w:r>
    </w:p>
    <w:p w14:paraId="1B493365" w14:textId="24B6CF39" w:rsidR="00546882" w:rsidRPr="00546882" w:rsidRDefault="00546882" w:rsidP="00546882">
      <w:pPr>
        <w:pStyle w:val="enumlev1"/>
        <w:rPr>
          <w:rtl/>
        </w:rPr>
      </w:pPr>
      <w:r>
        <w:rPr>
          <w:rFonts w:hint="cs"/>
          <w:rtl/>
        </w:rPr>
        <w:t>-</w:t>
      </w:r>
      <w:r w:rsidRPr="00546882">
        <w:rPr>
          <w:rtl/>
        </w:rPr>
        <w:tab/>
        <w:t>تقديم تقرير إلى المجلس في دورته لعام 2029، يقدم توصيات بشأن:</w:t>
      </w:r>
    </w:p>
    <w:p w14:paraId="624573B8" w14:textId="196FAEA0" w:rsidR="00546882" w:rsidRPr="00546882" w:rsidRDefault="00F20FAD" w:rsidP="00F20FAD">
      <w:pPr>
        <w:pStyle w:val="enumlev2"/>
        <w:rPr>
          <w:rtl/>
        </w:rPr>
      </w:pPr>
      <w:r>
        <w:rPr>
          <w:rFonts w:ascii="Times New Roman" w:hAnsi="Times New Roman" w:cs="Times New Roman"/>
          <w:rtl/>
        </w:rPr>
        <w:t>●</w:t>
      </w:r>
      <w:r>
        <w:tab/>
      </w:r>
      <w:r w:rsidR="00546882" w:rsidRPr="00546882">
        <w:rPr>
          <w:rtl/>
        </w:rPr>
        <w:t>إنهاء أو إعادة هيكلة أنشطة الاتحاد غير الأساسية؛</w:t>
      </w:r>
    </w:p>
    <w:p w14:paraId="1D75455E" w14:textId="2921D244" w:rsidR="00546882" w:rsidRPr="00546882" w:rsidRDefault="00F20FAD" w:rsidP="00F20FAD">
      <w:pPr>
        <w:pStyle w:val="enumlev2"/>
        <w:rPr>
          <w:rtl/>
        </w:rPr>
      </w:pPr>
      <w:r>
        <w:rPr>
          <w:rFonts w:ascii="Times New Roman" w:hAnsi="Times New Roman" w:cs="Times New Roman"/>
          <w:rtl/>
        </w:rPr>
        <w:t>●</w:t>
      </w:r>
      <w:r>
        <w:tab/>
      </w:r>
      <w:r w:rsidR="00546882" w:rsidRPr="00546882">
        <w:rPr>
          <w:rtl/>
        </w:rPr>
        <w:t>حماية بنود الميزانية لأنشطة المستوى 1؛</w:t>
      </w:r>
    </w:p>
    <w:p w14:paraId="36F2F3BA" w14:textId="118C48C8" w:rsidR="00546882" w:rsidRPr="00546882" w:rsidRDefault="00F20FAD" w:rsidP="00F20FAD">
      <w:pPr>
        <w:pStyle w:val="enumlev2"/>
        <w:rPr>
          <w:rtl/>
        </w:rPr>
      </w:pPr>
      <w:r>
        <w:rPr>
          <w:rFonts w:ascii="Times New Roman" w:hAnsi="Times New Roman" w:cs="Times New Roman"/>
          <w:rtl/>
        </w:rPr>
        <w:t>●</w:t>
      </w:r>
      <w:r>
        <w:tab/>
      </w:r>
      <w:r w:rsidR="00546882" w:rsidRPr="00546882">
        <w:rPr>
          <w:rtl/>
        </w:rPr>
        <w:t>تحويل أنشطة المستويين 3 و4 إلى تمويل طوعي أو قائم على الشراكة.</w:t>
      </w:r>
    </w:p>
    <w:p w14:paraId="217CF27A" w14:textId="77777777" w:rsidR="00546882" w:rsidRPr="00B163F7" w:rsidRDefault="00546882" w:rsidP="00F20FAD">
      <w:pPr>
        <w:pStyle w:val="Headingb"/>
        <w:rPr>
          <w:rtl/>
          <w:lang w:bidi="ar-EG"/>
        </w:rPr>
      </w:pPr>
      <w:r w:rsidRPr="00B163F7">
        <w:rPr>
          <w:rtl/>
          <w:lang w:bidi="ar-EG"/>
        </w:rPr>
        <w:t>إضفاء الطابع المؤسسي على الاستعراضات السنوية</w:t>
      </w:r>
    </w:p>
    <w:p w14:paraId="516EE5DF" w14:textId="77777777" w:rsidR="00546882" w:rsidRPr="00F20FAD" w:rsidRDefault="00546882" w:rsidP="00F20FAD">
      <w:pPr>
        <w:rPr>
          <w:rtl/>
          <w:lang w:bidi="ar-EG"/>
        </w:rPr>
      </w:pPr>
      <w:r w:rsidRPr="00F20FAD">
        <w:rPr>
          <w:rtl/>
          <w:lang w:bidi="ar-EG"/>
        </w:rPr>
        <w:t>يتطلب استمرار هذا العمل بشكل مستدام بعد دورة المجلس لعام 2029 ومؤتمر المندوبين المفوضين لعام 2030 ما يلي:</w:t>
      </w:r>
    </w:p>
    <w:p w14:paraId="267574A7" w14:textId="0DE409BF" w:rsidR="00546882" w:rsidRPr="00F20FAD" w:rsidRDefault="00F20FAD" w:rsidP="00F20FAD">
      <w:pPr>
        <w:pStyle w:val="enumlev1"/>
        <w:rPr>
          <w:rtl/>
        </w:rPr>
      </w:pPr>
      <w:r>
        <w:rPr>
          <w:rFonts w:hint="cs"/>
          <w:rtl/>
        </w:rPr>
        <w:t>-</w:t>
      </w:r>
      <w:r w:rsidR="00546882" w:rsidRPr="00F20FAD">
        <w:rPr>
          <w:rtl/>
        </w:rPr>
        <w:tab/>
        <w:t xml:space="preserve">استعراضاً سنوياً لتوزيع الموارد وفقاً لأغراض الاتحاد، تجريه الأمانة ويستعرضه فريق العمل </w:t>
      </w:r>
      <w:r w:rsidR="00546882" w:rsidRPr="00F20FAD">
        <w:t>CWG-FHR</w:t>
      </w:r>
      <w:r w:rsidR="00546882" w:rsidRPr="00F20FAD">
        <w:rPr>
          <w:rtl/>
        </w:rPr>
        <w:t>؛</w:t>
      </w:r>
    </w:p>
    <w:p w14:paraId="0308FFF1" w14:textId="16CD36C9" w:rsidR="00546882" w:rsidRPr="00F20FAD" w:rsidRDefault="00F20FAD" w:rsidP="00F20FAD">
      <w:pPr>
        <w:pStyle w:val="enumlev1"/>
        <w:rPr>
          <w:rtl/>
        </w:rPr>
      </w:pPr>
      <w:r>
        <w:rPr>
          <w:rFonts w:hint="cs"/>
          <w:rtl/>
        </w:rPr>
        <w:t>-</w:t>
      </w:r>
      <w:r w:rsidR="00546882" w:rsidRPr="00F20FAD">
        <w:rPr>
          <w:rtl/>
        </w:rPr>
        <w:tab/>
        <w:t>دمجه في عملية إعداد البرنامج والميزانية (مع التأكيد الإلزامي على توافقها مع أغراض الاتحاد وتقييم تأثيرها على الموارد)؛</w:t>
      </w:r>
    </w:p>
    <w:p w14:paraId="0B4F68CA" w14:textId="082AC8EB" w:rsidR="00546882" w:rsidRPr="00F20FAD" w:rsidRDefault="00F20FAD" w:rsidP="00F20FAD">
      <w:pPr>
        <w:pStyle w:val="enumlev1"/>
        <w:rPr>
          <w:rtl/>
        </w:rPr>
      </w:pPr>
      <w:r>
        <w:rPr>
          <w:rFonts w:hint="cs"/>
          <w:rtl/>
        </w:rPr>
        <w:lastRenderedPageBreak/>
        <w:t>-</w:t>
      </w:r>
      <w:r w:rsidR="00546882" w:rsidRPr="00F20FAD">
        <w:rPr>
          <w:rtl/>
        </w:rPr>
        <w:tab/>
        <w:t>أحكاماً تحدد مدة صلاحية لا تتجاوز أربع سنوات لجميع قرارات مؤتمر المندوبين المفوضين الجديدة، ولا يجوز تمديدها إلا بعد استعراض يؤكد توافقها مع أغراض الاتحاد، وتقييم تأثيرها على الموارد، والتأكيد على عدم ازدواجية العمل.</w:t>
      </w:r>
    </w:p>
    <w:p w14:paraId="0073D59F" w14:textId="77777777" w:rsidR="00546882" w:rsidRPr="00B163F7" w:rsidRDefault="00546882" w:rsidP="00F20FAD">
      <w:pPr>
        <w:pStyle w:val="Headingb"/>
        <w:rPr>
          <w:rtl/>
          <w:lang w:bidi="ar-EG"/>
        </w:rPr>
      </w:pPr>
      <w:r w:rsidRPr="00B163F7">
        <w:rPr>
          <w:rtl/>
          <w:lang w:bidi="ar-EG"/>
        </w:rPr>
        <w:t xml:space="preserve">الشفافية </w:t>
      </w:r>
      <w:r>
        <w:rPr>
          <w:rFonts w:hint="cs"/>
          <w:rtl/>
          <w:lang w:bidi="ar-EG"/>
        </w:rPr>
        <w:t>ومشاركة</w:t>
      </w:r>
      <w:r w:rsidRPr="00B163F7">
        <w:rPr>
          <w:rtl/>
          <w:lang w:bidi="ar-EG"/>
        </w:rPr>
        <w:t xml:space="preserve"> أصحاب المصلحة</w:t>
      </w:r>
    </w:p>
    <w:p w14:paraId="76D6DCC3" w14:textId="3DA3125A" w:rsidR="00546882" w:rsidRDefault="00F20FAD" w:rsidP="00F20FAD">
      <w:pPr>
        <w:pStyle w:val="enumlev1"/>
        <w:rPr>
          <w:rtl/>
        </w:rPr>
      </w:pPr>
      <w:r>
        <w:t>-</w:t>
      </w:r>
      <w:r w:rsidR="00546882">
        <w:rPr>
          <w:rtl/>
        </w:rPr>
        <w:tab/>
        <w:t xml:space="preserve">إتاحة </w:t>
      </w:r>
      <w:r w:rsidR="00546882">
        <w:rPr>
          <w:rFonts w:hint="cs"/>
          <w:rtl/>
        </w:rPr>
        <w:t>نفاذ الجمهور</w:t>
      </w:r>
      <w:r w:rsidR="00546882">
        <w:rPr>
          <w:rtl/>
        </w:rPr>
        <w:t xml:space="preserve"> إلى البيانات المجمعة </w:t>
      </w:r>
      <w:r w:rsidR="00546882">
        <w:rPr>
          <w:rFonts w:hint="cs"/>
          <w:rtl/>
        </w:rPr>
        <w:t>عن</w:t>
      </w:r>
      <w:r w:rsidR="00546882">
        <w:rPr>
          <w:rtl/>
        </w:rPr>
        <w:t xml:space="preserve"> توزيع الموارد وفقاً لأغراض الاتحاد</w:t>
      </w:r>
    </w:p>
    <w:p w14:paraId="2BE015A3" w14:textId="12C70515" w:rsidR="00546882" w:rsidRDefault="00F20FAD" w:rsidP="00F20FAD">
      <w:pPr>
        <w:pStyle w:val="enumlev1"/>
        <w:rPr>
          <w:rtl/>
        </w:rPr>
      </w:pPr>
      <w:r>
        <w:t>-</w:t>
      </w:r>
      <w:r w:rsidR="00546882">
        <w:rPr>
          <w:rtl/>
        </w:rPr>
        <w:tab/>
        <w:t xml:space="preserve">آلية </w:t>
      </w:r>
      <w:r w:rsidR="00546882">
        <w:rPr>
          <w:rFonts w:hint="cs"/>
          <w:rtl/>
        </w:rPr>
        <w:t>تعقيبات</w:t>
      </w:r>
      <w:r w:rsidR="00546882">
        <w:rPr>
          <w:rtl/>
        </w:rPr>
        <w:t xml:space="preserve"> مجهولة </w:t>
      </w:r>
      <w:r w:rsidR="00546882">
        <w:rPr>
          <w:rFonts w:hint="cs"/>
          <w:rtl/>
        </w:rPr>
        <w:t>الهوية</w:t>
      </w:r>
      <w:r w:rsidR="00546882">
        <w:rPr>
          <w:rtl/>
        </w:rPr>
        <w:t xml:space="preserve"> لموظفي الاتحاد</w:t>
      </w:r>
    </w:p>
    <w:p w14:paraId="4EAAE2CF" w14:textId="35C27407" w:rsidR="00546882" w:rsidRDefault="00F20FAD" w:rsidP="00F20FAD">
      <w:pPr>
        <w:pStyle w:val="enumlev1"/>
        <w:rPr>
          <w:rtl/>
        </w:rPr>
      </w:pPr>
      <w:r>
        <w:t>-</w:t>
      </w:r>
      <w:r w:rsidR="00546882">
        <w:rPr>
          <w:rtl/>
        </w:rPr>
        <w:tab/>
        <w:t xml:space="preserve">إحاطات سنوية للدول الأعضاء </w:t>
      </w:r>
      <w:r w:rsidR="00546882">
        <w:rPr>
          <w:rFonts w:hint="cs"/>
          <w:rtl/>
        </w:rPr>
        <w:t>بشأن</w:t>
      </w:r>
      <w:r w:rsidR="00546882">
        <w:rPr>
          <w:rtl/>
        </w:rPr>
        <w:t xml:space="preserve"> التقدم المحرز.</w:t>
      </w:r>
    </w:p>
    <w:p w14:paraId="0CCBFBD0" w14:textId="77777777" w:rsidR="00546882" w:rsidRPr="00B163F7" w:rsidRDefault="00546882" w:rsidP="00F20FAD">
      <w:pPr>
        <w:pStyle w:val="Headingb"/>
        <w:rPr>
          <w:rtl/>
          <w:lang w:bidi="ar-EG"/>
        </w:rPr>
      </w:pPr>
      <w:r w:rsidRPr="00B163F7">
        <w:rPr>
          <w:rtl/>
          <w:lang w:bidi="ar-EG"/>
        </w:rPr>
        <w:t>الربط بدورات الميزانية</w:t>
      </w:r>
    </w:p>
    <w:p w14:paraId="08882186" w14:textId="77777777" w:rsidR="00546882" w:rsidRPr="00F20FAD" w:rsidRDefault="00546882" w:rsidP="00F20FAD">
      <w:pPr>
        <w:rPr>
          <w:rtl/>
          <w:lang w:bidi="ar-EG"/>
        </w:rPr>
      </w:pPr>
      <w:r w:rsidRPr="00F20FAD">
        <w:rPr>
          <w:rtl/>
          <w:lang w:bidi="ar-EG"/>
        </w:rPr>
        <w:t>يجب أن تتضمن مقترحات البرامج والميزانية، لكل برنامج، درجة بناءً على مدى التوافق مع أغراض الاتحاد. ويمكن التوصية بتمويل طوعي لأنشطة المستويين 3 و4، ما لم يعاد تصنيفها إلى مستويات أخرى.</w:t>
      </w:r>
    </w:p>
    <w:p w14:paraId="697AC5AD" w14:textId="77777777" w:rsidR="00546882" w:rsidRPr="00F20FAD" w:rsidRDefault="00546882" w:rsidP="00F20FAD">
      <w:pPr>
        <w:pStyle w:val="Headingb"/>
        <w:rPr>
          <w:rtl/>
          <w:lang w:bidi="ar-EG"/>
        </w:rPr>
      </w:pPr>
      <w:r w:rsidRPr="00F20FAD">
        <w:rPr>
          <w:rtl/>
          <w:lang w:bidi="ar-EG"/>
        </w:rPr>
        <w:t xml:space="preserve">تعزيز دور فريق العمل </w:t>
      </w:r>
      <w:r w:rsidRPr="00F20FAD">
        <w:rPr>
          <w:lang w:bidi="ar-EG"/>
        </w:rPr>
        <w:t>CWG-FHR</w:t>
      </w:r>
    </w:p>
    <w:p w14:paraId="25FE804D" w14:textId="77777777" w:rsidR="00546882" w:rsidRPr="00F20FAD" w:rsidRDefault="00546882" w:rsidP="00F20FAD">
      <w:pPr>
        <w:rPr>
          <w:rtl/>
          <w:lang w:bidi="ar-EG"/>
        </w:rPr>
      </w:pPr>
      <w:r w:rsidRPr="00F20FAD">
        <w:rPr>
          <w:rtl/>
          <w:lang w:bidi="ar-EG"/>
        </w:rPr>
        <w:t xml:space="preserve">يجري فريق العمل </w:t>
      </w:r>
      <w:r w:rsidRPr="00F20FAD">
        <w:rPr>
          <w:lang w:bidi="ar-EG"/>
        </w:rPr>
        <w:t>CWG-FHR</w:t>
      </w:r>
      <w:r w:rsidRPr="00F20FAD">
        <w:rPr>
          <w:rtl/>
          <w:lang w:bidi="ar-EG"/>
        </w:rPr>
        <w:t xml:space="preserve"> استعراضاً سنوياً لضمان توزيع الموارد وفقاً لأغراض الاتحاد. وتتولى الأمانة تقديم تقارير بشأن ما يلي:</w:t>
      </w:r>
    </w:p>
    <w:p w14:paraId="2F8CC684" w14:textId="39788EFB" w:rsidR="00546882" w:rsidRPr="00F20FAD" w:rsidRDefault="00F20FAD" w:rsidP="00F20FAD">
      <w:pPr>
        <w:pStyle w:val="enumlev1"/>
        <w:rPr>
          <w:rtl/>
        </w:rPr>
      </w:pPr>
      <w:r>
        <w:rPr>
          <w:rFonts w:hint="cs"/>
          <w:rtl/>
        </w:rPr>
        <w:t>-</w:t>
      </w:r>
      <w:r w:rsidR="00546882" w:rsidRPr="00F20FAD">
        <w:rPr>
          <w:rtl/>
        </w:rPr>
        <w:tab/>
        <w:t>توزيع وقت الموظفين والميزانية لكل مستوى من مستويات النشاط؛</w:t>
      </w:r>
    </w:p>
    <w:p w14:paraId="46A886CD" w14:textId="0D39C8F7" w:rsidR="00546882" w:rsidRPr="00F20FAD" w:rsidRDefault="00F20FAD" w:rsidP="00F20FAD">
      <w:pPr>
        <w:pStyle w:val="enumlev1"/>
        <w:rPr>
          <w:rtl/>
        </w:rPr>
      </w:pPr>
      <w:r>
        <w:rPr>
          <w:rFonts w:hint="cs"/>
          <w:rtl/>
        </w:rPr>
        <w:t>-</w:t>
      </w:r>
      <w:r w:rsidR="00546882" w:rsidRPr="00F20FAD">
        <w:rPr>
          <w:rtl/>
        </w:rPr>
        <w:tab/>
        <w:t>التقدم المحرز في إنهاء أو إعادة هيكلة الأنشطة غير الأساسية؛</w:t>
      </w:r>
    </w:p>
    <w:p w14:paraId="4A483FF0" w14:textId="22D54917" w:rsidR="00546882" w:rsidRPr="00F20FAD" w:rsidRDefault="00F20FAD" w:rsidP="00F20FAD">
      <w:pPr>
        <w:pStyle w:val="enumlev1"/>
        <w:rPr>
          <w:rtl/>
        </w:rPr>
      </w:pPr>
      <w:r>
        <w:rPr>
          <w:rFonts w:hint="cs"/>
          <w:rtl/>
        </w:rPr>
        <w:t>-</w:t>
      </w:r>
      <w:r w:rsidR="00546882" w:rsidRPr="00F20FAD">
        <w:rPr>
          <w:rtl/>
        </w:rPr>
        <w:tab/>
        <w:t>الأنشطة الجديدة، مع بيان مدى توافقها مع أغراض الاتحاد.</w:t>
      </w:r>
    </w:p>
    <w:p w14:paraId="50C9AF61" w14:textId="77777777" w:rsidR="00546882" w:rsidRPr="00F20FAD" w:rsidRDefault="00546882" w:rsidP="00F20FAD">
      <w:pPr>
        <w:pStyle w:val="Heading1"/>
        <w:rPr>
          <w:rtl/>
          <w:lang w:bidi="ar-EG"/>
        </w:rPr>
      </w:pPr>
      <w:r w:rsidRPr="00F20FAD">
        <w:rPr>
          <w:rtl/>
          <w:lang w:bidi="ar-EG"/>
        </w:rPr>
        <w:t>4</w:t>
      </w:r>
      <w:r w:rsidRPr="00F20FAD">
        <w:rPr>
          <w:rtl/>
          <w:lang w:bidi="ar-EG"/>
        </w:rPr>
        <w:tab/>
        <w:t>الخلاصة</w:t>
      </w:r>
    </w:p>
    <w:p w14:paraId="645A0A3B" w14:textId="77777777" w:rsidR="00546882" w:rsidRPr="00F20FAD" w:rsidRDefault="00546882" w:rsidP="00F20FAD">
      <w:pPr>
        <w:rPr>
          <w:rtl/>
          <w:lang w:bidi="ar-EG"/>
        </w:rPr>
      </w:pPr>
      <w:r w:rsidRPr="00F20FAD">
        <w:rPr>
          <w:rtl/>
          <w:lang w:bidi="ar-EG"/>
        </w:rPr>
        <w:t>يجب على الاتحاد اعتماد نهج يُمكّنه من العودة إلى إعطاء الأولوية للوظائف والأهداف الأساسية من أجل توسيع نطاق تأثيره، وتعزيز مصداقيته التقنية، وتبسيط العمليات، وبناء ثقة أصحاب المصلحة. ولا يتمثل الهدف في تقليص عمل الاتحاد، بل لإعادة التركيز استراتيجياً على مزاياه النسبية الأساسية.</w:t>
      </w:r>
    </w:p>
    <w:p w14:paraId="74FC5AAF" w14:textId="76BDA8C4" w:rsidR="00F20FAD" w:rsidRDefault="00546882" w:rsidP="00F20FAD">
      <w:pPr>
        <w:spacing w:before="720" w:line="240" w:lineRule="auto"/>
        <w:rPr>
          <w:lang w:bidi="ar-EG"/>
        </w:rPr>
      </w:pPr>
      <w:r w:rsidRPr="00F20FAD">
        <w:rPr>
          <w:b/>
          <w:bCs/>
          <w:rtl/>
          <w:lang w:bidi="ar-EG"/>
        </w:rPr>
        <w:t>الملحق</w:t>
      </w:r>
      <w:r w:rsidR="00907C67">
        <w:rPr>
          <w:rFonts w:hint="cs"/>
          <w:b/>
          <w:bCs/>
          <w:rtl/>
          <w:lang w:bidi="ar-EG"/>
        </w:rPr>
        <w:t>ات</w:t>
      </w:r>
      <w:r w:rsidRPr="00F20FAD">
        <w:rPr>
          <w:rFonts w:hint="cs"/>
          <w:b/>
          <w:bCs/>
          <w:rtl/>
          <w:lang w:bidi="ar-EG"/>
        </w:rPr>
        <w:t>:</w:t>
      </w:r>
      <w:r>
        <w:rPr>
          <w:rtl/>
          <w:lang w:bidi="ar-EG"/>
        </w:rPr>
        <w:t xml:space="preserve"> 1</w:t>
      </w:r>
    </w:p>
    <w:p w14:paraId="680CCB2A" w14:textId="4B46C4E5" w:rsidR="00546882" w:rsidRDefault="00546882" w:rsidP="00F20FAD">
      <w:pPr>
        <w:spacing w:line="240" w:lineRule="auto"/>
        <w:rPr>
          <w:rtl/>
          <w:lang w:bidi="ar-EG"/>
        </w:rPr>
      </w:pPr>
      <w:r>
        <w:rPr>
          <w:rtl/>
          <w:lang w:bidi="ar-EG"/>
        </w:rPr>
        <w:br w:type="page"/>
      </w:r>
    </w:p>
    <w:p w14:paraId="63504F06" w14:textId="65005F9C" w:rsidR="00546882" w:rsidRPr="00F20FAD" w:rsidRDefault="00546882" w:rsidP="00F20FAD">
      <w:pPr>
        <w:pStyle w:val="AnnexNo"/>
        <w:rPr>
          <w:lang w:val="en-GB"/>
        </w:rPr>
      </w:pPr>
      <w:r w:rsidRPr="00173682">
        <w:rPr>
          <w:rtl/>
        </w:rPr>
        <w:lastRenderedPageBreak/>
        <w:t>الملحق 1</w:t>
      </w:r>
    </w:p>
    <w:p w14:paraId="1AF49723" w14:textId="77777777" w:rsidR="00546882" w:rsidRPr="00F20FAD" w:rsidRDefault="00546882" w:rsidP="00F20FAD">
      <w:pPr>
        <w:pStyle w:val="Headingb"/>
        <w:rPr>
          <w:rtl/>
          <w:lang w:bidi="ar-EG"/>
        </w:rPr>
      </w:pPr>
      <w:r w:rsidRPr="00F20FAD">
        <w:rPr>
          <w:rtl/>
          <w:lang w:bidi="ar-EG"/>
        </w:rPr>
        <w:t>المؤشرات</w:t>
      </w:r>
    </w:p>
    <w:p w14:paraId="3456DA27" w14:textId="26C6C519" w:rsidR="00546882" w:rsidRPr="00F20FAD" w:rsidRDefault="00F20FAD" w:rsidP="00F20FAD">
      <w:pPr>
        <w:pStyle w:val="enumlev1"/>
        <w:rPr>
          <w:rtl/>
        </w:rPr>
      </w:pPr>
      <w:r>
        <w:rPr>
          <w:rFonts w:hint="cs"/>
          <w:rtl/>
        </w:rPr>
        <w:t>-</w:t>
      </w:r>
      <w:r w:rsidR="00546882" w:rsidRPr="00F20FAD">
        <w:rPr>
          <w:rtl/>
        </w:rPr>
        <w:tab/>
        <w:t>هل النشاط المذكور وارد في صكوك الاتحاد؟</w:t>
      </w:r>
    </w:p>
    <w:p w14:paraId="02FBEC1A" w14:textId="2F630E02" w:rsidR="00546882" w:rsidRPr="00F20FAD" w:rsidRDefault="00F20FAD" w:rsidP="00F20FAD">
      <w:pPr>
        <w:pStyle w:val="enumlev1"/>
        <w:rPr>
          <w:rtl/>
        </w:rPr>
      </w:pPr>
      <w:r>
        <w:rPr>
          <w:rFonts w:hint="cs"/>
          <w:rtl/>
        </w:rPr>
        <w:t>-</w:t>
      </w:r>
      <w:r w:rsidR="00546882" w:rsidRPr="00F20FAD">
        <w:rPr>
          <w:rtl/>
        </w:rPr>
        <w:tab/>
        <w:t>هل الاتحاد هو المنتدى التقني العالمي الوحيد المعني بهذه القضية؟</w:t>
      </w:r>
    </w:p>
    <w:p w14:paraId="159D646F" w14:textId="0C93D5DC" w:rsidR="00546882" w:rsidRPr="00F20FAD" w:rsidRDefault="00F20FAD" w:rsidP="00F20FAD">
      <w:pPr>
        <w:pStyle w:val="enumlev1"/>
        <w:rPr>
          <w:rtl/>
        </w:rPr>
      </w:pPr>
      <w:r>
        <w:rPr>
          <w:rFonts w:hint="cs"/>
          <w:rtl/>
        </w:rPr>
        <w:t>-</w:t>
      </w:r>
      <w:r w:rsidR="00546882" w:rsidRPr="00F20FAD">
        <w:rPr>
          <w:rtl/>
        </w:rPr>
        <w:tab/>
        <w:t>هل تعترف وكالات الأمم المتحدة الأخرى صراحة بدور الاتحاد القيادي؟</w:t>
      </w:r>
    </w:p>
    <w:p w14:paraId="5222B8A3" w14:textId="77777777" w:rsidR="00546882" w:rsidRPr="00F20FAD" w:rsidRDefault="00546882" w:rsidP="00F20FAD">
      <w:pPr>
        <w:pStyle w:val="Headingb"/>
        <w:rPr>
          <w:rtl/>
          <w:lang w:bidi="ar-EG"/>
        </w:rPr>
      </w:pPr>
      <w:r w:rsidRPr="00F20FAD">
        <w:rPr>
          <w:rtl/>
          <w:lang w:bidi="ar-EG"/>
        </w:rPr>
        <w:t>الأسئلة الرئيسية لكل نشاط</w:t>
      </w:r>
    </w:p>
    <w:p w14:paraId="19122C8B" w14:textId="58651343" w:rsidR="00546882" w:rsidRPr="00F20FAD" w:rsidRDefault="00F20FAD" w:rsidP="00F20FAD">
      <w:pPr>
        <w:pStyle w:val="enumlev1"/>
        <w:rPr>
          <w:rtl/>
        </w:rPr>
      </w:pPr>
      <w:r>
        <w:rPr>
          <w:rFonts w:hint="cs"/>
          <w:rtl/>
        </w:rPr>
        <w:t>-</w:t>
      </w:r>
      <w:r w:rsidR="00546882" w:rsidRPr="00F20FAD">
        <w:rPr>
          <w:rtl/>
        </w:rPr>
        <w:tab/>
        <w:t>هل يدعم النشاط بشكل مباشر الأغراض الأساسية للاتحاد (قطاع الاتصالات الراديوية، وقطاع تقييس الاتصالات، وقطاع تنمية الاتصالات) كما هو محدد في الدستور والاتفاقية ولوائح الراديو ولوائح الاتصالات الدولية؟</w:t>
      </w:r>
    </w:p>
    <w:p w14:paraId="6943967A" w14:textId="6A9567A3" w:rsidR="00546882" w:rsidRPr="00F20FAD" w:rsidRDefault="00F20FAD" w:rsidP="00F20FAD">
      <w:pPr>
        <w:pStyle w:val="enumlev1"/>
        <w:rPr>
          <w:rtl/>
        </w:rPr>
      </w:pPr>
      <w:r>
        <w:rPr>
          <w:rFonts w:hint="cs"/>
          <w:rtl/>
        </w:rPr>
        <w:t>-</w:t>
      </w:r>
      <w:r w:rsidR="00546882" w:rsidRPr="00F20FAD">
        <w:rPr>
          <w:rtl/>
        </w:rPr>
        <w:tab/>
        <w:t>هل النشاط ضروري وفعال ومناسب في ضوء أغراض الاتحاد ومزاياه النسبية؟</w:t>
      </w:r>
    </w:p>
    <w:p w14:paraId="60F0B92F" w14:textId="569FEF60" w:rsidR="00546882" w:rsidRPr="00F20FAD" w:rsidRDefault="00F20FAD" w:rsidP="00F20FAD">
      <w:pPr>
        <w:pStyle w:val="enumlev1"/>
        <w:rPr>
          <w:rtl/>
        </w:rPr>
      </w:pPr>
      <w:r>
        <w:rPr>
          <w:rFonts w:hint="cs"/>
          <w:rtl/>
        </w:rPr>
        <w:t>-</w:t>
      </w:r>
      <w:r w:rsidR="00546882" w:rsidRPr="00F20FAD">
        <w:rPr>
          <w:rtl/>
        </w:rPr>
        <w:tab/>
        <w:t>هل يمتلك الاتحاد خبرة تقنية فريدة، أم أن النشاط يكرر عمل وكالة أخرى تابعة للأمم المتحدة (برنامج الأمم المتحدة الإنمائي، أو اليونسكو، أو برنامج الأمم المتحدة للبيئة، أو منظمة الصحة العالمية، وما إلى ذلك)؟</w:t>
      </w:r>
    </w:p>
    <w:p w14:paraId="0DFD2B60" w14:textId="390A9658" w:rsidR="00546882" w:rsidRPr="00F20FAD" w:rsidRDefault="00F20FAD" w:rsidP="00F20FAD">
      <w:pPr>
        <w:pStyle w:val="enumlev1"/>
        <w:rPr>
          <w:rtl/>
        </w:rPr>
      </w:pPr>
      <w:r>
        <w:rPr>
          <w:rFonts w:hint="cs"/>
          <w:rtl/>
        </w:rPr>
        <w:t>-</w:t>
      </w:r>
      <w:r w:rsidR="00546882" w:rsidRPr="00F20FAD">
        <w:rPr>
          <w:rtl/>
        </w:rPr>
        <w:tab/>
        <w:t>حتى لو كان النشاط حسن النية، هل نهج الاتحاد فعال، أم أنه يقع خارج نطاق خبرته (مثل القضايا الاجتماعية والسياسية، القانون الدولي الإنساني)؟</w:t>
      </w:r>
    </w:p>
    <w:p w14:paraId="4475B98C" w14:textId="013C6DEA" w:rsidR="00546882" w:rsidRPr="00F20FAD" w:rsidRDefault="00F20FAD" w:rsidP="00F20FAD">
      <w:pPr>
        <w:pStyle w:val="enumlev1"/>
        <w:rPr>
          <w:rtl/>
        </w:rPr>
      </w:pPr>
      <w:r>
        <w:rPr>
          <w:rFonts w:hint="cs"/>
          <w:rtl/>
        </w:rPr>
        <w:t>-</w:t>
      </w:r>
      <w:r w:rsidR="00546882" w:rsidRPr="00F20FAD">
        <w:rPr>
          <w:rtl/>
        </w:rPr>
        <w:tab/>
        <w:t xml:space="preserve">هل يحول النشاط الموارد بعيداً عن وظائف الاتحاد الأساسية (مثل الأعمال التحضيرية للمؤتمرات </w:t>
      </w:r>
      <w:r w:rsidR="00546882" w:rsidRPr="00F20FAD">
        <w:rPr>
          <w:lang w:val="en-CA"/>
        </w:rPr>
        <w:t>WRC</w:t>
      </w:r>
      <w:r w:rsidR="00546882" w:rsidRPr="00F20FAD">
        <w:rPr>
          <w:rtl/>
          <w:lang w:val="en-CA"/>
        </w:rPr>
        <w:t xml:space="preserve">؛ </w:t>
      </w:r>
      <w:r w:rsidR="00546882" w:rsidRPr="00F20FAD">
        <w:rPr>
          <w:rtl/>
        </w:rPr>
        <w:t>والالتزام بالمواعيد النهائية لمعالجة بطاقات التبليغ، وضمان سلامة قواعد البيانات، ووضع المعايير)؟</w:t>
      </w:r>
    </w:p>
    <w:p w14:paraId="735C081F" w14:textId="77777777" w:rsidR="00546882" w:rsidRPr="00F20FAD" w:rsidRDefault="00546882" w:rsidP="00F20FAD">
      <w:pPr>
        <w:rPr>
          <w:rtl/>
          <w:lang w:bidi="ar-EG"/>
        </w:rPr>
      </w:pPr>
      <w:r w:rsidRPr="00F20FAD">
        <w:rPr>
          <w:rtl/>
          <w:lang w:bidi="ar-EG"/>
        </w:rPr>
        <w:t>ويجب أن يشمل الاستعراض أيضاً تقييم النواتج: مستوى تبني أصحاب المصلحة المستهدفين للسياسات التي وضعت، والتحسين المستدام للكفاءات التقنية، والنتائج الملموسة التي تحققها المنتديات.</w:t>
      </w:r>
    </w:p>
    <w:p w14:paraId="2CB08C6B" w14:textId="77777777" w:rsidR="00546882" w:rsidRPr="00F20FAD" w:rsidRDefault="00546882" w:rsidP="00F20FAD">
      <w:pPr>
        <w:pStyle w:val="Headingb"/>
        <w:rPr>
          <w:rtl/>
          <w:lang w:bidi="ar-EG"/>
        </w:rPr>
      </w:pPr>
      <w:r w:rsidRPr="00F20FAD">
        <w:rPr>
          <w:rtl/>
          <w:lang w:bidi="ar-EG"/>
        </w:rPr>
        <w:t>التصنيف والتقسيم الهرمي</w:t>
      </w:r>
    </w:p>
    <w:p w14:paraId="0C07A1CB" w14:textId="77777777" w:rsidR="00546882" w:rsidRPr="00F20FAD" w:rsidRDefault="00546882" w:rsidP="00F20FAD">
      <w:pPr>
        <w:rPr>
          <w:rtl/>
          <w:lang w:bidi="ar-EG"/>
        </w:rPr>
      </w:pPr>
      <w:r w:rsidRPr="00F20FAD">
        <w:rPr>
          <w:rtl/>
          <w:lang w:bidi="ar-EG"/>
        </w:rPr>
        <w:t>ينبغي تصنيف جميع الأنشطة والمشاريع والمخرجات والاجتماعات التي عقدت خلال الدورة السابقة الممتدة لأربع سنوات وفقاً لأحكام محددة من الدستور والاتفاقية ولوائح الراديو ولوائح الاتصالات الدولية.</w:t>
      </w:r>
    </w:p>
    <w:p w14:paraId="1BD68FB6" w14:textId="77777777" w:rsidR="00546882" w:rsidRPr="00F20FAD" w:rsidRDefault="00546882" w:rsidP="00F20FAD">
      <w:pPr>
        <w:pStyle w:val="Headingb"/>
        <w:rPr>
          <w:rtl/>
          <w:lang w:bidi="ar-EG"/>
        </w:rPr>
      </w:pPr>
      <w:r w:rsidRPr="00F20FAD">
        <w:rPr>
          <w:rtl/>
          <w:lang w:bidi="ar-EG"/>
        </w:rPr>
        <w:t>المستوى 1 - الأنشطة القائمة على المعاهدات الدولية</w:t>
      </w:r>
    </w:p>
    <w:p w14:paraId="5E4336E3" w14:textId="7441DED2" w:rsidR="00546882" w:rsidRPr="00F20FAD" w:rsidRDefault="00546882" w:rsidP="00F20FAD">
      <w:pPr>
        <w:rPr>
          <w:lang w:val="en-GB" w:bidi="ar-EG"/>
        </w:rPr>
      </w:pPr>
      <w:r w:rsidRPr="00F20FAD">
        <w:rPr>
          <w:rtl/>
          <w:lang w:bidi="ar-EG"/>
        </w:rPr>
        <w:t xml:space="preserve">تُستمد هذه الأنشطة مباشرة من أغراض الاتحاد ولا تعتمد على القرارات المعتمدة (مثل: الحفاظ على السجل الأساسي الدولي للترددات؛ ووضع توصيات بشأن </w:t>
      </w:r>
      <w:r w:rsidR="00907C67">
        <w:rPr>
          <w:rFonts w:hint="cs"/>
          <w:rtl/>
          <w:lang w:bidi="ar-EG"/>
        </w:rPr>
        <w:t xml:space="preserve">قابلية </w:t>
      </w:r>
      <w:r w:rsidRPr="00F20FAD">
        <w:rPr>
          <w:rtl/>
          <w:lang w:bidi="ar-EG"/>
        </w:rPr>
        <w:t>التشغيل البيني). وهي منصوص عليها في المادة 1 من الدستور، وفي الاتفاقية واللوائح الإدارية. وتتسم المخرجات الأساسية بطبيعتها الإلزامية/التقنية.</w:t>
      </w:r>
    </w:p>
    <w:p w14:paraId="539D7EDA" w14:textId="77777777" w:rsidR="00546882" w:rsidRPr="00F20FAD" w:rsidRDefault="00546882" w:rsidP="00F20FAD">
      <w:pPr>
        <w:pStyle w:val="Headingb"/>
        <w:rPr>
          <w:rtl/>
          <w:lang w:bidi="ar-EG"/>
        </w:rPr>
      </w:pPr>
      <w:r w:rsidRPr="00F20FAD">
        <w:rPr>
          <w:rtl/>
          <w:lang w:bidi="ar-EG"/>
        </w:rPr>
        <w:t>المستوى 2 - الأنشطة التكميلية الضرورية</w:t>
      </w:r>
    </w:p>
    <w:p w14:paraId="5C18499C" w14:textId="77777777" w:rsidR="00546882" w:rsidRPr="00F20FAD" w:rsidRDefault="00546882" w:rsidP="00F20FAD">
      <w:pPr>
        <w:rPr>
          <w:rtl/>
          <w:lang w:bidi="ar-EG"/>
        </w:rPr>
      </w:pPr>
      <w:r w:rsidRPr="00F20FAD">
        <w:rPr>
          <w:rtl/>
          <w:lang w:bidi="ar-EG"/>
        </w:rPr>
        <w:t>هذه الأنشطة مطلوبة لتحقيق الأغراض الأساسية للاتحاد (مثل: تدريب منظمي إدارة الطيف، ودعم التكنولوجيات الجديدة، وسد الفجوة الرقمية).</w:t>
      </w:r>
    </w:p>
    <w:p w14:paraId="2ACCCC66" w14:textId="77777777" w:rsidR="00546882" w:rsidRPr="00F20FAD" w:rsidRDefault="00546882" w:rsidP="00F20FAD">
      <w:pPr>
        <w:pStyle w:val="Headingb"/>
        <w:rPr>
          <w:rtl/>
          <w:lang w:bidi="ar-EG"/>
        </w:rPr>
      </w:pPr>
      <w:r w:rsidRPr="00F20FAD">
        <w:rPr>
          <w:rtl/>
          <w:lang w:bidi="ar-EG"/>
        </w:rPr>
        <w:t>المستوى 3 - تكنولوجيا المعلومات والاتصالات كأداة</w:t>
      </w:r>
    </w:p>
    <w:p w14:paraId="0DCA4005" w14:textId="752A9209" w:rsidR="00546882" w:rsidRPr="00F20FAD" w:rsidRDefault="00546882" w:rsidP="00F20FAD">
      <w:pPr>
        <w:rPr>
          <w:rtl/>
          <w:lang w:bidi="ar-EG"/>
        </w:rPr>
      </w:pPr>
      <w:r w:rsidRPr="00F20FAD">
        <w:rPr>
          <w:rtl/>
          <w:lang w:bidi="ar-EG"/>
        </w:rPr>
        <w:t>تتولى وكالات أخرى القيادة في مجال السياسات وتنفيذ هذه الأنشطة. وبينما تسهم هذه الأنشطة بشكل كبير في تحقيق الأغراض المحددة في صكوك الاتحاد، يجب على الاتحاد الالتزام بتلك الأغراض وتجنب الانخراط في مسائل السياسات</w:t>
      </w:r>
      <w:r w:rsidR="00F20FAD">
        <w:rPr>
          <w:rFonts w:hint="cs"/>
          <w:rtl/>
          <w:lang w:bidi="ar-EG"/>
        </w:rPr>
        <w:t> </w:t>
      </w:r>
      <w:r w:rsidRPr="00F20FAD">
        <w:rPr>
          <w:rtl/>
          <w:lang w:bidi="ar-EG"/>
        </w:rPr>
        <w:t>العامة.</w:t>
      </w:r>
    </w:p>
    <w:p w14:paraId="2306C6ED" w14:textId="77777777" w:rsidR="00546882" w:rsidRPr="00F20FAD" w:rsidRDefault="00546882" w:rsidP="00F20FAD">
      <w:pPr>
        <w:pStyle w:val="Headingb"/>
        <w:rPr>
          <w:rtl/>
          <w:lang w:bidi="ar-EG"/>
        </w:rPr>
      </w:pPr>
      <w:r w:rsidRPr="00F20FAD">
        <w:rPr>
          <w:rtl/>
          <w:lang w:bidi="ar-EG"/>
        </w:rPr>
        <w:lastRenderedPageBreak/>
        <w:t>المستوى 4 - أنشطة مرتبطة بشكل غير مباشر فقط بأغراض الاتحاد</w:t>
      </w:r>
    </w:p>
    <w:p w14:paraId="560A3409" w14:textId="77777777" w:rsidR="00546882" w:rsidRPr="00F20FAD" w:rsidRDefault="00546882" w:rsidP="00F20FAD">
      <w:pPr>
        <w:rPr>
          <w:rtl/>
          <w:lang w:bidi="ar-EG"/>
        </w:rPr>
      </w:pPr>
      <w:r w:rsidRPr="00F20FAD">
        <w:rPr>
          <w:rtl/>
          <w:lang w:bidi="ar-EG"/>
        </w:rPr>
        <w:t>تنبثق هذه الأنشطة من اعتماد قرارات، وتهدف إلى وضع سياسة عامة، وتشرك وكالات أخرى تابعة للأمم المتحدة. وتندرج مواضيعها الرئيسية ضمن ولايات منظمات أخرى تابعة للأمم المتحدة. ويوجد تداخل وظيفي، وترتبط الأنشطة بتكنولوجيا المعلومات والاتصالات ارتباطاً ضعيفاً.</w:t>
      </w:r>
    </w:p>
    <w:p w14:paraId="607B111D" w14:textId="77777777" w:rsidR="00546882" w:rsidRPr="00F20FAD" w:rsidRDefault="00546882" w:rsidP="00F20FAD">
      <w:pPr>
        <w:pStyle w:val="Headingb"/>
        <w:rPr>
          <w:rtl/>
          <w:lang w:bidi="ar-EG"/>
        </w:rPr>
      </w:pPr>
      <w:r w:rsidRPr="00F20FAD">
        <w:rPr>
          <w:rtl/>
          <w:lang w:bidi="ar-EG"/>
        </w:rPr>
        <w:t>معايير التقييم</w:t>
      </w:r>
    </w:p>
    <w:p w14:paraId="6C4C6930" w14:textId="68240B98" w:rsidR="00546882" w:rsidRPr="00F20FAD" w:rsidRDefault="00F20FAD" w:rsidP="00F20FAD">
      <w:pPr>
        <w:pStyle w:val="enumlev1"/>
        <w:rPr>
          <w:rtl/>
        </w:rPr>
      </w:pPr>
      <w:r>
        <w:rPr>
          <w:rFonts w:hint="cs"/>
          <w:rtl/>
        </w:rPr>
        <w:t>-</w:t>
      </w:r>
      <w:r w:rsidR="00546882" w:rsidRPr="00F20FAD">
        <w:rPr>
          <w:rtl/>
        </w:rPr>
        <w:tab/>
        <w:t>المالية: الميزانية العادية والمساهمات الطوعية.</w:t>
      </w:r>
    </w:p>
    <w:p w14:paraId="4A6C469B" w14:textId="46BE7496" w:rsidR="00546882" w:rsidRPr="00F20FAD" w:rsidRDefault="00F20FAD" w:rsidP="00F20FAD">
      <w:pPr>
        <w:pStyle w:val="enumlev1"/>
        <w:rPr>
          <w:rtl/>
        </w:rPr>
      </w:pPr>
      <w:r>
        <w:rPr>
          <w:rFonts w:hint="cs"/>
          <w:rtl/>
        </w:rPr>
        <w:t>-</w:t>
      </w:r>
      <w:r w:rsidR="00546882" w:rsidRPr="00F20FAD">
        <w:rPr>
          <w:rtl/>
        </w:rPr>
        <w:tab/>
        <w:t>الموارد البشرية: عدد الوظائف في الاتحاد بمكافئ الدوام الكامل، بما في ذلك الإدارة العليا.</w:t>
      </w:r>
    </w:p>
    <w:p w14:paraId="36DD7F00" w14:textId="2852E4B8" w:rsidR="00546882" w:rsidRPr="00F20FAD" w:rsidRDefault="00F20FAD" w:rsidP="00F20FAD">
      <w:pPr>
        <w:pStyle w:val="enumlev1"/>
        <w:rPr>
          <w:rtl/>
        </w:rPr>
      </w:pPr>
      <w:r>
        <w:rPr>
          <w:rFonts w:hint="cs"/>
          <w:rtl/>
        </w:rPr>
        <w:t>-</w:t>
      </w:r>
      <w:r w:rsidR="00546882" w:rsidRPr="00F20FAD">
        <w:rPr>
          <w:rtl/>
        </w:rPr>
        <w:tab/>
        <w:t>تخصيص الوقت: تقدير الوقت المخصص للأنشطة الأساسية والهامشية في اجتماعات المجلس/مؤتمر المندوبين المفوضين/مؤتمرات القطاعات.</w:t>
      </w:r>
    </w:p>
    <w:p w14:paraId="6A5E02E8" w14:textId="6C9875AA" w:rsidR="00546882" w:rsidRPr="00F20FAD" w:rsidRDefault="00F20FAD" w:rsidP="00F20FAD">
      <w:pPr>
        <w:pStyle w:val="enumlev1"/>
        <w:rPr>
          <w:rtl/>
        </w:rPr>
      </w:pPr>
      <w:r>
        <w:rPr>
          <w:rFonts w:hint="cs"/>
          <w:rtl/>
        </w:rPr>
        <w:t>-</w:t>
      </w:r>
      <w:r w:rsidR="00546882" w:rsidRPr="00F20FAD">
        <w:rPr>
          <w:rtl/>
        </w:rPr>
        <w:tab/>
        <w:t>تحليل الازدواجية: التداخل مع الوكالات الأخرى التابعة للأمم المتحدة (مثلاً مع برنامج الأمم المتحدة للمستوطنات البشرية بشأن المدن الذكية المستدامة؛ ومع منظمة الصحة العالمية بشأن الطب عن بُعد؛ ومع برنامج الأمم المتحدة للبيئة بشأن المخلفات الإلكترونية).</w:t>
      </w:r>
    </w:p>
    <w:p w14:paraId="33A26B4E" w14:textId="70A49CDC" w:rsidR="00546882" w:rsidRPr="00F20FAD" w:rsidRDefault="00F20FAD" w:rsidP="00F20FAD">
      <w:pPr>
        <w:pStyle w:val="enumlev1"/>
        <w:rPr>
          <w:rtl/>
        </w:rPr>
      </w:pPr>
      <w:r>
        <w:rPr>
          <w:rFonts w:hint="cs"/>
          <w:rtl/>
        </w:rPr>
        <w:t>-</w:t>
      </w:r>
      <w:r w:rsidR="00546882" w:rsidRPr="00F20FAD">
        <w:rPr>
          <w:rtl/>
        </w:rPr>
        <w:tab/>
        <w:t>مشاريع التنمية: هل تسهم في تطوير كفاءات مستدامة جديدة في مجال نشاط أساسي، أم أنها مشاريع قصيرة الأجل ممولة من جهات مانحة؟</w:t>
      </w:r>
    </w:p>
    <w:p w14:paraId="78FB4DD3" w14:textId="581C1B5A" w:rsidR="00546882" w:rsidRPr="00F20FAD" w:rsidRDefault="00F20FAD" w:rsidP="00F20FAD">
      <w:pPr>
        <w:pStyle w:val="enumlev1"/>
        <w:rPr>
          <w:rtl/>
        </w:rPr>
      </w:pPr>
      <w:r>
        <w:rPr>
          <w:rFonts w:hint="cs"/>
          <w:rtl/>
        </w:rPr>
        <w:t>-</w:t>
      </w:r>
      <w:r w:rsidR="00546882" w:rsidRPr="00F20FAD">
        <w:rPr>
          <w:rtl/>
        </w:rPr>
        <w:tab/>
        <w:t>المنتديات: هل تفضي أحداث مثل القمة العالمية للذكاء الاصطناعي من أجل المصلحة العامة، أو منتدى القمة العالمية لمجتمع المعلومات، إلى نواتج ملموسة ذات تطبيقات عملية؟</w:t>
      </w:r>
    </w:p>
    <w:p w14:paraId="5BE58439" w14:textId="7B808ACF" w:rsidR="00546882" w:rsidRPr="00F20FAD" w:rsidRDefault="00F20FAD" w:rsidP="00F20FAD">
      <w:pPr>
        <w:pStyle w:val="enumlev1"/>
        <w:rPr>
          <w:rtl/>
        </w:rPr>
      </w:pPr>
      <w:r>
        <w:rPr>
          <w:rFonts w:hint="cs"/>
          <w:rtl/>
        </w:rPr>
        <w:t>-</w:t>
      </w:r>
      <w:r w:rsidR="00546882" w:rsidRPr="00F20FAD">
        <w:rPr>
          <w:rtl/>
        </w:rPr>
        <w:tab/>
        <w:t>الاستقصاءات: الدول الأعضاء (وخاصة الجهات المانحة الكبيرة)؛ والقطاع الخاص؛ ووكالات الأمم المتحدة الأخرى؛ وموظفو الاتحاد (مجهولة الهوية).</w:t>
      </w:r>
    </w:p>
    <w:p w14:paraId="0F0E6031" w14:textId="5D98C311" w:rsidR="00546882" w:rsidRPr="00F20FAD" w:rsidRDefault="00F20FAD" w:rsidP="00F20FAD">
      <w:pPr>
        <w:pStyle w:val="enumlev1"/>
        <w:rPr>
          <w:rtl/>
        </w:rPr>
      </w:pPr>
      <w:r>
        <w:rPr>
          <w:rFonts w:hint="cs"/>
          <w:rtl/>
        </w:rPr>
        <w:t>-</w:t>
      </w:r>
      <w:r w:rsidR="00546882" w:rsidRPr="00F20FAD">
        <w:rPr>
          <w:rtl/>
        </w:rPr>
        <w:tab/>
        <w:t>تقييم الأثر السلبي (تكاليف الفرصة البديلة): تقييم كمي للآثار السلبية لتوسع نطاق مهام الاتحاد على أغراضه.</w:t>
      </w:r>
    </w:p>
    <w:p w14:paraId="358CF757" w14:textId="75D901EC" w:rsidR="00546882" w:rsidRPr="00F20FAD" w:rsidRDefault="00F20FAD" w:rsidP="00F20FAD">
      <w:pPr>
        <w:pStyle w:val="enumlev1"/>
        <w:rPr>
          <w:rtl/>
        </w:rPr>
      </w:pPr>
      <w:r>
        <w:rPr>
          <w:rFonts w:hint="cs"/>
          <w:rtl/>
        </w:rPr>
        <w:t>-</w:t>
      </w:r>
      <w:r w:rsidR="00546882" w:rsidRPr="00F20FAD">
        <w:rPr>
          <w:rtl/>
        </w:rPr>
        <w:tab/>
        <w:t>دراسات الحالة: تحليل وربط الموارد بالمخرجات في المجالات الأساسية (مثل الجداول الزمنية لمعالجة بطاقات التبليغ عن الشبك</w:t>
      </w:r>
      <w:r w:rsidR="00907C67">
        <w:rPr>
          <w:rFonts w:hint="cs"/>
          <w:rtl/>
        </w:rPr>
        <w:t>ات</w:t>
      </w:r>
      <w:r w:rsidR="00546882" w:rsidRPr="00F20FAD">
        <w:rPr>
          <w:rtl/>
        </w:rPr>
        <w:t xml:space="preserve"> الساتلية؛ وتحديث قاعدة بيانات النشرة الإعلامية الدولية للترددات الصادرة عن مكتب الاتصالات الراديوية (</w:t>
      </w:r>
      <w:r w:rsidR="00546882" w:rsidRPr="00F20FAD">
        <w:t>BR IFIC</w:t>
      </w:r>
      <w:r w:rsidR="00546882" w:rsidRPr="00F20FAD">
        <w:rPr>
          <w:rtl/>
        </w:rPr>
        <w:t>)).</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3"/>
      <w:headerReference w:type="first" r:id="rId14"/>
      <w:footerReference w:type="first" r:id="rId15"/>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68C0" w14:textId="77777777" w:rsidR="006C37DE" w:rsidRDefault="006C37DE" w:rsidP="006C3242">
      <w:pPr>
        <w:spacing w:before="0" w:line="240" w:lineRule="auto"/>
      </w:pPr>
      <w:r>
        <w:separator/>
      </w:r>
    </w:p>
  </w:endnote>
  <w:endnote w:type="continuationSeparator" w:id="0">
    <w:p w14:paraId="0AFC1CC1" w14:textId="77777777" w:rsidR="006C37DE" w:rsidRDefault="006C37D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03B12E94" w:rsidR="00F50E3F" w:rsidRPr="007B0AA0" w:rsidRDefault="00546882"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hint="cs"/>
              <w:sz w:val="18"/>
              <w:szCs w:val="14"/>
              <w:rtl/>
            </w:rPr>
            <w:t>2600984</w:t>
          </w:r>
        </w:p>
      </w:tc>
      <w:tc>
        <w:tcPr>
          <w:tcW w:w="3912" w:type="pct"/>
        </w:tcPr>
        <w:p w14:paraId="62EE8B15" w14:textId="532F5895"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546882">
            <w:rPr>
              <w:rFonts w:ascii="Calibri" w:hAnsi="Calibri" w:cs="Arial"/>
              <w:bCs/>
              <w:color w:val="7F7F7F"/>
              <w:sz w:val="18"/>
            </w:rPr>
            <w:t>91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1B837123"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546882">
            <w:rPr>
              <w:rFonts w:ascii="Calibri" w:hAnsi="Calibri" w:cs="Arial"/>
              <w:bCs/>
              <w:color w:val="7F7F7F"/>
              <w:sz w:val="18"/>
            </w:rPr>
            <w:t>91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549D" w14:textId="77777777" w:rsidR="006C37DE" w:rsidRDefault="006C37DE" w:rsidP="006C3242">
      <w:pPr>
        <w:spacing w:before="0" w:line="240" w:lineRule="auto"/>
      </w:pPr>
      <w:r>
        <w:separator/>
      </w:r>
    </w:p>
  </w:footnote>
  <w:footnote w:type="continuationSeparator" w:id="0">
    <w:p w14:paraId="624AD6C5" w14:textId="77777777" w:rsidR="006C37DE" w:rsidRDefault="006C37DE" w:rsidP="006C3242">
      <w:pPr>
        <w:spacing w:before="0" w:line="240" w:lineRule="auto"/>
      </w:pPr>
      <w:r>
        <w:continuationSeparator/>
      </w:r>
    </w:p>
  </w:footnote>
  <w:footnote w:id="1">
    <w:p w14:paraId="7BF99FA4" w14:textId="346E1F51" w:rsidR="00546882" w:rsidRPr="00546882" w:rsidRDefault="00546882" w:rsidP="00546882">
      <w:pPr>
        <w:pStyle w:val="Footnotetexte"/>
        <w:rPr>
          <w:lang w:bidi="ar-EG"/>
        </w:rPr>
      </w:pPr>
      <w:r w:rsidRPr="00546882">
        <w:rPr>
          <w:rStyle w:val="FootnoteReference"/>
          <w:position w:val="0"/>
          <w:sz w:val="20"/>
          <w:szCs w:val="20"/>
        </w:rPr>
        <w:footnoteRef/>
      </w:r>
      <w:r w:rsidRPr="00546882">
        <w:rPr>
          <w:rtl/>
        </w:rPr>
        <w:t xml:space="preserve"> </w:t>
      </w:r>
      <w:r>
        <w:tab/>
      </w:r>
      <w:r w:rsidRPr="00546882">
        <w:rPr>
          <w:rtl/>
        </w:rPr>
        <w:t xml:space="preserve">على سبيل المثال، في اجتماع فريق العمل </w:t>
      </w:r>
      <w:r w:rsidRPr="00546882">
        <w:t>CWG-FHR</w:t>
      </w:r>
      <w:r w:rsidRPr="00546882">
        <w:rPr>
          <w:rtl/>
        </w:rPr>
        <w:t xml:space="preserve"> الذي عُقد في يناير 2026، وافق مدير مكتب الاتصالات الراديوية على تعليقات المندوبين بشأن تراكم بطاقات التبليغ عن الشبكات الساتلية، مشيراً إلى أن الوضع فيما يتعلق بالامتثال للمواعيد النهائية للتسجيل قد يصبح أكثر صعوبة مع زيادة عدد بطاقات التبليغ وتعقيدها. وأكد مدير مكتب الاتصالات الراديوية أن الوضع لن يتحسن دون تحديث البرمجيات أو زيادة عدد الموظفين.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0491C"/>
    <w:multiLevelType w:val="hybridMultilevel"/>
    <w:tmpl w:val="D794D2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8C52D6"/>
    <w:multiLevelType w:val="hybridMultilevel"/>
    <w:tmpl w:val="87A2D34E"/>
    <w:lvl w:ilvl="0" w:tplc="AC7E1344">
      <w:numFmt w:val="bullet"/>
      <w:lvlText w:val="•"/>
      <w:lvlJc w:val="left"/>
      <w:pPr>
        <w:ind w:left="720" w:hanging="360"/>
      </w:pPr>
      <w:rPr>
        <w:rFonts w:ascii="Dubai" w:eastAsiaTheme="minorEastAsia" w:hAnsi="Dubai" w:cs="Duba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2018605">
    <w:abstractNumId w:val="9"/>
  </w:num>
  <w:num w:numId="2" w16cid:durableId="2119833076">
    <w:abstractNumId w:val="7"/>
  </w:num>
  <w:num w:numId="3" w16cid:durableId="116877833">
    <w:abstractNumId w:val="6"/>
  </w:num>
  <w:num w:numId="4" w16cid:durableId="520241071">
    <w:abstractNumId w:val="5"/>
  </w:num>
  <w:num w:numId="5" w16cid:durableId="1631206557">
    <w:abstractNumId w:val="4"/>
  </w:num>
  <w:num w:numId="6" w16cid:durableId="814875406">
    <w:abstractNumId w:val="8"/>
  </w:num>
  <w:num w:numId="7" w16cid:durableId="1347632007">
    <w:abstractNumId w:val="3"/>
  </w:num>
  <w:num w:numId="8" w16cid:durableId="1634208611">
    <w:abstractNumId w:val="2"/>
  </w:num>
  <w:num w:numId="9" w16cid:durableId="966198742">
    <w:abstractNumId w:val="1"/>
  </w:num>
  <w:num w:numId="10" w16cid:durableId="29380615">
    <w:abstractNumId w:val="0"/>
  </w:num>
  <w:num w:numId="11" w16cid:durableId="1514219031">
    <w:abstractNumId w:val="12"/>
  </w:num>
  <w:num w:numId="12" w16cid:durableId="1453136907">
    <w:abstractNumId w:val="10"/>
  </w:num>
  <w:num w:numId="13" w16cid:durableId="1362781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1094D"/>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349B2"/>
    <w:rsid w:val="005409AC"/>
    <w:rsid w:val="005434E0"/>
    <w:rsid w:val="00546882"/>
    <w:rsid w:val="005546CF"/>
    <w:rsid w:val="0055516A"/>
    <w:rsid w:val="0058491B"/>
    <w:rsid w:val="00592EA5"/>
    <w:rsid w:val="005A3170"/>
    <w:rsid w:val="00657019"/>
    <w:rsid w:val="00660DEA"/>
    <w:rsid w:val="00677396"/>
    <w:rsid w:val="00683F16"/>
    <w:rsid w:val="0069200F"/>
    <w:rsid w:val="006A65CB"/>
    <w:rsid w:val="006B12E5"/>
    <w:rsid w:val="006C3242"/>
    <w:rsid w:val="006C37DE"/>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07C67"/>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599D"/>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0FAD"/>
    <w:rsid w:val="00F24FC4"/>
    <w:rsid w:val="00F2676C"/>
    <w:rsid w:val="00F363FE"/>
    <w:rsid w:val="00F50E3F"/>
    <w:rsid w:val="00F70532"/>
    <w:rsid w:val="00F84366"/>
    <w:rsid w:val="00F8469F"/>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Referencetext">
    <w:name w:val="Reference text"/>
    <w:basedOn w:val="Normal"/>
    <w:qFormat/>
    <w:rsid w:val="00546882"/>
    <w:pPr>
      <w:spacing w:after="0"/>
    </w:pPr>
  </w:style>
  <w:style w:type="paragraph" w:customStyle="1" w:styleId="Tabletext">
    <w:name w:val="Table_text"/>
    <w:basedOn w:val="Normal"/>
    <w:qFormat/>
    <w:rsid w:val="00546882"/>
    <w:pPr>
      <w:tabs>
        <w:tab w:val="clear" w:pos="794"/>
        <w:tab w:val="left" w:pos="284"/>
        <w:tab w:val="left" w:pos="567"/>
        <w:tab w:val="left" w:pos="851"/>
      </w:tabs>
      <w:spacing w:before="40" w:after="40" w:line="260" w:lineRule="exact"/>
    </w:pPr>
    <w:rPr>
      <w:sz w:val="20"/>
      <w:szCs w:val="20"/>
      <w:lang w:bidi="ar-SY"/>
    </w:rPr>
  </w:style>
  <w:style w:type="paragraph" w:customStyle="1" w:styleId="Footnotetext0">
    <w:name w:val="Footnote_text"/>
    <w:basedOn w:val="Normal"/>
    <w:qFormat/>
    <w:rsid w:val="00546882"/>
    <w:pPr>
      <w:tabs>
        <w:tab w:val="clear" w:pos="794"/>
        <w:tab w:val="left" w:pos="397"/>
      </w:tabs>
      <w:spacing w:before="60" w:after="0" w:line="168" w:lineRule="auto"/>
      <w:ind w:left="397" w:hanging="397"/>
    </w:pPr>
    <w:rPr>
      <w:sz w:val="20"/>
      <w:szCs w:val="20"/>
    </w:rPr>
  </w:style>
  <w:style w:type="paragraph" w:customStyle="1" w:styleId="Figure">
    <w:name w:val="Figure"/>
    <w:basedOn w:val="Normal"/>
    <w:next w:val="Normal"/>
    <w:rsid w:val="00546882"/>
    <w:pPr>
      <w:tabs>
        <w:tab w:val="clear" w:pos="794"/>
        <w:tab w:val="left" w:pos="567"/>
        <w:tab w:val="left" w:pos="1134"/>
        <w:tab w:val="left" w:pos="1701"/>
        <w:tab w:val="left" w:pos="2268"/>
        <w:tab w:val="left" w:pos="2835"/>
      </w:tabs>
      <w:overflowPunct w:val="0"/>
      <w:autoSpaceDE w:val="0"/>
      <w:autoSpaceDN w:val="0"/>
      <w:bidi w:val="0"/>
      <w:adjustRightInd w:val="0"/>
      <w:spacing w:after="240" w:line="240" w:lineRule="auto"/>
      <w:jc w:val="center"/>
      <w:textAlignment w:val="baseline"/>
    </w:pPr>
    <w:rPr>
      <w:rFonts w:ascii="Calibri" w:eastAsia="Times New Roman" w:hAnsi="Calibri" w:cs="Times New Roman"/>
      <w:sz w:val="24"/>
      <w:szCs w:val="20"/>
      <w:lang w:val="fr-FR" w:eastAsia="en-US"/>
    </w:rPr>
  </w:style>
  <w:style w:type="paragraph" w:customStyle="1" w:styleId="toc0">
    <w:name w:val="toc 0"/>
    <w:basedOn w:val="Normal"/>
    <w:next w:val="TOC1"/>
    <w:rsid w:val="00546882"/>
    <w:pPr>
      <w:tabs>
        <w:tab w:val="clear" w:pos="794"/>
        <w:tab w:val="right" w:pos="9781"/>
      </w:tabs>
      <w:overflowPunct w:val="0"/>
      <w:autoSpaceDE w:val="0"/>
      <w:autoSpaceDN w:val="0"/>
      <w:bidi w:val="0"/>
      <w:adjustRightInd w:val="0"/>
      <w:spacing w:after="0" w:line="240" w:lineRule="auto"/>
      <w:jc w:val="left"/>
      <w:textAlignment w:val="baseline"/>
    </w:pPr>
    <w:rPr>
      <w:rFonts w:ascii="Calibri" w:eastAsia="Times New Roman" w:hAnsi="Calibri" w:cs="Times New Roman"/>
      <w:b/>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5/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WGFHR22-C-0025/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WGFHR22-C-0036/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25-CL-C-0086/en" TargetMode="External"/><Relationship Id="rId4" Type="http://schemas.openxmlformats.org/officeDocument/2006/relationships/settings" Target="settings.xml"/><Relationship Id="rId9" Type="http://schemas.openxmlformats.org/officeDocument/2006/relationships/hyperlink" Target="https://www.itu.int/md/S26-CWGFHR22-C-0025/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0</TotalTime>
  <Pages>6</Pages>
  <Words>5296</Words>
  <Characters>5721</Characters>
  <Application>Microsoft Office Word</Application>
  <DocSecurity>0</DocSecurity>
  <Lines>272</Lines>
  <Paragraphs>324</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optimization of ITU resource allocation to better align with the purposes of the Union</dc:title>
  <dc:subject>ITU Council 2026</dc:subject>
  <cp:keywords>C26; C2026; Council 2026; PP26</cp:keywords>
  <dc:description/>
  <dcterms:created xsi:type="dcterms:W3CDTF">2026-04-29T17:51:00Z</dcterms:created>
  <dcterms:modified xsi:type="dcterms:W3CDTF">2026-04-29T17:51:00Z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