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CA443B" w14:paraId="4D0E04A7" w14:textId="77777777" w:rsidTr="00C4421B">
        <w:trPr>
          <w:cantSplit/>
          <w:trHeight w:val="23"/>
        </w:trPr>
        <w:tc>
          <w:tcPr>
            <w:tcW w:w="3969" w:type="dxa"/>
            <w:vMerge w:val="restart"/>
            <w:tcMar>
              <w:left w:w="0" w:type="dxa"/>
            </w:tcMar>
          </w:tcPr>
          <w:p w14:paraId="42CACCA0" w14:textId="286A6E9E" w:rsidR="00FE57F6" w:rsidRPr="00CA443B" w:rsidRDefault="00CC1FAF" w:rsidP="00C4421B">
            <w:pPr>
              <w:tabs>
                <w:tab w:val="left" w:pos="851"/>
              </w:tabs>
              <w:spacing w:before="0" w:line="240" w:lineRule="atLeast"/>
              <w:rPr>
                <w:b/>
                <w:lang w:val="es-ES_tradnl"/>
              </w:rPr>
            </w:pPr>
            <w:bookmarkStart w:id="0" w:name="_Hlk133421839"/>
            <w:r w:rsidRPr="00CA443B">
              <w:rPr>
                <w:b/>
                <w:lang w:val="es-ES_tradnl"/>
              </w:rPr>
              <w:t>Punto del o</w:t>
            </w:r>
            <w:r w:rsidR="00BB6FD8" w:rsidRPr="00CA443B">
              <w:rPr>
                <w:b/>
                <w:lang w:val="es-ES_tradnl"/>
              </w:rPr>
              <w:t>rden del día</w:t>
            </w:r>
            <w:r w:rsidR="00FE57F6" w:rsidRPr="00CA443B">
              <w:rPr>
                <w:b/>
                <w:lang w:val="es-ES_tradnl"/>
              </w:rPr>
              <w:t xml:space="preserve">: </w:t>
            </w:r>
            <w:r w:rsidR="00CF2D31" w:rsidRPr="00CA443B">
              <w:rPr>
                <w:b/>
                <w:lang w:val="es-ES_tradnl"/>
              </w:rPr>
              <w:t>ADM 1</w:t>
            </w:r>
          </w:p>
        </w:tc>
        <w:tc>
          <w:tcPr>
            <w:tcW w:w="5245" w:type="dxa"/>
          </w:tcPr>
          <w:p w14:paraId="7918F222" w14:textId="6D725DAF" w:rsidR="00FE57F6" w:rsidRPr="00CA443B" w:rsidRDefault="00FE57F6" w:rsidP="00C4421B">
            <w:pPr>
              <w:tabs>
                <w:tab w:val="left" w:pos="851"/>
              </w:tabs>
              <w:spacing w:before="0" w:line="240" w:lineRule="atLeast"/>
              <w:jc w:val="right"/>
              <w:rPr>
                <w:b/>
                <w:lang w:val="es-ES_tradnl"/>
              </w:rPr>
            </w:pPr>
            <w:r w:rsidRPr="00CA443B">
              <w:rPr>
                <w:b/>
                <w:lang w:val="es-ES_tradnl"/>
              </w:rPr>
              <w:t>Document</w:t>
            </w:r>
            <w:r w:rsidR="00F24B71" w:rsidRPr="00CA443B">
              <w:rPr>
                <w:b/>
                <w:lang w:val="es-ES_tradnl"/>
              </w:rPr>
              <w:t>o</w:t>
            </w:r>
            <w:r w:rsidRPr="00CA443B">
              <w:rPr>
                <w:b/>
                <w:lang w:val="es-ES_tradnl"/>
              </w:rPr>
              <w:t xml:space="preserve"> C2</w:t>
            </w:r>
            <w:r w:rsidR="00F85E5C" w:rsidRPr="00CA443B">
              <w:rPr>
                <w:b/>
                <w:lang w:val="es-ES_tradnl"/>
              </w:rPr>
              <w:t>6</w:t>
            </w:r>
            <w:r w:rsidRPr="00CA443B">
              <w:rPr>
                <w:b/>
                <w:lang w:val="es-ES_tradnl"/>
              </w:rPr>
              <w:t>/</w:t>
            </w:r>
            <w:r w:rsidR="00CF2D31" w:rsidRPr="00CA443B">
              <w:rPr>
                <w:b/>
                <w:lang w:val="es-ES_tradnl"/>
              </w:rPr>
              <w:t>90</w:t>
            </w:r>
            <w:r w:rsidRPr="00CA443B">
              <w:rPr>
                <w:b/>
                <w:lang w:val="es-ES_tradnl"/>
              </w:rPr>
              <w:t>-</w:t>
            </w:r>
            <w:r w:rsidR="00F24B71" w:rsidRPr="00CA443B">
              <w:rPr>
                <w:b/>
                <w:lang w:val="es-ES_tradnl"/>
              </w:rPr>
              <w:t>S</w:t>
            </w:r>
          </w:p>
        </w:tc>
      </w:tr>
      <w:tr w:rsidR="00FE57F6" w:rsidRPr="00CA443B" w14:paraId="571B67F1" w14:textId="77777777" w:rsidTr="00C4421B">
        <w:trPr>
          <w:cantSplit/>
        </w:trPr>
        <w:tc>
          <w:tcPr>
            <w:tcW w:w="3969" w:type="dxa"/>
            <w:vMerge/>
          </w:tcPr>
          <w:p w14:paraId="2DD54FB7" w14:textId="77777777" w:rsidR="00FE57F6" w:rsidRPr="00CA443B" w:rsidRDefault="00FE57F6" w:rsidP="00C4421B">
            <w:pPr>
              <w:tabs>
                <w:tab w:val="left" w:pos="851"/>
              </w:tabs>
              <w:spacing w:line="240" w:lineRule="atLeast"/>
              <w:rPr>
                <w:b/>
                <w:lang w:val="es-ES_tradnl"/>
              </w:rPr>
            </w:pPr>
          </w:p>
        </w:tc>
        <w:tc>
          <w:tcPr>
            <w:tcW w:w="5245" w:type="dxa"/>
          </w:tcPr>
          <w:p w14:paraId="6B5FD92C" w14:textId="0DC4D3C1" w:rsidR="00FE57F6" w:rsidRPr="00CA443B" w:rsidRDefault="00CF2D31" w:rsidP="00C4421B">
            <w:pPr>
              <w:tabs>
                <w:tab w:val="left" w:pos="851"/>
              </w:tabs>
              <w:spacing w:before="0"/>
              <w:jc w:val="right"/>
              <w:rPr>
                <w:b/>
                <w:lang w:val="es-ES_tradnl"/>
              </w:rPr>
            </w:pPr>
            <w:r w:rsidRPr="00CA443B">
              <w:rPr>
                <w:b/>
                <w:lang w:val="es-ES_tradnl"/>
              </w:rPr>
              <w:t>14 de abril de 2026</w:t>
            </w:r>
          </w:p>
        </w:tc>
      </w:tr>
      <w:tr w:rsidR="00FE57F6" w:rsidRPr="00CA443B" w14:paraId="3CFC593C" w14:textId="77777777" w:rsidTr="00C4421B">
        <w:trPr>
          <w:cantSplit/>
          <w:trHeight w:val="23"/>
        </w:trPr>
        <w:tc>
          <w:tcPr>
            <w:tcW w:w="3969" w:type="dxa"/>
            <w:vMerge/>
          </w:tcPr>
          <w:p w14:paraId="516F653D" w14:textId="77777777" w:rsidR="00FE57F6" w:rsidRPr="00CA443B" w:rsidRDefault="00FE57F6" w:rsidP="00C4421B">
            <w:pPr>
              <w:tabs>
                <w:tab w:val="left" w:pos="851"/>
              </w:tabs>
              <w:spacing w:line="240" w:lineRule="atLeast"/>
              <w:rPr>
                <w:b/>
                <w:lang w:val="es-ES_tradnl"/>
              </w:rPr>
            </w:pPr>
          </w:p>
        </w:tc>
        <w:tc>
          <w:tcPr>
            <w:tcW w:w="5245" w:type="dxa"/>
          </w:tcPr>
          <w:p w14:paraId="398BA316" w14:textId="401D0BBD" w:rsidR="00FE57F6" w:rsidRPr="00CA443B" w:rsidRDefault="00F24B71" w:rsidP="00C4421B">
            <w:pPr>
              <w:tabs>
                <w:tab w:val="left" w:pos="851"/>
              </w:tabs>
              <w:spacing w:before="0" w:line="240" w:lineRule="atLeast"/>
              <w:jc w:val="right"/>
              <w:rPr>
                <w:b/>
                <w:bCs/>
                <w:lang w:val="es-ES_tradnl"/>
              </w:rPr>
            </w:pPr>
            <w:r w:rsidRPr="00CA443B">
              <w:rPr>
                <w:rFonts w:cstheme="minorHAnsi"/>
                <w:b/>
                <w:bCs/>
                <w:lang w:val="es-ES_tradnl"/>
              </w:rPr>
              <w:t xml:space="preserve">Original: </w:t>
            </w:r>
            <w:r w:rsidR="00CF2D31" w:rsidRPr="00CA443B">
              <w:rPr>
                <w:rFonts w:cstheme="minorHAnsi"/>
                <w:b/>
                <w:bCs/>
                <w:lang w:val="es-ES_tradnl"/>
              </w:rPr>
              <w:t>ruso</w:t>
            </w:r>
          </w:p>
        </w:tc>
      </w:tr>
      <w:tr w:rsidR="00FE57F6" w:rsidRPr="00CA443B" w14:paraId="10E16A08" w14:textId="77777777" w:rsidTr="00C4421B">
        <w:trPr>
          <w:cantSplit/>
          <w:trHeight w:val="23"/>
        </w:trPr>
        <w:tc>
          <w:tcPr>
            <w:tcW w:w="3969" w:type="dxa"/>
          </w:tcPr>
          <w:p w14:paraId="37F82F42" w14:textId="77777777" w:rsidR="00FE57F6" w:rsidRPr="00CA443B" w:rsidRDefault="00FE57F6" w:rsidP="00C4421B">
            <w:pPr>
              <w:tabs>
                <w:tab w:val="left" w:pos="851"/>
              </w:tabs>
              <w:spacing w:line="240" w:lineRule="atLeast"/>
              <w:rPr>
                <w:b/>
                <w:lang w:val="es-ES_tradnl"/>
              </w:rPr>
            </w:pPr>
          </w:p>
        </w:tc>
        <w:tc>
          <w:tcPr>
            <w:tcW w:w="5245" w:type="dxa"/>
          </w:tcPr>
          <w:p w14:paraId="4739D65C" w14:textId="77777777" w:rsidR="00FE57F6" w:rsidRPr="00CA443B" w:rsidRDefault="00FE57F6" w:rsidP="00C4421B">
            <w:pPr>
              <w:tabs>
                <w:tab w:val="left" w:pos="851"/>
              </w:tabs>
              <w:spacing w:before="0" w:line="240" w:lineRule="atLeast"/>
              <w:jc w:val="right"/>
              <w:rPr>
                <w:b/>
                <w:lang w:val="es-ES_tradnl"/>
              </w:rPr>
            </w:pPr>
          </w:p>
        </w:tc>
      </w:tr>
      <w:tr w:rsidR="00FE57F6" w:rsidRPr="00CA443B" w14:paraId="41C3C6B0" w14:textId="77777777" w:rsidTr="00C4421B">
        <w:trPr>
          <w:cantSplit/>
        </w:trPr>
        <w:tc>
          <w:tcPr>
            <w:tcW w:w="9214" w:type="dxa"/>
            <w:gridSpan w:val="2"/>
            <w:tcMar>
              <w:left w:w="0" w:type="dxa"/>
            </w:tcMar>
          </w:tcPr>
          <w:p w14:paraId="32AD69E2" w14:textId="48436F28" w:rsidR="00FE57F6" w:rsidRPr="00CA443B" w:rsidRDefault="00592297" w:rsidP="00C4421B">
            <w:pPr>
              <w:pStyle w:val="Source"/>
              <w:jc w:val="left"/>
              <w:rPr>
                <w:sz w:val="34"/>
                <w:szCs w:val="34"/>
                <w:lang w:val="es-ES_tradnl"/>
              </w:rPr>
            </w:pPr>
            <w:r w:rsidRPr="00592297">
              <w:rPr>
                <w:rFonts w:cstheme="minorHAnsi"/>
                <w:sz w:val="34"/>
                <w:szCs w:val="34"/>
                <w:lang w:val="es-ES_tradnl"/>
              </w:rPr>
              <w:t xml:space="preserve">Contribución de la Federación de Rusia, Armenia (República de), y </w:t>
            </w:r>
            <w:proofErr w:type="spellStart"/>
            <w:r w:rsidRPr="00592297">
              <w:rPr>
                <w:rFonts w:cstheme="minorHAnsi"/>
                <w:sz w:val="34"/>
                <w:szCs w:val="34"/>
                <w:lang w:val="es-ES_tradnl"/>
              </w:rPr>
              <w:t>Belarús</w:t>
            </w:r>
            <w:proofErr w:type="spellEnd"/>
            <w:r w:rsidRPr="00592297">
              <w:rPr>
                <w:rFonts w:cstheme="minorHAnsi"/>
                <w:sz w:val="34"/>
                <w:szCs w:val="34"/>
                <w:lang w:val="es-ES_tradnl"/>
              </w:rPr>
              <w:t xml:space="preserve"> (República de)</w:t>
            </w:r>
          </w:p>
        </w:tc>
      </w:tr>
      <w:tr w:rsidR="00FE57F6" w:rsidRPr="00CA443B" w14:paraId="2FD91992" w14:textId="77777777" w:rsidTr="00C4421B">
        <w:trPr>
          <w:cantSplit/>
        </w:trPr>
        <w:tc>
          <w:tcPr>
            <w:tcW w:w="9214" w:type="dxa"/>
            <w:gridSpan w:val="2"/>
            <w:tcMar>
              <w:left w:w="0" w:type="dxa"/>
            </w:tcMar>
          </w:tcPr>
          <w:p w14:paraId="0EAA21A3" w14:textId="1DEFF3F0" w:rsidR="00FE57F6" w:rsidRPr="00CA443B" w:rsidRDefault="00CF2D31" w:rsidP="00C4421B">
            <w:pPr>
              <w:pStyle w:val="Subtitle"/>
              <w:framePr w:hSpace="0" w:wrap="auto" w:hAnchor="text" w:xAlign="left" w:yAlign="inline"/>
              <w:rPr>
                <w:lang w:val="es-ES_tradnl"/>
              </w:rPr>
            </w:pPr>
            <w:r w:rsidRPr="00CA443B">
              <w:rPr>
                <w:lang w:val="es-ES_tradnl"/>
              </w:rPr>
              <w:t>MEJORA DEL MECANISMO DE RECUPERACIÓN DE COSTES PARA LA TRAMITACIÓN DE NOTIFICACIONES DE REDES DE SATÉLITES</w:t>
            </w:r>
          </w:p>
        </w:tc>
      </w:tr>
      <w:tr w:rsidR="00FE57F6" w:rsidRPr="00CA443B" w14:paraId="02C578E1" w14:textId="77777777" w:rsidTr="00C4421B">
        <w:trPr>
          <w:cantSplit/>
        </w:trPr>
        <w:tc>
          <w:tcPr>
            <w:tcW w:w="9214" w:type="dxa"/>
            <w:gridSpan w:val="2"/>
            <w:tcBorders>
              <w:top w:val="single" w:sz="4" w:space="0" w:color="auto"/>
              <w:bottom w:val="single" w:sz="4" w:space="0" w:color="auto"/>
            </w:tcBorders>
            <w:tcMar>
              <w:left w:w="0" w:type="dxa"/>
            </w:tcMar>
          </w:tcPr>
          <w:p w14:paraId="36B6C816" w14:textId="77777777" w:rsidR="00FE57F6" w:rsidRPr="00CA443B" w:rsidRDefault="00F24B71" w:rsidP="00C4421B">
            <w:pPr>
              <w:spacing w:before="160"/>
              <w:rPr>
                <w:b/>
                <w:bCs/>
                <w:sz w:val="26"/>
                <w:szCs w:val="26"/>
                <w:lang w:val="es-ES_tradnl"/>
              </w:rPr>
            </w:pPr>
            <w:r w:rsidRPr="00CA443B">
              <w:rPr>
                <w:b/>
                <w:bCs/>
                <w:sz w:val="26"/>
                <w:szCs w:val="26"/>
                <w:lang w:val="es-ES_tradnl"/>
              </w:rPr>
              <w:t>Finalidad</w:t>
            </w:r>
          </w:p>
          <w:p w14:paraId="1D26C9DD" w14:textId="47C0C661" w:rsidR="00FE57F6" w:rsidRPr="00CA443B" w:rsidRDefault="00CF2D31" w:rsidP="00C4421B">
            <w:pPr>
              <w:rPr>
                <w:lang w:val="es-ES_tradnl"/>
              </w:rPr>
            </w:pPr>
            <w:r w:rsidRPr="00CA443B">
              <w:rPr>
                <w:color w:val="000000"/>
                <w:lang w:val="es-ES_tradnl"/>
              </w:rPr>
              <w:t>Esta contribución propone revisar el mecanismo que se utiliza actualmente para recuperar los costes de la tramitación de notificaciones de redes de satélites (Acuerdo 482 del Consejo) excluyendo los costes indirectos de los costes que han de recuperar los operadores de satélites. Se propone que, empezando con el ciclo presupuestario de 2028-2029, los costes indirectos de la tramitación de notificaciones de redes de satélites se financien a cargo del presupuesto ordinario de la UIT.</w:t>
            </w:r>
          </w:p>
          <w:p w14:paraId="741ADCE7" w14:textId="77777777" w:rsidR="00FE57F6" w:rsidRPr="00CA443B" w:rsidRDefault="00F24B71" w:rsidP="00C4421B">
            <w:pPr>
              <w:spacing w:before="160"/>
              <w:rPr>
                <w:b/>
                <w:bCs/>
                <w:sz w:val="26"/>
                <w:szCs w:val="26"/>
                <w:lang w:val="es-ES_tradnl"/>
              </w:rPr>
            </w:pPr>
            <w:r w:rsidRPr="00CA443B">
              <w:rPr>
                <w:b/>
                <w:bCs/>
                <w:sz w:val="26"/>
                <w:szCs w:val="26"/>
                <w:lang w:val="es-ES_tradnl"/>
              </w:rPr>
              <w:t xml:space="preserve">Acción solicitada </w:t>
            </w:r>
            <w:r w:rsidR="00677A97" w:rsidRPr="00CA443B">
              <w:rPr>
                <w:b/>
                <w:bCs/>
                <w:sz w:val="26"/>
                <w:szCs w:val="26"/>
                <w:lang w:val="es-ES_tradnl"/>
              </w:rPr>
              <w:t>al</w:t>
            </w:r>
            <w:r w:rsidRPr="00CA443B">
              <w:rPr>
                <w:b/>
                <w:bCs/>
                <w:sz w:val="26"/>
                <w:szCs w:val="26"/>
                <w:lang w:val="es-ES_tradnl"/>
              </w:rPr>
              <w:t xml:space="preserve"> Consejo</w:t>
            </w:r>
          </w:p>
          <w:p w14:paraId="45997DE8" w14:textId="60138756" w:rsidR="00F92BED" w:rsidRPr="00CA443B" w:rsidRDefault="00CF2D31" w:rsidP="00C4421B">
            <w:pPr>
              <w:spacing w:before="160"/>
              <w:rPr>
                <w:szCs w:val="24"/>
                <w:lang w:val="es-ES_tradnl"/>
              </w:rPr>
            </w:pPr>
            <w:r w:rsidRPr="00CA443B">
              <w:rPr>
                <w:color w:val="000000"/>
                <w:lang w:val="es-ES_tradnl"/>
              </w:rPr>
              <w:t xml:space="preserve">Se invita al Consejo a </w:t>
            </w:r>
            <w:r w:rsidRPr="00CA443B">
              <w:rPr>
                <w:b/>
                <w:bCs/>
                <w:color w:val="000000"/>
                <w:lang w:val="es-ES_tradnl"/>
              </w:rPr>
              <w:t>examinar</w:t>
            </w:r>
            <w:r w:rsidRPr="00CA443B">
              <w:rPr>
                <w:color w:val="000000"/>
                <w:lang w:val="es-ES_tradnl"/>
              </w:rPr>
              <w:t xml:space="preserve"> las propuestas y formular los comentarios y sugerencias que estime convenientes.</w:t>
            </w:r>
          </w:p>
          <w:p w14:paraId="34E4FDF4" w14:textId="77777777" w:rsidR="00FE57F6" w:rsidRPr="00CA443B" w:rsidRDefault="00FE57F6" w:rsidP="00C4421B">
            <w:pPr>
              <w:spacing w:before="160"/>
              <w:rPr>
                <w:caps/>
                <w:sz w:val="22"/>
                <w:lang w:val="es-ES_tradnl"/>
              </w:rPr>
            </w:pPr>
            <w:r w:rsidRPr="00CA443B">
              <w:rPr>
                <w:sz w:val="22"/>
                <w:lang w:val="es-ES_tradnl"/>
              </w:rPr>
              <w:t>__________________</w:t>
            </w:r>
          </w:p>
          <w:p w14:paraId="4FEF5C19" w14:textId="77777777" w:rsidR="00FE57F6" w:rsidRPr="00CA443B" w:rsidRDefault="00F24B71" w:rsidP="00C4421B">
            <w:pPr>
              <w:spacing w:before="160"/>
              <w:rPr>
                <w:b/>
                <w:bCs/>
                <w:sz w:val="26"/>
                <w:szCs w:val="26"/>
                <w:lang w:val="es-ES_tradnl"/>
              </w:rPr>
            </w:pPr>
            <w:r w:rsidRPr="00CA443B">
              <w:rPr>
                <w:b/>
                <w:bCs/>
                <w:sz w:val="26"/>
                <w:szCs w:val="26"/>
                <w:lang w:val="es-ES_tradnl"/>
              </w:rPr>
              <w:t>Referencia</w:t>
            </w:r>
            <w:r w:rsidR="00F92BED" w:rsidRPr="00CA443B">
              <w:rPr>
                <w:b/>
                <w:bCs/>
                <w:sz w:val="26"/>
                <w:szCs w:val="26"/>
                <w:lang w:val="es-ES_tradnl"/>
              </w:rPr>
              <w:t>s</w:t>
            </w:r>
            <w:r w:rsidR="00D375E0" w:rsidRPr="00CA443B">
              <w:rPr>
                <w:sz w:val="26"/>
                <w:szCs w:val="26"/>
                <w:lang w:val="es-ES_tradnl"/>
              </w:rPr>
              <w:t xml:space="preserve"> </w:t>
            </w:r>
          </w:p>
          <w:p w14:paraId="2CACF87C" w14:textId="11FE9BC4" w:rsidR="00FE57F6" w:rsidRPr="00CA443B" w:rsidRDefault="00CF2D31" w:rsidP="00C4421B">
            <w:pPr>
              <w:spacing w:after="160"/>
              <w:rPr>
                <w:i/>
                <w:iCs/>
                <w:sz w:val="22"/>
                <w:szCs w:val="22"/>
                <w:lang w:val="es-ES_tradnl"/>
              </w:rPr>
            </w:pPr>
            <w:r w:rsidRPr="00CA443B">
              <w:rPr>
                <w:i/>
                <w:iCs/>
                <w:color w:val="000000"/>
                <w:lang w:val="es-ES_tradnl"/>
              </w:rPr>
              <w:t xml:space="preserve">Acuerdo </w:t>
            </w:r>
            <w:hyperlink r:id="rId6" w:history="1">
              <w:r w:rsidRPr="00CA443B">
                <w:rPr>
                  <w:rStyle w:val="Hyperlink"/>
                  <w:rFonts w:eastAsia="Times New Roman" w:cs="Times New Roman"/>
                  <w:i/>
                  <w:iCs/>
                  <w:szCs w:val="20"/>
                  <w:lang w:val="es-ES_tradnl"/>
                </w:rPr>
                <w:t>482 (C01, modificado por última vez C25)</w:t>
              </w:r>
            </w:hyperlink>
            <w:r w:rsidRPr="00CA443B">
              <w:rPr>
                <w:i/>
                <w:iCs/>
                <w:color w:val="000000"/>
                <w:lang w:val="es-ES_tradnl"/>
              </w:rPr>
              <w:t>;</w:t>
            </w:r>
            <w:r w:rsidRPr="00CA443B">
              <w:rPr>
                <w:color w:val="000000"/>
                <w:lang w:val="es-ES_tradnl"/>
              </w:rPr>
              <w:t xml:space="preserve"> </w:t>
            </w:r>
            <w:r w:rsidRPr="00CA443B">
              <w:rPr>
                <w:i/>
                <w:iCs/>
                <w:color w:val="000000"/>
                <w:lang w:val="es-ES_tradnl"/>
              </w:rPr>
              <w:t xml:space="preserve">Resolución </w:t>
            </w:r>
            <w:hyperlink r:id="rId7" w:history="1">
              <w:r w:rsidR="00D271B0" w:rsidRPr="00CA443B">
                <w:rPr>
                  <w:rStyle w:val="Hyperlink"/>
                  <w:i/>
                  <w:iCs/>
                  <w:lang w:val="es-ES_tradnl"/>
                </w:rPr>
                <w:t>91 (Rev. Guadalajara, 2010)</w:t>
              </w:r>
              <w:r w:rsidR="00D271B0" w:rsidRPr="00CA443B">
                <w:rPr>
                  <w:i/>
                  <w:iCs/>
                  <w:color w:val="000000"/>
                  <w:lang w:val="es-ES_tradnl"/>
                </w:rPr>
                <w:t xml:space="preserve"> </w:t>
              </w:r>
            </w:hyperlink>
            <w:r w:rsidR="00D271B0" w:rsidRPr="00CA443B">
              <w:rPr>
                <w:i/>
                <w:iCs/>
                <w:color w:val="000000"/>
                <w:lang w:val="es-ES_tradnl"/>
              </w:rPr>
              <w:t>de la Conferencia de Plenipotenciarios</w:t>
            </w:r>
            <w:r w:rsidRPr="00CA443B">
              <w:rPr>
                <w:i/>
                <w:iCs/>
                <w:color w:val="000000"/>
                <w:lang w:val="es-ES_tradnl"/>
              </w:rPr>
              <w:t>;</w:t>
            </w:r>
            <w:r w:rsidRPr="00CA443B">
              <w:rPr>
                <w:color w:val="000000"/>
                <w:lang w:val="es-ES_tradnl"/>
              </w:rPr>
              <w:t xml:space="preserve"> </w:t>
            </w:r>
            <w:r w:rsidRPr="00CA443B">
              <w:rPr>
                <w:i/>
                <w:iCs/>
                <w:color w:val="000000"/>
                <w:lang w:val="es-ES_tradnl"/>
              </w:rPr>
              <w:t xml:space="preserve">Documento </w:t>
            </w:r>
            <w:hyperlink r:id="rId8" w:history="1">
              <w:r w:rsidRPr="00CA443B">
                <w:rPr>
                  <w:rStyle w:val="Hyperlink"/>
                  <w:rFonts w:eastAsia="Times New Roman" w:cs="Times New Roman"/>
                  <w:i/>
                  <w:iCs/>
                  <w:szCs w:val="20"/>
                  <w:lang w:val="es-ES_tradnl"/>
                </w:rPr>
                <w:t>CWG-FHR-22/2</w:t>
              </w:r>
            </w:hyperlink>
            <w:r w:rsidRPr="00CA443B">
              <w:rPr>
                <w:i/>
                <w:iCs/>
                <w:color w:val="000000"/>
                <w:lang w:val="es-ES_tradnl"/>
              </w:rPr>
              <w:t>, en el que se proponen actualizaciones de la metodología para la</w:t>
            </w:r>
            <w:r w:rsidR="00866399" w:rsidRPr="00CA443B">
              <w:rPr>
                <w:i/>
                <w:iCs/>
                <w:color w:val="000000"/>
                <w:lang w:val="es-ES_tradnl"/>
              </w:rPr>
              <w:t>s</w:t>
            </w:r>
            <w:r w:rsidRPr="00CA443B">
              <w:rPr>
                <w:i/>
                <w:iCs/>
                <w:color w:val="000000"/>
                <w:lang w:val="es-ES_tradnl"/>
              </w:rPr>
              <w:t xml:space="preserve"> notificaciones de redes de satélites.</w:t>
            </w:r>
          </w:p>
        </w:tc>
      </w:tr>
      <w:bookmarkEnd w:id="0"/>
    </w:tbl>
    <w:p w14:paraId="5C6EB28D" w14:textId="77777777" w:rsidR="001559F5" w:rsidRPr="00CA443B" w:rsidRDefault="001559F5">
      <w:pPr>
        <w:tabs>
          <w:tab w:val="clear" w:pos="567"/>
          <w:tab w:val="clear" w:pos="1134"/>
          <w:tab w:val="clear" w:pos="1701"/>
          <w:tab w:val="clear" w:pos="2268"/>
          <w:tab w:val="clear" w:pos="2835"/>
        </w:tabs>
        <w:overflowPunct/>
        <w:autoSpaceDE/>
        <w:autoSpaceDN/>
        <w:adjustRightInd/>
        <w:spacing w:before="0"/>
        <w:textAlignment w:val="auto"/>
        <w:rPr>
          <w:lang w:val="es-ES_tradnl"/>
        </w:rPr>
      </w:pPr>
      <w:r w:rsidRPr="00CA443B">
        <w:rPr>
          <w:lang w:val="es-ES_tradnl"/>
        </w:rPr>
        <w:br w:type="page"/>
      </w:r>
    </w:p>
    <w:p w14:paraId="354AAB91" w14:textId="77777777" w:rsidR="00CF2D31" w:rsidRPr="00CA443B" w:rsidRDefault="00CF2D31" w:rsidP="00CF2D31">
      <w:pPr>
        <w:pStyle w:val="Heading1"/>
        <w:rPr>
          <w:lang w:val="es-ES_tradnl"/>
        </w:rPr>
      </w:pPr>
      <w:r w:rsidRPr="00CA443B">
        <w:rPr>
          <w:lang w:val="es-ES_tradnl"/>
        </w:rPr>
        <w:lastRenderedPageBreak/>
        <w:t>I</w:t>
      </w:r>
      <w:r w:rsidRPr="00CA443B">
        <w:rPr>
          <w:lang w:val="es-ES_tradnl"/>
        </w:rPr>
        <w:tab/>
        <w:t>Introducción</w:t>
      </w:r>
    </w:p>
    <w:p w14:paraId="0CA4A97A" w14:textId="77777777" w:rsidR="00CF2D31" w:rsidRPr="00CA443B" w:rsidRDefault="00CF2D31" w:rsidP="00CF2D31">
      <w:pPr>
        <w:rPr>
          <w:lang w:val="es-ES_tradnl"/>
        </w:rPr>
      </w:pPr>
      <w:r w:rsidRPr="00CA443B">
        <w:rPr>
          <w:lang w:val="es-ES_tradnl"/>
        </w:rPr>
        <w:t>El mecanismo que se utiliza actualmente para recuperar los costes de las notificaciones de redes de satélites, regulado por el Acuerdo 482 del Consejo de la UIT, se está enfrentando a una crisis sistémica de confianza por parte de los operadores de satélites rusos y otros operadores de satélites internacionales. El principal problema es la inclusión de costes indirectos en las facturas emitidas a los operadores de satélites. Estos costes representan la parte del gasto general de la UIT que puede atribuirse a esta labor de la Oficina de Radiocomunicaciones (BR), evaluada con arreglo a una metodología que los Estados Miembros han criticado de manera reiterada y justificada. Este método de fijación de precios es demasiado opaco y complica la planificación a largo plazo de las inversiones y el gasto de explotación de los operadores de satélites. Además, el sistema de cálculo basado en los costes que se utiliza actualmente para las notificaciones de redes de satélites no tiene en cuenta la cuantía de las contribuciones abonadas por los diferentes Estados Miembros.</w:t>
      </w:r>
    </w:p>
    <w:p w14:paraId="240671F5" w14:textId="77777777" w:rsidR="00CF2D31" w:rsidRPr="00CA443B" w:rsidRDefault="00CF2D31" w:rsidP="00CF2D31">
      <w:pPr>
        <w:rPr>
          <w:lang w:val="es-ES_tradnl"/>
        </w:rPr>
      </w:pPr>
      <w:r w:rsidRPr="00CA443B">
        <w:rPr>
          <w:lang w:val="es-ES_tradnl"/>
        </w:rPr>
        <w:t>Los operadores de sistemas de satélites rusos reconocen la necesidad de que se financien adecuadamente las actividades de la BR para garantizar una tramitación oportuna y de gran calidad de las notificaciones de satélites y están de acuerdo, en principio, con la necesidad de pagar los costes directos incurridos por la BR para la tramitación de las notificaciones de redes de satélites. En los costes directos de la BR podrían incluirse los siguientes costes:</w:t>
      </w:r>
    </w:p>
    <w:p w14:paraId="264E862B" w14:textId="77777777" w:rsidR="00CF2D31" w:rsidRPr="00CA443B" w:rsidRDefault="00CF2D31" w:rsidP="00CF2D31">
      <w:pPr>
        <w:pStyle w:val="enumlev1"/>
        <w:rPr>
          <w:lang w:val="es-ES_tradnl"/>
        </w:rPr>
      </w:pPr>
      <w:r w:rsidRPr="00CA443B">
        <w:rPr>
          <w:lang w:val="es-ES_tradnl"/>
        </w:rPr>
        <w:t>−</w:t>
      </w:r>
      <w:r w:rsidRPr="00CA443B">
        <w:rPr>
          <w:lang w:val="es-ES_tradnl"/>
        </w:rPr>
        <w:tab/>
        <w:t>el coste total (sueldos, seguro social, beneficios) de todo el personal directamente implicado en la tramitación de las notificaciones, a tiempo completo; para el personal no ocupado a tiempo completo en la tramitación, la parte del coste atribuida a la tramitación es el coste del tiempo realmente dedicado a la tramitación;</w:t>
      </w:r>
    </w:p>
    <w:p w14:paraId="2D7DE202" w14:textId="77777777" w:rsidR="00CF2D31" w:rsidRPr="00CA443B" w:rsidRDefault="00CF2D31" w:rsidP="00CF2D31">
      <w:pPr>
        <w:pStyle w:val="enumlev1"/>
        <w:rPr>
          <w:lang w:val="es-ES_tradnl"/>
        </w:rPr>
      </w:pPr>
      <w:r w:rsidRPr="00CA443B">
        <w:rPr>
          <w:lang w:val="es-ES_tradnl"/>
        </w:rPr>
        <w:t>−</w:t>
      </w:r>
      <w:r w:rsidRPr="00CA443B">
        <w:rPr>
          <w:lang w:val="es-ES_tradnl"/>
        </w:rPr>
        <w:tab/>
        <w:t>los servicios profesionales (el coste de los consultores o del personal temporal que trabaja a tiempo completo en la tramitación de las notificaciones de redes de satélites);</w:t>
      </w:r>
    </w:p>
    <w:p w14:paraId="51543E04" w14:textId="77777777" w:rsidR="00CF2D31" w:rsidRPr="00CA443B" w:rsidRDefault="00CF2D31" w:rsidP="00CF2D31">
      <w:pPr>
        <w:pStyle w:val="enumlev1"/>
        <w:rPr>
          <w:lang w:val="es-ES_tradnl"/>
        </w:rPr>
      </w:pPr>
      <w:r w:rsidRPr="00CA443B">
        <w:rPr>
          <w:lang w:val="es-ES_tradnl"/>
        </w:rPr>
        <w:t>−</w:t>
      </w:r>
      <w:r w:rsidRPr="00CA443B">
        <w:rPr>
          <w:lang w:val="es-ES_tradnl"/>
        </w:rPr>
        <w:tab/>
        <w:t>los materiales e insumos utilizados para la tramitación;</w:t>
      </w:r>
    </w:p>
    <w:p w14:paraId="27DC10BF" w14:textId="77777777" w:rsidR="00CF2D31" w:rsidRPr="00CA443B" w:rsidRDefault="00CF2D31" w:rsidP="00CF2D31">
      <w:pPr>
        <w:pStyle w:val="enumlev1"/>
        <w:rPr>
          <w:lang w:val="es-ES_tradnl"/>
        </w:rPr>
      </w:pPr>
      <w:r w:rsidRPr="00CA443B">
        <w:rPr>
          <w:lang w:val="es-ES_tradnl"/>
        </w:rPr>
        <w:t>−</w:t>
      </w:r>
      <w:r w:rsidRPr="00CA443B">
        <w:rPr>
          <w:lang w:val="es-ES_tradnl"/>
        </w:rPr>
        <w:tab/>
        <w:t>los viajes oficiales del personal de la BR relacionados con la tramitación, así como el coste de la formación y el desarrollo del personal de la BR en asuntos relacionados directamente con la tramitación;</w:t>
      </w:r>
    </w:p>
    <w:p w14:paraId="407B3B70" w14:textId="77777777" w:rsidR="00CF2D31" w:rsidRPr="00CA443B" w:rsidRDefault="00CF2D31" w:rsidP="00CF2D31">
      <w:pPr>
        <w:pStyle w:val="enumlev1"/>
        <w:rPr>
          <w:lang w:val="es-ES_tradnl"/>
        </w:rPr>
      </w:pPr>
      <w:r w:rsidRPr="00CA443B">
        <w:rPr>
          <w:lang w:val="es-ES_tradnl"/>
        </w:rPr>
        <w:t>−</w:t>
      </w:r>
      <w:r w:rsidRPr="00CA443B">
        <w:rPr>
          <w:lang w:val="es-ES_tradnl"/>
        </w:rPr>
        <w:tab/>
        <w:t>el coste del desarrollo y la explotación de programas o equipos utilizados exclusivamente para la tramitación de las notificaciones.</w:t>
      </w:r>
    </w:p>
    <w:p w14:paraId="52A41F8A" w14:textId="6FAA6DBD" w:rsidR="00CF2D31" w:rsidRPr="00CA443B" w:rsidRDefault="00CF2D31" w:rsidP="00CF2D31">
      <w:pPr>
        <w:rPr>
          <w:lang w:val="es-ES_tradnl"/>
        </w:rPr>
      </w:pPr>
      <w:r w:rsidRPr="00CA443B">
        <w:rPr>
          <w:lang w:val="es-ES_tradnl"/>
        </w:rPr>
        <w:t>Sin embargo, la práctica actual</w:t>
      </w:r>
      <w:r w:rsidR="00866399" w:rsidRPr="00CA443B">
        <w:rPr>
          <w:lang w:val="es-ES_tradnl"/>
        </w:rPr>
        <w:t>,</w:t>
      </w:r>
      <w:r w:rsidRPr="00CA443B">
        <w:rPr>
          <w:lang w:val="es-ES_tradnl"/>
        </w:rPr>
        <w:t xml:space="preserve"> consistente en facturar a los operadores los costes indirectos de la UIT, que no están directamente relacionados con la tramitación técnica de las notificaciones, se está convirtiendo en un gran obstáculo al crecimiento en la industria.</w:t>
      </w:r>
    </w:p>
    <w:p w14:paraId="7D5AC187" w14:textId="77777777" w:rsidR="00CF2D31" w:rsidRPr="00CA443B" w:rsidRDefault="00CF2D31" w:rsidP="00CF2D31">
      <w:pPr>
        <w:rPr>
          <w:lang w:val="es-ES_tradnl"/>
        </w:rPr>
      </w:pPr>
      <w:r w:rsidRPr="00CA443B">
        <w:rPr>
          <w:lang w:val="es-ES_tradnl"/>
        </w:rPr>
        <w:t>Por consiguiente, se propone mejorar la metodología de recuperación de costes y proteger la estabilidad a largo plazo de la industria de satélites revisando la estructura tarifaria de la tramitación de las notificaciones de redes de satélites. En particular, se propone limitar las tasas exclusivamente a los costes directos de la BR. Las tasas indirectas asociadas a las operaciones generales y a los gastos administrativos generales deben ser cubiertas por el presupuesto ordinario de la Unión. Esto ofrecerá a los operadores de satélites transparencia respecto de los informes financieros y previsibilidad de los costes.</w:t>
      </w:r>
    </w:p>
    <w:p w14:paraId="1DBF546D" w14:textId="77777777" w:rsidR="00CF2D31" w:rsidRPr="00CA443B" w:rsidRDefault="00CF2D31" w:rsidP="00CF2D31">
      <w:pPr>
        <w:rPr>
          <w:lang w:val="es-ES_tradnl"/>
        </w:rPr>
      </w:pPr>
      <w:r w:rsidRPr="00CA443B">
        <w:rPr>
          <w:lang w:val="es-ES_tradnl"/>
        </w:rPr>
        <w:t>La propuesta pondrá en consonancia la política financiera de la BR con los textos fundamentales de la Unión, señalados a continuación:</w:t>
      </w:r>
    </w:p>
    <w:p w14:paraId="5016A127" w14:textId="77777777" w:rsidR="00CF2D31" w:rsidRPr="00CA443B" w:rsidRDefault="00CF2D31" w:rsidP="00CF2D31">
      <w:pPr>
        <w:rPr>
          <w:lang w:val="es-ES_tradnl"/>
        </w:rPr>
      </w:pPr>
      <w:r w:rsidRPr="00CA443B">
        <w:rPr>
          <w:lang w:val="es-ES_tradnl"/>
        </w:rPr>
        <w:lastRenderedPageBreak/>
        <w:t>El Artículo 1 de la Constitución y el Artículo 12 (núm. 172) del Convenio de la UIT: el registro de las asignaciones de frecuencias para las redes de satélites es una obligación fundamental de la Unión. Por consiguiente, la infraestructura común de la Oficina y sus operaciones generales que apoyan esta función deben financiarse con cargo al presupuesto ordinario procedente de las contribuciones de los Estados Miembros.</w:t>
      </w:r>
    </w:p>
    <w:p w14:paraId="0F3140EB" w14:textId="77777777" w:rsidR="00CF2D31" w:rsidRPr="00CA443B" w:rsidRDefault="00CF2D31" w:rsidP="00CF2D31">
      <w:pPr>
        <w:rPr>
          <w:lang w:val="es-ES_tradnl"/>
        </w:rPr>
      </w:pPr>
      <w:r w:rsidRPr="00CA443B">
        <w:rPr>
          <w:lang w:val="es-ES_tradnl"/>
        </w:rPr>
        <w:t>El Artículo 28 de la Constitución de la UIT (núm. 157): En esta disposición se establece expresamente que los gastos relativos al funcionamiento de los Sectores deben financiarse con cargo al presupuesto ordinario de la Unión. Los costes administrativos indirectos forman parte de los costes generales del Sector y no pueden reatribuirse a los operadores de satélites para redes de satélites específicas.</w:t>
      </w:r>
    </w:p>
    <w:p w14:paraId="6F94327D" w14:textId="77777777" w:rsidR="00CF2D31" w:rsidRPr="00CA443B" w:rsidRDefault="00CF2D31" w:rsidP="00CF2D31">
      <w:pPr>
        <w:rPr>
          <w:lang w:val="es-ES_tradnl"/>
        </w:rPr>
      </w:pPr>
      <w:r w:rsidRPr="00CA443B">
        <w:rPr>
          <w:lang w:val="es-ES_tradnl"/>
        </w:rPr>
        <w:t>La Resolución 91 (Rev. Guadalajara, 2010) exige que el mecanismo de recuperación de costes sea completo, transparente y justo. La consolidación de los costes indirectos en el presupuesto ordinario garantiza la rendición de cuentas y evita una reatribución no justificada de los costes generales de la Unión a los participantes en el mercado de los satélites.</w:t>
      </w:r>
    </w:p>
    <w:p w14:paraId="2361CB51" w14:textId="733B0706" w:rsidR="00CF2D31" w:rsidRPr="00CA443B" w:rsidRDefault="00CF2D31" w:rsidP="00CF2D31">
      <w:pPr>
        <w:rPr>
          <w:lang w:val="es-ES_tradnl"/>
        </w:rPr>
      </w:pPr>
      <w:r w:rsidRPr="00CA443B">
        <w:rPr>
          <w:lang w:val="es-ES_tradnl"/>
        </w:rPr>
        <w:t>Además, la Resolución 71 (Rev. Bucarest, 2022), sobre el plan estratégico de la Unión para 2024-2027, se centra en reducir la brecha digital y garantizar las comunicaciones sostenibles. A este respecto, la consolidación de los costes indirectos en el presupuesto ordinario de la UIT reducirá el coste de los servicios de Internet y comunicación por satélite para los usuarios finales, lo que contribuirá directamente a la consecución de los objetivos estratégicos de la UIT en materia de conectividad universal.</w:t>
      </w:r>
    </w:p>
    <w:p w14:paraId="79C19719" w14:textId="77777777" w:rsidR="00CF2D31" w:rsidRPr="00CA443B" w:rsidRDefault="00CF2D31" w:rsidP="00CF2D31">
      <w:pPr>
        <w:rPr>
          <w:lang w:val="es-ES_tradnl"/>
        </w:rPr>
      </w:pPr>
      <w:r w:rsidRPr="00CA443B">
        <w:rPr>
          <w:lang w:val="es-ES_tradnl"/>
        </w:rPr>
        <w:t>Asimismo, la Resolución 158 (Rev. Busán, 2014), sobre asuntos financieros que se someten a la consideración del Consejo, pide que se optimicen los gastos y se encuentren nuevas fuentes de ingresos sin menoscabar las actividades de los Sectores de la Unión. Estamos convencidos de que, en lugar de facturar sus costes indirectos a los operadores, la Unión debe buscar maneras de aumentar la eficiencia por conducto del presupuesto ordinario, ofreciendo una transparencia plena a los Estados Miembros.</w:t>
      </w:r>
    </w:p>
    <w:p w14:paraId="12CE8E86" w14:textId="12A9C791" w:rsidR="00CF2D31" w:rsidRPr="00CA443B" w:rsidRDefault="00CF2D31" w:rsidP="00CF2D31">
      <w:pPr>
        <w:rPr>
          <w:lang w:val="es-ES_tradnl"/>
        </w:rPr>
      </w:pPr>
      <w:r w:rsidRPr="00CA443B">
        <w:rPr>
          <w:lang w:val="es-ES_tradnl"/>
        </w:rPr>
        <w:t xml:space="preserve">En vista de lo anterior, la Federación de Rusia considera que la Resolución 91 (Rev. Guadalajara, 2010) debe revisarse en la PP-26, modificando el apartado del </w:t>
      </w:r>
      <w:r w:rsidRPr="00CA443B">
        <w:rPr>
          <w:i/>
          <w:iCs/>
          <w:lang w:val="es-ES_tradnl"/>
        </w:rPr>
        <w:t xml:space="preserve">resuelve </w:t>
      </w:r>
      <w:r w:rsidRPr="00CA443B">
        <w:rPr>
          <w:lang w:val="es-ES_tradnl"/>
        </w:rPr>
        <w:t>para aclarar que la recuperación de costes para las notificaciones de satélites solo debe cubrir los costes directos incurridos por la Oficina de Radiocomunicaciones señalados anteriormente, mientras que los costes indirectos deben financiarse con cargo al presupuesto ordinario utilizando las contribuciones de los Estados Miembros.</w:t>
      </w:r>
    </w:p>
    <w:p w14:paraId="193E68A6" w14:textId="77777777" w:rsidR="00CF2D31" w:rsidRPr="00CA443B" w:rsidRDefault="00CF2D31" w:rsidP="00CF2D31">
      <w:pPr>
        <w:rPr>
          <w:lang w:val="es-ES_tradnl"/>
        </w:rPr>
      </w:pPr>
      <w:r w:rsidRPr="00CA443B">
        <w:rPr>
          <w:lang w:val="es-ES_tradnl"/>
        </w:rPr>
        <w:t>Evidentemente, la transición hacia un nuevo mecanismo de recuperación de costes para la tramitación de las notificaciones de redes de satélites exigirá inevitablemente cambios en la práctica presupuestaria de la UIT. Por tanto, se debe crear una provisión para cubrir posibles déficits.</w:t>
      </w:r>
    </w:p>
    <w:p w14:paraId="0A41641A" w14:textId="3C22632E" w:rsidR="00CF2D31" w:rsidRPr="00CA443B" w:rsidRDefault="00CF2D31" w:rsidP="00CF2D31">
      <w:pPr>
        <w:rPr>
          <w:lang w:val="es-ES_tradnl"/>
        </w:rPr>
      </w:pPr>
      <w:r w:rsidRPr="00CA443B">
        <w:rPr>
          <w:lang w:val="es-ES_tradnl"/>
        </w:rPr>
        <w:t>La implementación del enfoque propuesto aportará importantes beneficios a la industria de satélites, como nuevos incentivos para invertir en los segmentos de las altas tecnologías (no OSG), la eliminación de lo que corresponde a un impuesto sobre la innovación, la mejora de la disciplina financiera, una disminución de la carga de la deuda soportada por los operadores de satélites en la UIT, y un impulso al principio del acceso equitativo.</w:t>
      </w:r>
    </w:p>
    <w:p w14:paraId="09A9EAFA" w14:textId="0F9213E7" w:rsidR="00CF2D31" w:rsidRPr="00CA443B" w:rsidRDefault="00CF2D31" w:rsidP="00CF2D31">
      <w:pPr>
        <w:rPr>
          <w:lang w:val="es-ES_tradnl"/>
        </w:rPr>
      </w:pPr>
      <w:r w:rsidRPr="00CA443B">
        <w:rPr>
          <w:lang w:val="es-ES_tradnl"/>
        </w:rPr>
        <w:t xml:space="preserve">Además, a fin de salvaguardar el derecho absoluto de todos los Estados Miembros a poder acceder a los recursos orbitales y del espectro, la Federación de Rusia propone consolidar el derecho anual a </w:t>
      </w:r>
      <w:r w:rsidR="00090738" w:rsidRPr="00CA443B">
        <w:rPr>
          <w:lang w:val="es-ES_tradnl"/>
        </w:rPr>
        <w:t xml:space="preserve">la </w:t>
      </w:r>
      <w:r w:rsidRPr="00CA443B">
        <w:rPr>
          <w:lang w:val="es-ES_tradnl"/>
        </w:rPr>
        <w:t>publicación gratuita como medio para que los Estados Miembros ejerzan sus derechos soberanos. Esta regla debe cubrir plenamente los costes administrativos de la BR con el presupuesto ordinario y excluir todo recurso a la recuperación de costes</w:t>
      </w:r>
      <w:r w:rsidR="00090738" w:rsidRPr="00CA443B">
        <w:rPr>
          <w:lang w:val="es-ES_tradnl"/>
        </w:rPr>
        <w:t xml:space="preserve"> </w:t>
      </w:r>
      <w:r w:rsidRPr="00CA443B">
        <w:rPr>
          <w:lang w:val="es-ES_tradnl"/>
        </w:rPr>
        <w:t>para una notificación prioritaria al año por cada administración.</w:t>
      </w:r>
    </w:p>
    <w:p w14:paraId="56A82EC5" w14:textId="77777777" w:rsidR="00CF2D31" w:rsidRPr="00CA443B" w:rsidRDefault="00CF2D31" w:rsidP="00CF2D31">
      <w:pPr>
        <w:rPr>
          <w:lang w:val="es-ES_tradnl"/>
        </w:rPr>
      </w:pPr>
      <w:r w:rsidRPr="00CA443B">
        <w:rPr>
          <w:lang w:val="es-ES_tradnl"/>
        </w:rPr>
        <w:t>Los costes de tramitación de esta notificación, incluidos todos los procedimientos administrativos y técnicos de registro correspondientes, también deben quedar plenamente cubiertos por el presupuesto ordinario de la UIT. Así se eliminará toda discriminación por motivos financieros en la aplicación de los programas espaciales nacionales.</w:t>
      </w:r>
    </w:p>
    <w:p w14:paraId="0D170D04" w14:textId="7D4A5B18" w:rsidR="00CF2D31" w:rsidRPr="00CA443B" w:rsidRDefault="00CF2D31" w:rsidP="00CF2D31">
      <w:pPr>
        <w:rPr>
          <w:lang w:val="es-ES_tradnl"/>
        </w:rPr>
      </w:pPr>
      <w:r w:rsidRPr="00CA443B">
        <w:rPr>
          <w:lang w:val="es-ES_tradnl"/>
        </w:rPr>
        <w:t>Esta propuesta se deriva directamente del Artículo 44 de la Constitución de la UIT (núm. 196), en el que se exige un acceso equitativo a las frecuencias y órbitas, teniendo en cuenta las necesidades especiales de los países en desarrollo.</w:t>
      </w:r>
    </w:p>
    <w:p w14:paraId="485B16F0" w14:textId="77777777" w:rsidR="00CF2D31" w:rsidRPr="00CA443B" w:rsidRDefault="00CF2D31" w:rsidP="00CF2D31">
      <w:pPr>
        <w:pStyle w:val="Heading1"/>
        <w:rPr>
          <w:lang w:val="es-ES_tradnl"/>
        </w:rPr>
      </w:pPr>
      <w:r w:rsidRPr="00CA443B">
        <w:rPr>
          <w:lang w:val="es-ES_tradnl"/>
        </w:rPr>
        <w:t>II</w:t>
      </w:r>
      <w:r w:rsidRPr="00CA443B">
        <w:rPr>
          <w:lang w:val="es-ES_tradnl"/>
        </w:rPr>
        <w:tab/>
        <w:t>Propuestas</w:t>
      </w:r>
    </w:p>
    <w:p w14:paraId="698BCFC6" w14:textId="77777777" w:rsidR="00CF2D31" w:rsidRPr="00CA443B" w:rsidRDefault="00CF2D31" w:rsidP="00CF2D31">
      <w:pPr>
        <w:rPr>
          <w:lang w:val="es-ES_tradnl"/>
        </w:rPr>
      </w:pPr>
      <w:r w:rsidRPr="00CA443B">
        <w:rPr>
          <w:lang w:val="es-ES_tradnl"/>
        </w:rPr>
        <w:t>1</w:t>
      </w:r>
      <w:r w:rsidRPr="00CA443B">
        <w:rPr>
          <w:lang w:val="es-ES_tradnl"/>
        </w:rPr>
        <w:tab/>
        <w:t>Se debe encargar al Grupo de Trabajo del Consejo sobre Recursos Humanos y Financieros (GTC-RHF) que:</w:t>
      </w:r>
    </w:p>
    <w:p w14:paraId="33AECFEC" w14:textId="77777777" w:rsidR="00CF2D31" w:rsidRPr="00CA443B" w:rsidRDefault="00CF2D31" w:rsidP="00D271B0">
      <w:pPr>
        <w:rPr>
          <w:lang w:val="es-ES_tradnl"/>
        </w:rPr>
      </w:pPr>
      <w:r w:rsidRPr="00CA443B">
        <w:rPr>
          <w:lang w:val="es-ES_tradnl"/>
        </w:rPr>
        <w:t>1.1</w:t>
      </w:r>
      <w:r w:rsidRPr="00CA443B">
        <w:rPr>
          <w:lang w:val="es-ES_tradnl"/>
        </w:rPr>
        <w:tab/>
        <w:t>sobre la base de la información proporcionada por la BR, prepare un informe exhaustivo sobre la financiación de la BR durante el último ciclo cuatrienal, que incluya:</w:t>
      </w:r>
    </w:p>
    <w:p w14:paraId="546B6747" w14:textId="77777777" w:rsidR="00CF2D31" w:rsidRPr="00CA443B" w:rsidRDefault="00CF2D31" w:rsidP="00D271B0">
      <w:pPr>
        <w:pStyle w:val="enumlev1"/>
        <w:rPr>
          <w:lang w:val="es-ES_tradnl"/>
        </w:rPr>
      </w:pPr>
      <w:r w:rsidRPr="00CA443B">
        <w:rPr>
          <w:lang w:val="es-ES_tradnl"/>
        </w:rPr>
        <w:t>−</w:t>
      </w:r>
      <w:r w:rsidRPr="00CA443B">
        <w:rPr>
          <w:lang w:val="es-ES_tradnl"/>
        </w:rPr>
        <w:tab/>
        <w:t>datos relativos a los pagos: estadísticas de las facturas emitidas y las cuantías reales recibidas de los operadores de satélites;</w:t>
      </w:r>
    </w:p>
    <w:p w14:paraId="3765E0C4" w14:textId="77777777" w:rsidR="00CF2D31" w:rsidRPr="00CA443B" w:rsidRDefault="00CF2D31" w:rsidP="00D271B0">
      <w:pPr>
        <w:pStyle w:val="enumlev1"/>
        <w:rPr>
          <w:lang w:val="es-ES_tradnl"/>
        </w:rPr>
      </w:pPr>
      <w:r w:rsidRPr="00CA443B">
        <w:rPr>
          <w:lang w:val="es-ES_tradnl"/>
        </w:rPr>
        <w:t>−</w:t>
      </w:r>
      <w:r w:rsidRPr="00CA443B">
        <w:rPr>
          <w:lang w:val="es-ES_tradnl"/>
        </w:rPr>
        <w:tab/>
        <w:t>cuentas por cobrar: el volumen de las deudas de los operadores con la UIT y las tendencias en el tiempo;</w:t>
      </w:r>
    </w:p>
    <w:p w14:paraId="5A6C8E1A" w14:textId="77777777" w:rsidR="00CF2D31" w:rsidRPr="00CA443B" w:rsidRDefault="00CF2D31" w:rsidP="00D271B0">
      <w:pPr>
        <w:pStyle w:val="enumlev1"/>
        <w:rPr>
          <w:lang w:val="es-ES_tradnl"/>
        </w:rPr>
      </w:pPr>
      <w:r w:rsidRPr="00CA443B">
        <w:rPr>
          <w:lang w:val="es-ES_tradnl"/>
        </w:rPr>
        <w:t>−</w:t>
      </w:r>
      <w:r w:rsidRPr="00CA443B">
        <w:rPr>
          <w:lang w:val="es-ES_tradnl"/>
        </w:rPr>
        <w:tab/>
        <w:t>análisis de costes: la atribución de los costes directos para las notificaciones (según la metodología actual);</w:t>
      </w:r>
    </w:p>
    <w:p w14:paraId="11945F8D" w14:textId="77777777" w:rsidR="00CF2D31" w:rsidRPr="00CA443B" w:rsidRDefault="00CF2D31" w:rsidP="00D271B0">
      <w:pPr>
        <w:pStyle w:val="enumlev1"/>
        <w:rPr>
          <w:lang w:val="es-ES_tradnl"/>
        </w:rPr>
      </w:pPr>
      <w:r w:rsidRPr="00CA443B">
        <w:rPr>
          <w:lang w:val="es-ES_tradnl"/>
        </w:rPr>
        <w:t>−</w:t>
      </w:r>
      <w:r w:rsidRPr="00CA443B">
        <w:rPr>
          <w:lang w:val="es-ES_tradnl"/>
        </w:rPr>
        <w:tab/>
        <w:t>estadísticas sobre notificaciones: número total de notificaciones de sistemas de satélites registradas durante el periodo indicado.</w:t>
      </w:r>
    </w:p>
    <w:p w14:paraId="0422717A" w14:textId="0C7643AB" w:rsidR="00CF2D31" w:rsidRPr="00CA443B" w:rsidRDefault="00CF2D31" w:rsidP="00D271B0">
      <w:pPr>
        <w:rPr>
          <w:lang w:val="es-ES_tradnl"/>
        </w:rPr>
      </w:pPr>
      <w:r w:rsidRPr="00CA443B">
        <w:rPr>
          <w:lang w:val="es-ES_tradnl"/>
        </w:rPr>
        <w:t>1.2</w:t>
      </w:r>
      <w:r w:rsidRPr="00CA443B">
        <w:rPr>
          <w:lang w:val="es-ES_tradnl"/>
        </w:rPr>
        <w:tab/>
        <w:t>presente al Consejo, en su reunión de 2027, un modelo de financiación en el que las tasas facturadas por las notificaciones de redes de satélites se limiten a los costes de explotación directos, y los costes indirectos incurridos por la BR se reconozcan como parte de sus actividades estatutarias y se atribuyan con cargo al presupuesto ordinario de la</w:t>
      </w:r>
      <w:r w:rsidR="00D271B0" w:rsidRPr="00CA443B">
        <w:rPr>
          <w:lang w:val="es-ES_tradnl"/>
        </w:rPr>
        <w:t> </w:t>
      </w:r>
      <w:r w:rsidRPr="00CA443B">
        <w:rPr>
          <w:lang w:val="es-ES_tradnl"/>
        </w:rPr>
        <w:t>Unión.</w:t>
      </w:r>
    </w:p>
    <w:p w14:paraId="764CC5FB" w14:textId="77777777" w:rsidR="00F92BED" w:rsidRPr="00CA443B" w:rsidRDefault="00F92BED" w:rsidP="00F92BED">
      <w:pPr>
        <w:jc w:val="center"/>
        <w:rPr>
          <w:lang w:val="es-ES_tradnl"/>
        </w:rPr>
      </w:pPr>
      <w:r w:rsidRPr="00CA443B">
        <w:rPr>
          <w:lang w:val="es-ES_tradnl"/>
        </w:rPr>
        <w:t>______________</w:t>
      </w:r>
    </w:p>
    <w:sectPr w:rsidR="00F92BED" w:rsidRPr="00CA443B" w:rsidSect="00C538FC">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48BCD" w14:textId="77777777" w:rsidR="002B4084" w:rsidRDefault="002B4084">
      <w:r>
        <w:separator/>
      </w:r>
    </w:p>
  </w:endnote>
  <w:endnote w:type="continuationSeparator" w:id="0">
    <w:p w14:paraId="6D9E6474" w14:textId="77777777" w:rsidR="002B4084" w:rsidRDefault="002B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9424DA0" w14:textId="77777777" w:rsidTr="00E31DCE">
      <w:trPr>
        <w:jc w:val="center"/>
      </w:trPr>
      <w:tc>
        <w:tcPr>
          <w:tcW w:w="1803" w:type="dxa"/>
          <w:vAlign w:val="center"/>
        </w:tcPr>
        <w:p w14:paraId="6476276E" w14:textId="538B7D61" w:rsidR="003273A4" w:rsidRDefault="002946E2" w:rsidP="003273A4">
          <w:pPr>
            <w:pStyle w:val="Header"/>
            <w:jc w:val="left"/>
            <w:rPr>
              <w:noProof/>
            </w:rPr>
          </w:pPr>
          <w:r>
            <w:rPr>
              <w:noProof/>
            </w:rPr>
            <w:t xml:space="preserve">gDoc </w:t>
          </w:r>
          <w:r w:rsidR="00CF2D31">
            <w:rPr>
              <w:noProof/>
            </w:rPr>
            <w:t>2600957</w:t>
          </w:r>
        </w:p>
      </w:tc>
      <w:tc>
        <w:tcPr>
          <w:tcW w:w="8261" w:type="dxa"/>
        </w:tcPr>
        <w:p w14:paraId="23D3A3DE" w14:textId="371D8594"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F2D31">
            <w:rPr>
              <w:bCs/>
            </w:rPr>
            <w:t>90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FA89BA9"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ED4D6BD" w14:textId="77777777" w:rsidTr="00E31DCE">
      <w:trPr>
        <w:jc w:val="center"/>
      </w:trPr>
      <w:tc>
        <w:tcPr>
          <w:tcW w:w="1803" w:type="dxa"/>
          <w:vAlign w:val="center"/>
        </w:tcPr>
        <w:p w14:paraId="4C91748D"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0331213D" w14:textId="7D2CF524"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85E5C">
            <w:rPr>
              <w:bCs/>
            </w:rPr>
            <w:t>6</w:t>
          </w:r>
          <w:r w:rsidRPr="00623AE3">
            <w:rPr>
              <w:bCs/>
            </w:rPr>
            <w:t>/</w:t>
          </w:r>
          <w:r w:rsidR="00CF2D31">
            <w:rPr>
              <w:bCs/>
            </w:rPr>
            <w:t>90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163EBF45"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C95B" w14:textId="77777777" w:rsidR="002B4084" w:rsidRDefault="002B4084">
      <w:r>
        <w:t>____________________</w:t>
      </w:r>
    </w:p>
  </w:footnote>
  <w:footnote w:type="continuationSeparator" w:id="0">
    <w:p w14:paraId="36DA17BE" w14:textId="77777777" w:rsidR="002B4084" w:rsidRDefault="002B4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A9C0"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31"/>
    <w:rsid w:val="000007D1"/>
    <w:rsid w:val="0006007D"/>
    <w:rsid w:val="00090738"/>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65274"/>
    <w:rsid w:val="00277DEA"/>
    <w:rsid w:val="002801AA"/>
    <w:rsid w:val="002946E2"/>
    <w:rsid w:val="002B4084"/>
    <w:rsid w:val="002C3F32"/>
    <w:rsid w:val="002C4676"/>
    <w:rsid w:val="002C70B0"/>
    <w:rsid w:val="002F3CC4"/>
    <w:rsid w:val="003032E2"/>
    <w:rsid w:val="0031300A"/>
    <w:rsid w:val="003134F7"/>
    <w:rsid w:val="003273A4"/>
    <w:rsid w:val="0034796E"/>
    <w:rsid w:val="004571B0"/>
    <w:rsid w:val="00465C35"/>
    <w:rsid w:val="00473962"/>
    <w:rsid w:val="004B5D49"/>
    <w:rsid w:val="004C6266"/>
    <w:rsid w:val="004D3A3C"/>
    <w:rsid w:val="00513630"/>
    <w:rsid w:val="00560125"/>
    <w:rsid w:val="00585553"/>
    <w:rsid w:val="00592297"/>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F350B"/>
    <w:rsid w:val="00820BE4"/>
    <w:rsid w:val="008451E8"/>
    <w:rsid w:val="0084546D"/>
    <w:rsid w:val="00866399"/>
    <w:rsid w:val="008F6ABC"/>
    <w:rsid w:val="00913B9C"/>
    <w:rsid w:val="00927F93"/>
    <w:rsid w:val="00956E77"/>
    <w:rsid w:val="009A338E"/>
    <w:rsid w:val="009A76A8"/>
    <w:rsid w:val="009F4811"/>
    <w:rsid w:val="00A01F4F"/>
    <w:rsid w:val="00A109AF"/>
    <w:rsid w:val="00A937B3"/>
    <w:rsid w:val="00A94438"/>
    <w:rsid w:val="00AA390C"/>
    <w:rsid w:val="00AA679A"/>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A443B"/>
    <w:rsid w:val="00CC1FAF"/>
    <w:rsid w:val="00CF1A67"/>
    <w:rsid w:val="00CF2D31"/>
    <w:rsid w:val="00D271B0"/>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A11ED"/>
  <w15:docId w15:val="{B8A24DBA-3668-49B2-B607-FA31151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02/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en/council/Documents/basic-texts-2023/RES-091-S.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5-CL-C-0125/es"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laescusa\Desktop\ACTUALES%202026\2600957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2600957S</Template>
  <TotalTime>0</TotalTime>
  <Pages>4</Pages>
  <Words>1594</Words>
  <Characters>8994</Characters>
  <Application>Microsoft Office Word</Application>
  <DocSecurity>0</DocSecurity>
  <Lines>160</Lines>
  <Paragraphs>63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10525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multipaís - Mejora del mecanismo de recuperación de costes para la tramitación de notificaciones de redes de satélites</dc:title>
  <dc:subject>Consejo 2026 de la UIT</dc:subject>
  <dc:creator>GBS</dc:creator>
  <cp:keywords>C26; C2026; Council 2026; PP26</cp:keywords>
  <dc:description/>
  <cp:lastModifiedBy>GBS</cp:lastModifiedBy>
  <cp:revision>2</cp:revision>
  <cp:lastPrinted>2006-03-24T09:51:00Z</cp:lastPrinted>
  <dcterms:created xsi:type="dcterms:W3CDTF">2026-04-29T14:01:00Z</dcterms:created>
  <dcterms:modified xsi:type="dcterms:W3CDTF">2026-04-29T14:01:00Z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