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8721AD2" w14:textId="77777777" w:rsidTr="00F363FE">
        <w:tc>
          <w:tcPr>
            <w:tcW w:w="6512" w:type="dxa"/>
          </w:tcPr>
          <w:p w14:paraId="081200D5" w14:textId="40D34A4D"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8839DA">
              <w:rPr>
                <w:rFonts w:hint="cs"/>
                <w:b/>
                <w:bCs/>
                <w:rtl/>
                <w:lang w:bidi="ar-EG"/>
              </w:rPr>
              <w:t xml:space="preserve"> </w:t>
            </w:r>
            <w:r w:rsidR="008839DA">
              <w:rPr>
                <w:b/>
                <w:bCs/>
                <w:lang w:bidi="ar-EG"/>
              </w:rPr>
              <w:t>ADM 1</w:t>
            </w:r>
          </w:p>
        </w:tc>
        <w:tc>
          <w:tcPr>
            <w:tcW w:w="3117" w:type="dxa"/>
          </w:tcPr>
          <w:p w14:paraId="35B694AA" w14:textId="44E4C180"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517BC1">
              <w:rPr>
                <w:b/>
                <w:bCs/>
                <w:lang w:bidi="ar-EG"/>
              </w:rPr>
              <w:t>90</w:t>
            </w:r>
            <w:r w:rsidRPr="007B0AA0">
              <w:rPr>
                <w:b/>
                <w:bCs/>
                <w:lang w:bidi="ar-EG"/>
              </w:rPr>
              <w:t>-A</w:t>
            </w:r>
          </w:p>
        </w:tc>
      </w:tr>
      <w:tr w:rsidR="007B0AA0" w14:paraId="3FC3B24F" w14:textId="77777777" w:rsidTr="00F363FE">
        <w:tc>
          <w:tcPr>
            <w:tcW w:w="6512" w:type="dxa"/>
          </w:tcPr>
          <w:p w14:paraId="0C7BB4B2" w14:textId="77777777" w:rsidR="007B0AA0" w:rsidRPr="007B0AA0" w:rsidRDefault="007B0AA0" w:rsidP="00F363FE">
            <w:pPr>
              <w:spacing w:before="60" w:after="60" w:line="260" w:lineRule="exact"/>
              <w:rPr>
                <w:b/>
                <w:bCs/>
                <w:rtl/>
                <w:lang w:bidi="ar-EG"/>
              </w:rPr>
            </w:pPr>
          </w:p>
        </w:tc>
        <w:tc>
          <w:tcPr>
            <w:tcW w:w="3117" w:type="dxa"/>
          </w:tcPr>
          <w:p w14:paraId="00CFD24E" w14:textId="690B0839" w:rsidR="007B0AA0" w:rsidRPr="007B0AA0" w:rsidRDefault="008839DA" w:rsidP="00F363FE">
            <w:pPr>
              <w:spacing w:before="60" w:after="60" w:line="260" w:lineRule="exact"/>
              <w:rPr>
                <w:b/>
                <w:bCs/>
                <w:rtl/>
                <w:lang w:bidi="ar-EG"/>
              </w:rPr>
            </w:pPr>
            <w:r>
              <w:rPr>
                <w:rFonts w:hint="cs"/>
                <w:b/>
                <w:bCs/>
                <w:rtl/>
              </w:rPr>
              <w:t>‏14‏ أبريل 2026</w:t>
            </w:r>
          </w:p>
        </w:tc>
      </w:tr>
      <w:tr w:rsidR="007B0AA0" w14:paraId="3ED4B90B" w14:textId="77777777" w:rsidTr="00F363FE">
        <w:tc>
          <w:tcPr>
            <w:tcW w:w="6512" w:type="dxa"/>
          </w:tcPr>
          <w:p w14:paraId="519C4E7A" w14:textId="77777777" w:rsidR="007B0AA0" w:rsidRPr="007B0AA0" w:rsidRDefault="007B0AA0" w:rsidP="00F363FE">
            <w:pPr>
              <w:spacing w:before="60" w:after="60" w:line="260" w:lineRule="exact"/>
              <w:rPr>
                <w:b/>
                <w:bCs/>
                <w:rtl/>
                <w:lang w:bidi="ar-EG"/>
              </w:rPr>
            </w:pPr>
          </w:p>
        </w:tc>
        <w:tc>
          <w:tcPr>
            <w:tcW w:w="3117" w:type="dxa"/>
          </w:tcPr>
          <w:p w14:paraId="747B7216" w14:textId="605C4B3F" w:rsidR="007B0AA0" w:rsidRPr="007B0AA0" w:rsidRDefault="001D64C7" w:rsidP="008839DA">
            <w:pPr>
              <w:spacing w:before="60" w:after="60" w:line="260" w:lineRule="exact"/>
              <w:rPr>
                <w:b/>
                <w:bCs/>
                <w:rtl/>
                <w:lang w:bidi="ar-EG"/>
              </w:rPr>
            </w:pPr>
            <w:r w:rsidRPr="007B0AA0">
              <w:rPr>
                <w:rFonts w:hint="cs"/>
                <w:b/>
                <w:bCs/>
                <w:rtl/>
                <w:lang w:bidi="ar-EG"/>
              </w:rPr>
              <w:t>الأصل: ب</w:t>
            </w:r>
            <w:r w:rsidR="008839DA" w:rsidRPr="008839DA">
              <w:rPr>
                <w:b/>
                <w:bCs/>
                <w:rtl/>
              </w:rPr>
              <w:t>الروسية</w:t>
            </w:r>
          </w:p>
        </w:tc>
      </w:tr>
      <w:tr w:rsidR="007B0AA0" w14:paraId="2D7C2C2D" w14:textId="77777777" w:rsidTr="00F363FE">
        <w:tc>
          <w:tcPr>
            <w:tcW w:w="6512" w:type="dxa"/>
          </w:tcPr>
          <w:p w14:paraId="01CBA900" w14:textId="77777777" w:rsidR="007B0AA0" w:rsidRDefault="007B0AA0" w:rsidP="00F363FE">
            <w:pPr>
              <w:spacing w:before="60" w:after="60" w:line="260" w:lineRule="exact"/>
              <w:rPr>
                <w:lang w:bidi="ar-EG"/>
              </w:rPr>
            </w:pPr>
          </w:p>
        </w:tc>
        <w:tc>
          <w:tcPr>
            <w:tcW w:w="3117" w:type="dxa"/>
          </w:tcPr>
          <w:p w14:paraId="7D1F1BD8" w14:textId="77777777" w:rsidR="007B0AA0" w:rsidRDefault="007B0AA0" w:rsidP="00F363FE">
            <w:pPr>
              <w:spacing w:before="60" w:after="60" w:line="260" w:lineRule="exact"/>
              <w:rPr>
                <w:rtl/>
                <w:lang w:bidi="ar-EG"/>
              </w:rPr>
            </w:pPr>
          </w:p>
        </w:tc>
      </w:tr>
      <w:tr w:rsidR="007B0AA0" w14:paraId="0F529768" w14:textId="77777777" w:rsidTr="00EE7446">
        <w:tc>
          <w:tcPr>
            <w:tcW w:w="9629" w:type="dxa"/>
            <w:gridSpan w:val="2"/>
          </w:tcPr>
          <w:p w14:paraId="0FB78AC0" w14:textId="3E720DAF" w:rsidR="007B0AA0" w:rsidRDefault="001D0D2E" w:rsidP="008839DA">
            <w:pPr>
              <w:pStyle w:val="Source"/>
              <w:jc w:val="left"/>
              <w:rPr>
                <w:lang w:bidi="ar-EG"/>
              </w:rPr>
            </w:pPr>
            <w:r w:rsidRPr="001D0D2E">
              <w:rPr>
                <w:rtl/>
              </w:rPr>
              <w:t>مساهمة مقدمة من الاتحاد الروسي وجمهورية أرمينيا وجمهورية بيلاروس</w:t>
            </w:r>
          </w:p>
        </w:tc>
      </w:tr>
      <w:tr w:rsidR="007B0AA0" w14:paraId="548926FD" w14:textId="77777777" w:rsidTr="007B0AA0">
        <w:tc>
          <w:tcPr>
            <w:tcW w:w="9629" w:type="dxa"/>
            <w:gridSpan w:val="2"/>
            <w:tcBorders>
              <w:bottom w:val="single" w:sz="4" w:space="0" w:color="auto"/>
            </w:tcBorders>
          </w:tcPr>
          <w:p w14:paraId="6E873856" w14:textId="5A49FFC0" w:rsidR="007B0AA0" w:rsidRPr="005546CF" w:rsidRDefault="008839DA" w:rsidP="008839DA">
            <w:pPr>
              <w:pStyle w:val="Subtitle0"/>
              <w:rPr>
                <w:sz w:val="32"/>
                <w:szCs w:val="32"/>
              </w:rPr>
            </w:pPr>
            <w:r w:rsidRPr="008839DA">
              <w:rPr>
                <w:sz w:val="32"/>
                <w:szCs w:val="32"/>
                <w:rtl/>
                <w:lang w:bidi="ar-SA"/>
              </w:rPr>
              <w:t>تحسين آلية استرداد تكاليف</w:t>
            </w:r>
            <w:r w:rsidR="005565C1">
              <w:rPr>
                <w:rFonts w:hint="cs"/>
                <w:sz w:val="32"/>
                <w:szCs w:val="32"/>
                <w:rtl/>
                <w:lang w:bidi="ar-SA"/>
              </w:rPr>
              <w:t xml:space="preserve"> معالجة</w:t>
            </w:r>
            <w:r w:rsidRPr="008839DA">
              <w:rPr>
                <w:sz w:val="32"/>
                <w:szCs w:val="32"/>
                <w:rtl/>
                <w:lang w:bidi="ar-SA"/>
              </w:rPr>
              <w:t xml:space="preserve"> التبليغ عن الشبكات الساتلية</w:t>
            </w:r>
          </w:p>
        </w:tc>
      </w:tr>
      <w:tr w:rsidR="007B0AA0" w14:paraId="5D67EF29" w14:textId="77777777" w:rsidTr="007B0AA0">
        <w:tc>
          <w:tcPr>
            <w:tcW w:w="9629" w:type="dxa"/>
            <w:gridSpan w:val="2"/>
            <w:tcBorders>
              <w:top w:val="single" w:sz="4" w:space="0" w:color="auto"/>
              <w:bottom w:val="single" w:sz="4" w:space="0" w:color="auto"/>
            </w:tcBorders>
          </w:tcPr>
          <w:p w14:paraId="2CA9998B" w14:textId="77777777" w:rsidR="007B0AA0" w:rsidRPr="007B0AA0" w:rsidRDefault="007B0AA0" w:rsidP="007B0AA0">
            <w:pPr>
              <w:rPr>
                <w:b/>
                <w:bCs/>
                <w:rtl/>
              </w:rPr>
            </w:pPr>
            <w:r w:rsidRPr="00494119">
              <w:rPr>
                <w:rFonts w:hint="cs"/>
                <w:b/>
                <w:bCs/>
                <w:rtl/>
              </w:rPr>
              <w:t>الغرض</w:t>
            </w:r>
          </w:p>
          <w:p w14:paraId="017436FA" w14:textId="7BF3CC4D" w:rsidR="007B0AA0" w:rsidRDefault="008839DA" w:rsidP="008839DA">
            <w:pPr>
              <w:rPr>
                <w:rtl/>
              </w:rPr>
            </w:pPr>
            <w:r w:rsidRPr="008839DA">
              <w:rPr>
                <w:rtl/>
              </w:rPr>
              <w:t>ترح هذه المساهمة مراجعة الآلية المستخدمة حالي</w:t>
            </w:r>
            <w:r w:rsidR="005565C1">
              <w:rPr>
                <w:rFonts w:hint="cs"/>
                <w:rtl/>
              </w:rPr>
              <w:t>اً</w:t>
            </w:r>
            <w:r w:rsidRPr="008839DA">
              <w:rPr>
                <w:rtl/>
              </w:rPr>
              <w:t xml:space="preserve"> لاسترداد تكاليف معالجة بطاقات التبليغ عن الشبكات الساتلية (المقرر 482 للمجلس) وذلك باستبعاد التكاليف غير المباشرة من التكاليف التي يتعين </w:t>
            </w:r>
            <w:r w:rsidR="005565C1">
              <w:rPr>
                <w:rFonts w:hint="cs"/>
                <w:rtl/>
              </w:rPr>
              <w:t>استردادها</w:t>
            </w:r>
            <w:r w:rsidRPr="008839DA">
              <w:rPr>
                <w:rtl/>
              </w:rPr>
              <w:t xml:space="preserve"> من مشغلي السواتل. ويقترح أن تمول التكاليف غير المباشرة لمعالجة بطاقات التبليغ عن الشبكات الساتلية من الميزانية العادية للاتحاد بدءا</w:t>
            </w:r>
            <w:r w:rsidR="005565C1">
              <w:rPr>
                <w:rFonts w:hint="cs"/>
                <w:rtl/>
              </w:rPr>
              <w:t>ً</w:t>
            </w:r>
            <w:r w:rsidRPr="008839DA">
              <w:rPr>
                <w:rtl/>
              </w:rPr>
              <w:t xml:space="preserve"> من دورة الميزانية للفترة </w:t>
            </w:r>
            <w:r>
              <w:t>2029-2028</w:t>
            </w:r>
            <w:r w:rsidRPr="008839DA">
              <w:rPr>
                <w:rtl/>
              </w:rPr>
              <w:t>.</w:t>
            </w:r>
          </w:p>
          <w:p w14:paraId="626DC140" w14:textId="77777777" w:rsidR="007B0AA0" w:rsidRPr="007B0AA0" w:rsidRDefault="007B0AA0" w:rsidP="007B0AA0">
            <w:pPr>
              <w:rPr>
                <w:b/>
                <w:bCs/>
                <w:rtl/>
              </w:rPr>
            </w:pPr>
            <w:r w:rsidRPr="007B0AA0">
              <w:rPr>
                <w:rFonts w:hint="cs"/>
                <w:b/>
                <w:bCs/>
                <w:rtl/>
              </w:rPr>
              <w:t>الإجراء المطلوب من المجلس</w:t>
            </w:r>
          </w:p>
          <w:p w14:paraId="6ECD9154" w14:textId="6927FBED" w:rsidR="006F363C" w:rsidRPr="005546CF" w:rsidRDefault="008839DA" w:rsidP="008839DA">
            <w:pPr>
              <w:rPr>
                <w:rtl/>
              </w:rPr>
            </w:pPr>
            <w:r w:rsidRPr="008839DA">
              <w:rPr>
                <w:rtl/>
              </w:rPr>
              <w:t xml:space="preserve">يدعى المجلس إلى </w:t>
            </w:r>
            <w:r w:rsidRPr="008839DA">
              <w:rPr>
                <w:b/>
                <w:bCs/>
                <w:rtl/>
              </w:rPr>
              <w:t xml:space="preserve">النظر </w:t>
            </w:r>
            <w:r w:rsidRPr="008839DA">
              <w:rPr>
                <w:rtl/>
              </w:rPr>
              <w:t>في المقترحات وتقديم تعليقات ومقترحات حسب الاقتضاء.</w:t>
            </w:r>
          </w:p>
          <w:p w14:paraId="5F4D406B"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1AD4148" w14:textId="77777777" w:rsidR="007B0AA0" w:rsidRPr="007B0AA0" w:rsidRDefault="007B0AA0" w:rsidP="007B0AA0">
            <w:pPr>
              <w:rPr>
                <w:b/>
                <w:bCs/>
                <w:rtl/>
              </w:rPr>
            </w:pPr>
            <w:r w:rsidRPr="007B0AA0">
              <w:rPr>
                <w:rFonts w:hint="cs"/>
                <w:b/>
                <w:bCs/>
                <w:rtl/>
              </w:rPr>
              <w:t>المراجع</w:t>
            </w:r>
          </w:p>
          <w:p w14:paraId="5EAE3D06" w14:textId="08519A53" w:rsidR="007B0AA0" w:rsidRPr="005565C1" w:rsidRDefault="008839DA" w:rsidP="008839DA">
            <w:pPr>
              <w:rPr>
                <w:i/>
                <w:iCs/>
                <w:rtl/>
              </w:rPr>
            </w:pPr>
            <w:hyperlink r:id="rId8" w:history="1">
              <w:r w:rsidRPr="005565C1">
                <w:rPr>
                  <w:rStyle w:val="Hyperlink"/>
                  <w:i/>
                  <w:iCs/>
                  <w:noProof w:val="0"/>
                  <w:rtl/>
                  <w:lang w:val="en-US" w:eastAsia="zh-CN"/>
                </w:rPr>
                <w:t>المقرر 482 (الصادر في دورة المجلس لعام 2001، والمعدَّل آخر مرة في دورته لعام 2025)</w:t>
              </w:r>
            </w:hyperlink>
            <w:r w:rsidRPr="005565C1">
              <w:rPr>
                <w:i/>
                <w:iCs/>
                <w:rtl/>
              </w:rPr>
              <w:t>؛</w:t>
            </w:r>
            <w:r w:rsidR="005565C1" w:rsidRPr="005565C1">
              <w:rPr>
                <w:rFonts w:hint="cs"/>
                <w:i/>
                <w:iCs/>
                <w:rtl/>
              </w:rPr>
              <w:t xml:space="preserve"> </w:t>
            </w:r>
            <w:r w:rsidRPr="005565C1">
              <w:rPr>
                <w:i/>
                <w:iCs/>
                <w:rtl/>
              </w:rPr>
              <w:t xml:space="preserve"> </w:t>
            </w:r>
            <w:hyperlink r:id="rId9" w:history="1">
              <w:r w:rsidRPr="005565C1">
                <w:rPr>
                  <w:i/>
                  <w:iCs/>
                  <w:rtl/>
                </w:rPr>
                <w:t>و</w:t>
              </w:r>
              <w:r w:rsidRPr="005565C1">
                <w:rPr>
                  <w:rStyle w:val="Hyperlink"/>
                  <w:i/>
                  <w:iCs/>
                  <w:noProof w:val="0"/>
                  <w:rtl/>
                  <w:lang w:val="en-US" w:eastAsia="zh-CN"/>
                </w:rPr>
                <w:t>القرار 91 (المراجَع في غوادالاخارا، 2010) لمؤتمر المندوبين المفوضين</w:t>
              </w:r>
            </w:hyperlink>
            <w:r w:rsidRPr="005565C1">
              <w:rPr>
                <w:i/>
                <w:iCs/>
                <w:rtl/>
              </w:rPr>
              <w:t>؛ و</w:t>
            </w:r>
            <w:hyperlink r:id="rId10" w:history="1">
              <w:r w:rsidRPr="005565C1">
                <w:rPr>
                  <w:rStyle w:val="Hyperlink"/>
                  <w:i/>
                  <w:iCs/>
                  <w:noProof w:val="0"/>
                  <w:rtl/>
                  <w:lang w:val="en-US" w:eastAsia="zh-CN"/>
                </w:rPr>
                <w:t>الوثيقة</w:t>
              </w:r>
              <w:r w:rsidRPr="005565C1">
                <w:rPr>
                  <w:rStyle w:val="Hyperlink"/>
                  <w:i/>
                  <w:iCs/>
                  <w:noProof w:val="0"/>
                  <w:lang w:val="en-US" w:eastAsia="zh-CN"/>
                </w:rPr>
                <w:t xml:space="preserve"> CWG-FHR-22/2 </w:t>
              </w:r>
              <w:r w:rsidRPr="005565C1">
                <w:rPr>
                  <w:rStyle w:val="Hyperlink"/>
                  <w:i/>
                  <w:iCs/>
                  <w:noProof w:val="0"/>
                  <w:rtl/>
                  <w:lang w:val="en-US" w:eastAsia="zh-CN"/>
                </w:rPr>
                <w:t xml:space="preserve">التي تقترح تحديثات لمنهجية </w:t>
              </w:r>
              <w:r w:rsidR="005565C1" w:rsidRPr="005565C1">
                <w:rPr>
                  <w:rStyle w:val="Hyperlink"/>
                  <w:rFonts w:hint="cs"/>
                  <w:i/>
                  <w:iCs/>
                  <w:noProof w:val="0"/>
                  <w:rtl/>
                  <w:lang w:val="en-US" w:eastAsia="zh-CN"/>
                </w:rPr>
                <w:t xml:space="preserve">بطاقات </w:t>
              </w:r>
              <w:r w:rsidRPr="005565C1">
                <w:rPr>
                  <w:rStyle w:val="Hyperlink"/>
                  <w:i/>
                  <w:iCs/>
                  <w:noProof w:val="0"/>
                  <w:rtl/>
                  <w:lang w:val="en-US" w:eastAsia="zh-CN"/>
                </w:rPr>
                <w:t>التبليغ عن الشبكات الساتلية</w:t>
              </w:r>
            </w:hyperlink>
          </w:p>
        </w:tc>
      </w:tr>
    </w:tbl>
    <w:p w14:paraId="774EEBE1" w14:textId="77777777" w:rsidR="00E61BE8" w:rsidRDefault="00E61BE8" w:rsidP="00E61BE8">
      <w:pPr>
        <w:rPr>
          <w:rtl/>
          <w:lang w:bidi="ar-EG"/>
        </w:rPr>
      </w:pPr>
    </w:p>
    <w:p w14:paraId="29BC1DD6" w14:textId="77777777" w:rsidR="00F50E3F" w:rsidRDefault="00F50E3F" w:rsidP="0043260A">
      <w:pPr>
        <w:rPr>
          <w:rtl/>
          <w:lang w:bidi="ar-EG"/>
        </w:rPr>
      </w:pPr>
      <w:r>
        <w:rPr>
          <w:rtl/>
          <w:lang w:bidi="ar-EG"/>
        </w:rPr>
        <w:br w:type="page"/>
      </w:r>
    </w:p>
    <w:p w14:paraId="6FBFF9EC" w14:textId="6DAAA337" w:rsidR="008839DA" w:rsidRPr="008839DA" w:rsidRDefault="008839DA" w:rsidP="0021072D">
      <w:pPr>
        <w:pStyle w:val="Heading1"/>
        <w:rPr>
          <w:rtl/>
        </w:rPr>
      </w:pPr>
      <w:r w:rsidRPr="008839DA">
        <w:rPr>
          <w:rtl/>
        </w:rPr>
        <w:lastRenderedPageBreak/>
        <w:t>أولا</w:t>
      </w:r>
      <w:r w:rsidR="00FC73B8">
        <w:rPr>
          <w:rFonts w:hint="cs"/>
          <w:rtl/>
        </w:rPr>
        <w:t>ً</w:t>
      </w:r>
      <w:r w:rsidRPr="008839DA">
        <w:rPr>
          <w:rtl/>
        </w:rPr>
        <w:tab/>
        <w:t>مقدمة</w:t>
      </w:r>
    </w:p>
    <w:p w14:paraId="32E3BF15" w14:textId="4DE6F967" w:rsidR="008839DA" w:rsidRPr="008839DA" w:rsidRDefault="008839DA" w:rsidP="008839DA">
      <w:pPr>
        <w:rPr>
          <w:rtl/>
        </w:rPr>
      </w:pPr>
      <w:r w:rsidRPr="008839DA">
        <w:rPr>
          <w:rtl/>
        </w:rPr>
        <w:t>تواجه الآلية المستخدمة حاليا</w:t>
      </w:r>
      <w:r w:rsidR="005565C1">
        <w:rPr>
          <w:rFonts w:hint="cs"/>
          <w:rtl/>
        </w:rPr>
        <w:t>ً</w:t>
      </w:r>
      <w:r w:rsidRPr="008839DA">
        <w:rPr>
          <w:rtl/>
        </w:rPr>
        <w:t xml:space="preserve"> لاسترداد تكاليف بطاقات التبليغ عن الشبكات الساتلية، والتي ينظمها المقرر</w:t>
      </w:r>
      <w:r w:rsidR="0021072D">
        <w:rPr>
          <w:rFonts w:hint="cs"/>
          <w:rtl/>
        </w:rPr>
        <w:t> </w:t>
      </w:r>
      <w:r w:rsidRPr="008839DA">
        <w:rPr>
          <w:rtl/>
        </w:rPr>
        <w:t xml:space="preserve">482 الصادر عن مجلس الاتحاد، أزمة ثقة منهجية من جانب مشغلي السواتل الروس ومشغلي السواتل الدوليين الآخرين. وتكمن المشكلة الرئيسية في إدراج التكاليف غير المباشرة في الفواتير الموجهة إلى مشغلي السواتل. وتمثل هذه التكاليف الجزء من النفقات العامة للاتحاد التي يمكن أن تُقَّيد على عمل مكتب الاتصالات الراديوية </w:t>
      </w:r>
      <w:r w:rsidRPr="008839DA">
        <w:rPr>
          <w:lang w:bidi="ar-EG"/>
        </w:rPr>
        <w:t>(BR)</w:t>
      </w:r>
      <w:r w:rsidRPr="008839DA">
        <w:rPr>
          <w:rtl/>
        </w:rPr>
        <w:t xml:space="preserve"> هذا، والمقدرة وفقا</w:t>
      </w:r>
      <w:r w:rsidR="005565C1">
        <w:rPr>
          <w:rFonts w:hint="cs"/>
          <w:rtl/>
        </w:rPr>
        <w:t>ً</w:t>
      </w:r>
      <w:r w:rsidRPr="008839DA">
        <w:rPr>
          <w:rtl/>
        </w:rPr>
        <w:t xml:space="preserve"> لمنهجية انتقدتها، انتقادا</w:t>
      </w:r>
      <w:r w:rsidR="005565C1">
        <w:rPr>
          <w:rFonts w:hint="cs"/>
          <w:rtl/>
        </w:rPr>
        <w:t>ً</w:t>
      </w:r>
      <w:r w:rsidRPr="008839DA">
        <w:rPr>
          <w:rtl/>
        </w:rPr>
        <w:t xml:space="preserve"> له ما يبرره، الدول الأعضاء مرارا</w:t>
      </w:r>
      <w:r w:rsidR="005565C1">
        <w:rPr>
          <w:rFonts w:hint="cs"/>
          <w:rtl/>
        </w:rPr>
        <w:t>ً</w:t>
      </w:r>
      <w:r w:rsidRPr="008839DA">
        <w:rPr>
          <w:rtl/>
        </w:rPr>
        <w:t xml:space="preserve"> وتكرارا</w:t>
      </w:r>
      <w:r w:rsidR="005565C1">
        <w:rPr>
          <w:rFonts w:hint="cs"/>
          <w:rtl/>
        </w:rPr>
        <w:t>ً</w:t>
      </w:r>
      <w:r w:rsidRPr="008839DA">
        <w:rPr>
          <w:rtl/>
        </w:rPr>
        <w:t>. وطريقة التسعير هذه شديدة الغموض وتعقد اضطلاع مشغلي السواتل بالتخطيط طويل الأجل لنفقات الاستثمار والتشغيل. وعلاوة على ذلك، فإن نظام الحساب القائم على التكاليف المستخدم حاليا</w:t>
      </w:r>
      <w:r w:rsidR="005565C1">
        <w:rPr>
          <w:rFonts w:hint="cs"/>
          <w:rtl/>
        </w:rPr>
        <w:t>ً</w:t>
      </w:r>
      <w:r w:rsidRPr="008839DA">
        <w:rPr>
          <w:rtl/>
        </w:rPr>
        <w:t xml:space="preserve"> لبطاقات التبليغ عن الشبكات الساتلية لا يأخذ في الاعتبار مبلغ المساهمات التي تدفعها مختلف الدول</w:t>
      </w:r>
      <w:r w:rsidR="00D15DD5">
        <w:rPr>
          <w:rFonts w:hint="cs"/>
          <w:rtl/>
        </w:rPr>
        <w:t> </w:t>
      </w:r>
      <w:r w:rsidRPr="008839DA">
        <w:rPr>
          <w:rtl/>
        </w:rPr>
        <w:t>الأعضاء.</w:t>
      </w:r>
    </w:p>
    <w:p w14:paraId="66265547" w14:textId="77777777" w:rsidR="008839DA" w:rsidRPr="008839DA" w:rsidRDefault="008839DA" w:rsidP="008839DA">
      <w:pPr>
        <w:rPr>
          <w:rtl/>
        </w:rPr>
      </w:pPr>
      <w:r w:rsidRPr="008839DA">
        <w:rPr>
          <w:rtl/>
        </w:rPr>
        <w:t xml:space="preserve">ويدرك مشغلو الأنظمة الساتلية الروسية الحاجة إلى التمويل الكافي لأنشطة مكتب الاتصالات الراديوية </w:t>
      </w:r>
      <w:r w:rsidRPr="008839DA">
        <w:rPr>
          <w:lang w:bidi="ar-EG"/>
        </w:rPr>
        <w:t>(BR)</w:t>
      </w:r>
      <w:r w:rsidRPr="008839DA">
        <w:rPr>
          <w:rtl/>
        </w:rPr>
        <w:t xml:space="preserve"> لضمان المعالجة السريعة والعالية الجودة لبطاقات التبليغ عن الشبكات الساتلية ويتفقون من حيث المبدأ على ضرورة دفع التكاليف المباشرة التي يتكبدها المكتب في معالجة البطاقات. ويمكن إدراج التكاليف التالية في التكاليف المباشرة لمكتب الاتصالات الراديوية:</w:t>
      </w:r>
    </w:p>
    <w:p w14:paraId="67A27E06" w14:textId="1912D861" w:rsidR="008839DA" w:rsidRPr="008839DA" w:rsidRDefault="008839DA" w:rsidP="0021072D">
      <w:pPr>
        <w:pStyle w:val="enumlev1"/>
        <w:rPr>
          <w:rtl/>
        </w:rPr>
      </w:pPr>
      <w:r w:rsidRPr="008839DA">
        <w:rPr>
          <w:lang w:bidi="ar-EG"/>
        </w:rPr>
        <w:t>−</w:t>
      </w:r>
      <w:r w:rsidRPr="008839DA">
        <w:rPr>
          <w:rtl/>
        </w:rPr>
        <w:tab/>
        <w:t>التكاليف الإجمالية (المرتبات والتأمين الاجتماعي والاستحقاقات) لجميع الموظفين المشاركين مباشرة في</w:t>
      </w:r>
      <w:r w:rsidR="0021072D">
        <w:rPr>
          <w:rFonts w:hint="cs"/>
          <w:rtl/>
        </w:rPr>
        <w:t> </w:t>
      </w:r>
      <w:r w:rsidRPr="008839DA">
        <w:rPr>
          <w:rtl/>
        </w:rPr>
        <w:t>معالجة بطاقات التبليغ على أساس دوام كامل؛ وفيما يخص الموظفين غير العاملين بدوام كامل في المعالجة، فإن حصة التكلفة المخصصة لبطاقات التبليغ هي تكلفة الوقت المستغرق فعلا</w:t>
      </w:r>
      <w:r w:rsidR="005565C1">
        <w:rPr>
          <w:rFonts w:hint="cs"/>
          <w:rtl/>
        </w:rPr>
        <w:t>ً</w:t>
      </w:r>
      <w:r w:rsidRPr="008839DA">
        <w:rPr>
          <w:rtl/>
        </w:rPr>
        <w:t xml:space="preserve"> في المعالجة؛</w:t>
      </w:r>
    </w:p>
    <w:p w14:paraId="5FC9A856" w14:textId="77777777" w:rsidR="008839DA" w:rsidRPr="008839DA" w:rsidRDefault="008839DA" w:rsidP="0021072D">
      <w:pPr>
        <w:pStyle w:val="enumlev1"/>
        <w:rPr>
          <w:rtl/>
        </w:rPr>
      </w:pPr>
      <w:r w:rsidRPr="008839DA">
        <w:rPr>
          <w:lang w:bidi="ar-EG"/>
        </w:rPr>
        <w:t>−</w:t>
      </w:r>
      <w:r w:rsidRPr="008839DA">
        <w:rPr>
          <w:rtl/>
        </w:rPr>
        <w:tab/>
        <w:t>الخدمات المهنية (تكاليف الخبراء الاستشاريين أو الموظفين المؤقتين الذين يعملون بدوام كامل في معالجة بطاقات التبليغ</w:t>
      </w:r>
      <w:proofErr w:type="gramStart"/>
      <w:r w:rsidRPr="008839DA">
        <w:rPr>
          <w:rtl/>
        </w:rPr>
        <w:t>)؛</w:t>
      </w:r>
      <w:proofErr w:type="gramEnd"/>
    </w:p>
    <w:p w14:paraId="564BC442" w14:textId="77777777" w:rsidR="008839DA" w:rsidRPr="008839DA" w:rsidRDefault="008839DA" w:rsidP="0021072D">
      <w:pPr>
        <w:pStyle w:val="enumlev1"/>
        <w:rPr>
          <w:rtl/>
        </w:rPr>
      </w:pPr>
      <w:r w:rsidRPr="008839DA">
        <w:rPr>
          <w:lang w:bidi="ar-EG"/>
        </w:rPr>
        <w:t>−</w:t>
      </w:r>
      <w:r w:rsidRPr="008839DA">
        <w:rPr>
          <w:rtl/>
        </w:rPr>
        <w:tab/>
        <w:t>المواد واللوازم المستخدمة في المعالجة؛</w:t>
      </w:r>
    </w:p>
    <w:p w14:paraId="33B4E9B9" w14:textId="77777777" w:rsidR="008839DA" w:rsidRPr="008839DA" w:rsidRDefault="008839DA" w:rsidP="0021072D">
      <w:pPr>
        <w:pStyle w:val="enumlev1"/>
        <w:rPr>
          <w:rtl/>
        </w:rPr>
      </w:pPr>
      <w:r w:rsidRPr="008839DA">
        <w:rPr>
          <w:lang w:bidi="ar-EG"/>
        </w:rPr>
        <w:t>−</w:t>
      </w:r>
      <w:r w:rsidRPr="008839DA">
        <w:rPr>
          <w:rtl/>
        </w:rPr>
        <w:tab/>
        <w:t>سفر موظفي مكتب الاتصالات الراديوية في مهام رسمية فيما يتعلق بالمعالجة، وكذلك تكاليف تدريب موظفي المكتب وتطوير مهاراتهم في إطار المسائل ذات الصلة المباشرة بالمعالجة؛</w:t>
      </w:r>
    </w:p>
    <w:p w14:paraId="3E773E91" w14:textId="3E388353" w:rsidR="008839DA" w:rsidRPr="008839DA" w:rsidRDefault="008839DA" w:rsidP="0021072D">
      <w:pPr>
        <w:pStyle w:val="enumlev1"/>
        <w:rPr>
          <w:rtl/>
        </w:rPr>
      </w:pPr>
      <w:r w:rsidRPr="008839DA">
        <w:rPr>
          <w:lang w:bidi="ar-EG"/>
        </w:rPr>
        <w:t>−</w:t>
      </w:r>
      <w:r w:rsidRPr="008839DA">
        <w:rPr>
          <w:rtl/>
        </w:rPr>
        <w:tab/>
        <w:t>تكلفة تطوير وتشغيل البرمجيات أو المعدات المستعملة حصرا</w:t>
      </w:r>
      <w:r w:rsidR="005565C1">
        <w:rPr>
          <w:rFonts w:hint="cs"/>
          <w:rtl/>
        </w:rPr>
        <w:t>ً</w:t>
      </w:r>
      <w:r w:rsidRPr="008839DA">
        <w:rPr>
          <w:rtl/>
        </w:rPr>
        <w:t xml:space="preserve"> لمعالجة بطاقات التبليغ.</w:t>
      </w:r>
    </w:p>
    <w:p w14:paraId="7FA80AC7" w14:textId="31199A12" w:rsidR="008839DA" w:rsidRPr="008839DA" w:rsidRDefault="008839DA" w:rsidP="008839DA">
      <w:pPr>
        <w:rPr>
          <w:rtl/>
        </w:rPr>
      </w:pPr>
      <w:r w:rsidRPr="008839DA">
        <w:rPr>
          <w:rtl/>
        </w:rPr>
        <w:t>بيد أن الممارسة الحالية المتمثلة في توجيه الفواتير إلى المشغلين عن التكاليف غير المباشرة التي يتحملها الاتحاد، والتي لا تتصل مباشرة بالمعالجة التقنية لبطاقات التبليغ، أصبحت تشكل عائقا</w:t>
      </w:r>
      <w:r w:rsidR="005565C1">
        <w:rPr>
          <w:rFonts w:hint="cs"/>
          <w:rtl/>
        </w:rPr>
        <w:t>ً</w:t>
      </w:r>
      <w:r w:rsidRPr="008839DA">
        <w:rPr>
          <w:rtl/>
        </w:rPr>
        <w:t xml:space="preserve"> كبيرا</w:t>
      </w:r>
      <w:r w:rsidR="005565C1">
        <w:rPr>
          <w:rFonts w:hint="cs"/>
          <w:rtl/>
        </w:rPr>
        <w:t>ً</w:t>
      </w:r>
      <w:r w:rsidRPr="008839DA">
        <w:rPr>
          <w:rtl/>
        </w:rPr>
        <w:t xml:space="preserve"> أمام نمو هذه الصناعة.</w:t>
      </w:r>
    </w:p>
    <w:p w14:paraId="6CB266C8" w14:textId="77777777" w:rsidR="008839DA" w:rsidRPr="008839DA" w:rsidRDefault="008839DA" w:rsidP="008839DA">
      <w:pPr>
        <w:rPr>
          <w:rtl/>
        </w:rPr>
      </w:pPr>
      <w:r w:rsidRPr="008839DA">
        <w:rPr>
          <w:rtl/>
        </w:rPr>
        <w:t>وبناء على ذلك، يُقترح تحسين منهجية استرداد التكاليف وحماية الاستقرار طويل الأجل لصناعة السواتل من خلال استعراض هيكل رسوم معالجة بطاقات التبليغ عن الشبكات الساتلية. ويقترح بوجه خاص قصر الرسوم على التكاليف المباشرة التي يتحملها مكتب الاتصالات الراديوية. فالرسوم غير المباشرة المرتبطة بالعمليات التجارية العامة والنفقات الإدارية يجب أن تغطيها الميزانية العادية للاتحاد. ومن شأن ذلك أن يمنح مشغلي السواتل الشفافية فيما يتعلق بتقديم التقارير المالية وإمكانية التنبؤ بالتكاليف.</w:t>
      </w:r>
    </w:p>
    <w:p w14:paraId="131DF57A" w14:textId="77777777" w:rsidR="008839DA" w:rsidRPr="008839DA" w:rsidRDefault="008839DA" w:rsidP="008839DA">
      <w:pPr>
        <w:rPr>
          <w:rtl/>
        </w:rPr>
      </w:pPr>
      <w:r w:rsidRPr="008839DA">
        <w:rPr>
          <w:rtl/>
        </w:rPr>
        <w:t>ومن شأن المقترح أن يحقق مواءمة السياسة المالية لمكتب الاتصالات الراديوية مع النصوص الأساسية للاتحاد، على النحو المبين أدناه:</w:t>
      </w:r>
    </w:p>
    <w:p w14:paraId="7F5F15AB" w14:textId="1F81EFE7" w:rsidR="008839DA" w:rsidRPr="008839DA" w:rsidRDefault="008839DA" w:rsidP="008839DA">
      <w:pPr>
        <w:rPr>
          <w:rtl/>
        </w:rPr>
      </w:pPr>
      <w:r w:rsidRPr="008839DA">
        <w:rPr>
          <w:rtl/>
        </w:rPr>
        <w:t>المادة 1 من الدستور والمادة 12 (الرقم 172) من اتفاقية الاتحاد: إن تسجيل تخصيصات التردد</w:t>
      </w:r>
      <w:r w:rsidR="005565C1">
        <w:rPr>
          <w:rFonts w:hint="cs"/>
          <w:rtl/>
        </w:rPr>
        <w:t>ات</w:t>
      </w:r>
      <w:r w:rsidRPr="008839DA">
        <w:rPr>
          <w:rtl/>
        </w:rPr>
        <w:t xml:space="preserve"> للشبكات الساتلية التزام أساسي على الاتحاد. ونتيجة لذلك، ينبغي تمويل البنية التحتية المشتركة للمكتب وعملياته العامة لدعم هذه الوظيفة من خلال الميزانية العادية المتأتية من مساهمات الدول الأعضاء.</w:t>
      </w:r>
    </w:p>
    <w:p w14:paraId="7DCF44D7" w14:textId="72AFC9E6" w:rsidR="008839DA" w:rsidRPr="008839DA" w:rsidRDefault="008839DA" w:rsidP="008839DA">
      <w:pPr>
        <w:rPr>
          <w:rtl/>
        </w:rPr>
      </w:pPr>
      <w:r w:rsidRPr="008839DA">
        <w:rPr>
          <w:rtl/>
        </w:rPr>
        <w:t>المادة 28 من دستور الاتحاد</w:t>
      </w:r>
      <w:r w:rsidR="00D15DD5">
        <w:rPr>
          <w:rFonts w:hint="cs"/>
          <w:rtl/>
        </w:rPr>
        <w:t xml:space="preserve"> </w:t>
      </w:r>
      <w:r w:rsidR="0021072D">
        <w:rPr>
          <w:rFonts w:hint="cs"/>
          <w:rtl/>
        </w:rPr>
        <w:t>(</w:t>
      </w:r>
      <w:r w:rsidR="0021072D">
        <w:rPr>
          <w:rFonts w:hint="cs"/>
          <w:rtl/>
          <w:lang w:bidi="ar-EG"/>
        </w:rPr>
        <w:t xml:space="preserve">الرقم </w:t>
      </w:r>
      <w:r w:rsidR="0021072D">
        <w:rPr>
          <w:lang w:bidi="ar-EG"/>
        </w:rPr>
        <w:t>157</w:t>
      </w:r>
      <w:r w:rsidR="0021072D">
        <w:rPr>
          <w:rFonts w:hint="cs"/>
          <w:rtl/>
          <w:lang w:bidi="ar-EG"/>
        </w:rPr>
        <w:t>):</w:t>
      </w:r>
      <w:r w:rsidRPr="008839DA">
        <w:rPr>
          <w:rtl/>
        </w:rPr>
        <w:t xml:space="preserve"> ينص هذا الحكم صراحة على أن النفقات المتعلقة بسير أعمال القطاعات يجب أن تغطى من الميزانية العادية للاتحاد. وتشكل التكاليف الإدارية غير المباشرة جزءا</w:t>
      </w:r>
      <w:r w:rsidR="005565C1">
        <w:rPr>
          <w:rFonts w:hint="cs"/>
          <w:rtl/>
        </w:rPr>
        <w:t>ً</w:t>
      </w:r>
      <w:r w:rsidRPr="008839DA">
        <w:rPr>
          <w:rtl/>
        </w:rPr>
        <w:t xml:space="preserve"> من التكاليف العامة للقطاع ولا يمكن إعادة توزيعها على مشغلي السواتل لشبكات ساتلية محددة.</w:t>
      </w:r>
    </w:p>
    <w:p w14:paraId="1390F8E6" w14:textId="6707A747" w:rsidR="008839DA" w:rsidRPr="008839DA" w:rsidRDefault="008839DA" w:rsidP="008839DA">
      <w:pPr>
        <w:rPr>
          <w:rtl/>
        </w:rPr>
      </w:pPr>
      <w:r w:rsidRPr="008839DA">
        <w:rPr>
          <w:rtl/>
        </w:rPr>
        <w:t>ويقتضي القرار 91 (المراج</w:t>
      </w:r>
      <w:r w:rsidR="0021072D">
        <w:rPr>
          <w:rFonts w:hint="cs"/>
          <w:rtl/>
        </w:rPr>
        <w:t>َ</w:t>
      </w:r>
      <w:r w:rsidRPr="008839DA">
        <w:rPr>
          <w:rtl/>
        </w:rPr>
        <w:t xml:space="preserve">ع في غوادالاخارا، 2010) أن تكون آلية استرداد التكاليف كاملة وشفافة ومنصفة. ويضمن </w:t>
      </w:r>
      <w:r w:rsidR="00FC73B8">
        <w:rPr>
          <w:rFonts w:hint="cs"/>
          <w:rtl/>
        </w:rPr>
        <w:t>دمج</w:t>
      </w:r>
      <w:r w:rsidRPr="008839DA">
        <w:rPr>
          <w:rtl/>
        </w:rPr>
        <w:t xml:space="preserve"> التكاليف غير المباشرة في الميزانية العادية المساءلة ويتجنب إعادة توزيع التكاليف العامة التي يتحملها الاتحاد على المشاركين في سوق السواتل دون مبرر.</w:t>
      </w:r>
    </w:p>
    <w:p w14:paraId="3BA94EB8" w14:textId="3AC12AD6" w:rsidR="008839DA" w:rsidRPr="008839DA" w:rsidRDefault="008839DA" w:rsidP="008839DA">
      <w:pPr>
        <w:rPr>
          <w:rtl/>
        </w:rPr>
      </w:pPr>
      <w:r w:rsidRPr="008839DA">
        <w:rPr>
          <w:rtl/>
        </w:rPr>
        <w:lastRenderedPageBreak/>
        <w:t>وبالإضافة إلى ذلك، يركز القرار 71 (المراج</w:t>
      </w:r>
      <w:r w:rsidR="0021072D">
        <w:rPr>
          <w:rFonts w:hint="cs"/>
          <w:rtl/>
        </w:rPr>
        <w:t>َ</w:t>
      </w:r>
      <w:r w:rsidRPr="008839DA">
        <w:rPr>
          <w:rtl/>
        </w:rPr>
        <w:t>ع في بوخارست، 2022) بشأن الخطة الاستراتيجية للاتحاد للفترة 2024-2027 على سد الفجوة الرقمية وضمان استدامة الاتصالات. وفي هذا الصدد، سيؤدي دمج التكاليف غير المباشرة في الميزانية العادية للاتحاد إلى خفض تكلفة خدمات الإنترنت والاتصالات الساتلية التي يتحملها المستخدمون النهائيون، مما سيساهم بشكل مباشر في تحقيق الأهداف الاستراتيجية للاتحاد بشأن التوصيلية الشاملة.</w:t>
      </w:r>
    </w:p>
    <w:p w14:paraId="693DC767" w14:textId="565826B9" w:rsidR="008839DA" w:rsidRPr="008839DA" w:rsidRDefault="008839DA" w:rsidP="008839DA">
      <w:pPr>
        <w:rPr>
          <w:rtl/>
        </w:rPr>
      </w:pPr>
      <w:r w:rsidRPr="008839DA">
        <w:rPr>
          <w:rtl/>
        </w:rPr>
        <w:t>ومرة أخرى، يدعو القرار 158 (المراج</w:t>
      </w:r>
      <w:r w:rsidR="0021072D">
        <w:rPr>
          <w:rFonts w:hint="cs"/>
          <w:rtl/>
        </w:rPr>
        <w:t>َ</w:t>
      </w:r>
      <w:r w:rsidRPr="008839DA">
        <w:rPr>
          <w:rtl/>
        </w:rPr>
        <w:t>ع في بوسان، 2014)، بشأن قضايا مالية ينظر فيها المجلس، إلى الوصول بالنفقات إلى المستوى الأمثل وإيجاد مصادر جديدة للإيرادات دون الإضرار بأنشطة قطاعات الاتحاد. ونحن مقتنعون بأنه ينبغي للاتحاد، بدلا</w:t>
      </w:r>
      <w:r w:rsidR="005565C1">
        <w:rPr>
          <w:rFonts w:hint="cs"/>
          <w:rtl/>
        </w:rPr>
        <w:t>ً</w:t>
      </w:r>
      <w:r w:rsidRPr="008839DA">
        <w:rPr>
          <w:rtl/>
        </w:rPr>
        <w:t xml:space="preserve"> من تحميل المشغلين تكاليفه غير المباشرة، أن يلتمس سبلا</w:t>
      </w:r>
      <w:r w:rsidR="005565C1">
        <w:rPr>
          <w:rFonts w:hint="cs"/>
          <w:rtl/>
        </w:rPr>
        <w:t>ً</w:t>
      </w:r>
      <w:r w:rsidRPr="008839DA">
        <w:rPr>
          <w:rtl/>
        </w:rPr>
        <w:t xml:space="preserve"> لزيادة الكفاءة من خلال الميزانية العادية، بما يوفر الشفافية الكاملة للدول الأعضاء.</w:t>
      </w:r>
    </w:p>
    <w:p w14:paraId="02179D1A" w14:textId="12856DA4" w:rsidR="008839DA" w:rsidRPr="008839DA" w:rsidRDefault="008839DA" w:rsidP="008839DA">
      <w:pPr>
        <w:rPr>
          <w:rtl/>
        </w:rPr>
      </w:pPr>
      <w:r w:rsidRPr="008839DA">
        <w:rPr>
          <w:rtl/>
        </w:rPr>
        <w:t>وفي ضوء ما سبق، يرى الاتحاد الروسي أنه ينبغي مراجعة القرار 91 (المراج</w:t>
      </w:r>
      <w:r w:rsidR="0021072D">
        <w:rPr>
          <w:rFonts w:hint="cs"/>
          <w:rtl/>
        </w:rPr>
        <w:t>َ</w:t>
      </w:r>
      <w:r w:rsidRPr="008839DA">
        <w:rPr>
          <w:rtl/>
        </w:rPr>
        <w:t xml:space="preserve">ع في غوادالاخارا، 2010) في مؤتمر المندوبين المفوضين لعام 2026، مع تعديل قسم </w:t>
      </w:r>
      <w:r w:rsidR="00FC73B8">
        <w:rPr>
          <w:rFonts w:hint="cs"/>
          <w:rtl/>
        </w:rPr>
        <w:t>"</w:t>
      </w:r>
      <w:r w:rsidRPr="008839DA">
        <w:rPr>
          <w:i/>
          <w:iCs/>
          <w:rtl/>
        </w:rPr>
        <w:t>يقرر</w:t>
      </w:r>
      <w:r w:rsidR="00FC73B8">
        <w:rPr>
          <w:rFonts w:hint="cs"/>
          <w:rtl/>
        </w:rPr>
        <w:t>"</w:t>
      </w:r>
      <w:r w:rsidRPr="008839DA">
        <w:rPr>
          <w:i/>
          <w:iCs/>
          <w:rtl/>
        </w:rPr>
        <w:t xml:space="preserve"> </w:t>
      </w:r>
      <w:r w:rsidRPr="008839DA">
        <w:rPr>
          <w:rtl/>
        </w:rPr>
        <w:t>لتوضيح أن استرداد تكاليف معالجة بطاقات التبليغ عن الشبكات الساتلية ينبغي ألا يغطي سوى التكاليف المباشرة التي يتكبدها مكتب الاتصالات الراديوية على النحو المحدد أعلاه، في حين ينبغي تغطية التكاليف غير المباشرة من الميزانية العادية باستخدام مساهمات الدول الأعضاء.</w:t>
      </w:r>
    </w:p>
    <w:p w14:paraId="5EF2AA63" w14:textId="77777777" w:rsidR="008839DA" w:rsidRPr="008839DA" w:rsidRDefault="008839DA" w:rsidP="008839DA">
      <w:pPr>
        <w:rPr>
          <w:rtl/>
        </w:rPr>
      </w:pPr>
      <w:r w:rsidRPr="008839DA">
        <w:rPr>
          <w:rtl/>
        </w:rPr>
        <w:t>ومن الواضح أن التحوُّل إلى آلية جديدة لاسترداد تكاليف معالجة البطاقات سيتطلب حتما إحداث تغييرات في ممارسات الميزنة في الاتحاد. ولذلك ينبغي تخصيص احتياطي لتغطية أوجه العجز المحتملة.</w:t>
      </w:r>
    </w:p>
    <w:p w14:paraId="1E7F7DCC" w14:textId="76499143" w:rsidR="008839DA" w:rsidRPr="008839DA" w:rsidRDefault="008839DA" w:rsidP="008839DA">
      <w:pPr>
        <w:rPr>
          <w:rtl/>
        </w:rPr>
      </w:pPr>
      <w:r w:rsidRPr="008839DA">
        <w:rPr>
          <w:rtl/>
        </w:rPr>
        <w:t>ومن شأن تنفيذ النهج المقترح أن يحقق فوائد كبيرة لصناعة السواتل، بما في ذلك تقديم حوافز جديدة للاستثمار في</w:t>
      </w:r>
      <w:r w:rsidR="0021072D">
        <w:rPr>
          <w:rFonts w:hint="cs"/>
          <w:rtl/>
        </w:rPr>
        <w:t> </w:t>
      </w:r>
      <w:r w:rsidRPr="008839DA">
        <w:rPr>
          <w:rtl/>
        </w:rPr>
        <w:t>قطاعات التكنولوجيا المتقدمة (غير المستقرة بالنسبة إلى الأرض)، وإلغاء ما يرقى إلى فرض ضريبة على الابتكار، وتحسين الانضباط المالي، وتقليص ديون مشغلي السواتل في الاتحاد، وتعزيز مبدأ النفاذ المنصف.</w:t>
      </w:r>
    </w:p>
    <w:p w14:paraId="1C09BFD2" w14:textId="02670319" w:rsidR="008839DA" w:rsidRPr="008839DA" w:rsidRDefault="008839DA" w:rsidP="008839DA">
      <w:pPr>
        <w:rPr>
          <w:rtl/>
        </w:rPr>
      </w:pPr>
      <w:r w:rsidRPr="008839DA">
        <w:rPr>
          <w:rtl/>
        </w:rPr>
        <w:t xml:space="preserve">وبالإضافة إلى ذلك، وبغية الحفاظ على الحق المطلق لجميع الدول الأعضاء في القدرة على النفاذ إلى الموارد المدارية والطيفية، يقترح الاتحاد الروسي </w:t>
      </w:r>
      <w:r w:rsidR="00FC73B8">
        <w:rPr>
          <w:rFonts w:hint="cs"/>
          <w:rtl/>
        </w:rPr>
        <w:t>دمج</w:t>
      </w:r>
      <w:r w:rsidRPr="008839DA">
        <w:rPr>
          <w:rtl/>
        </w:rPr>
        <w:t xml:space="preserve"> استحقاق التبليغ المجاني السنوي بوصفه وسيلة من وسائل ممارسة الدول الأعضاء لحقوقها السيادية. وينبغي أن تغطي هذه القاعدة التكاليف الإدارية التي يتحملها مكتب الاتصالات الراديوية بالكامل من الميزانية العادية وأن تستبعد أي لجوء إلى استرداد التكاليف لمعالجة بطاقة تبليغ </w:t>
      </w:r>
      <w:r w:rsidR="00FC73B8" w:rsidRPr="008839DA">
        <w:rPr>
          <w:rtl/>
        </w:rPr>
        <w:t xml:space="preserve">واحدة </w:t>
      </w:r>
      <w:r w:rsidRPr="008839DA">
        <w:rPr>
          <w:rtl/>
        </w:rPr>
        <w:t xml:space="preserve">ذات أولوية لكل إدارة </w:t>
      </w:r>
      <w:r w:rsidR="00FC73B8">
        <w:rPr>
          <w:rFonts w:hint="cs"/>
          <w:rtl/>
        </w:rPr>
        <w:t>سنوياً</w:t>
      </w:r>
      <w:r w:rsidRPr="008839DA">
        <w:rPr>
          <w:rtl/>
        </w:rPr>
        <w:t>.</w:t>
      </w:r>
    </w:p>
    <w:p w14:paraId="3D10A46B" w14:textId="77777777" w:rsidR="008839DA" w:rsidRPr="008839DA" w:rsidRDefault="008839DA" w:rsidP="008839DA">
      <w:pPr>
        <w:rPr>
          <w:spacing w:val="-4"/>
          <w:rtl/>
        </w:rPr>
      </w:pPr>
      <w:r w:rsidRPr="008839DA">
        <w:rPr>
          <w:spacing w:val="-4"/>
          <w:rtl/>
        </w:rPr>
        <w:t>وينبغي أيضا تغطية تكاليف معالجة البطاقات هذه، بما في ذلك جميع إجراءات التسجيل الإدارية والتقنية المصاحبة، بالكامل من الميزانية العادية للاتحاد. ومن شأن ذلك أن يقضي على أي تمييز على أسس مالية في تنفيذ برامج الفضاء الوطنية.</w:t>
      </w:r>
    </w:p>
    <w:p w14:paraId="42808180" w14:textId="77777777" w:rsidR="008839DA" w:rsidRPr="008839DA" w:rsidRDefault="008839DA" w:rsidP="008839DA">
      <w:pPr>
        <w:rPr>
          <w:rtl/>
        </w:rPr>
      </w:pPr>
      <w:r w:rsidRPr="008839DA">
        <w:rPr>
          <w:rtl/>
        </w:rPr>
        <w:t>وينبع هذا المقترح مباشرة من المادة 44 من دستور الاتحاد (الرقم 196) التي تقضي بتوفير النفاذ المنصف إلى الترددات والمدارات، مع مراعاة الاحتياجات الخاصة للبلدان النامية.</w:t>
      </w:r>
    </w:p>
    <w:p w14:paraId="56F4E32A" w14:textId="0DCF883F" w:rsidR="008839DA" w:rsidRPr="008839DA" w:rsidRDefault="008839DA" w:rsidP="0021072D">
      <w:pPr>
        <w:pStyle w:val="Heading1"/>
        <w:rPr>
          <w:rtl/>
        </w:rPr>
      </w:pPr>
      <w:r w:rsidRPr="008839DA">
        <w:rPr>
          <w:rtl/>
        </w:rPr>
        <w:t>ثانيا</w:t>
      </w:r>
      <w:r w:rsidR="00FC73B8">
        <w:rPr>
          <w:rFonts w:hint="cs"/>
          <w:rtl/>
        </w:rPr>
        <w:t>ً</w:t>
      </w:r>
      <w:r w:rsidRPr="008839DA">
        <w:rPr>
          <w:rtl/>
        </w:rPr>
        <w:tab/>
        <w:t>المقترحات</w:t>
      </w:r>
    </w:p>
    <w:p w14:paraId="0BBBB008" w14:textId="77777777" w:rsidR="008839DA" w:rsidRPr="008839DA" w:rsidRDefault="008839DA" w:rsidP="008839DA">
      <w:pPr>
        <w:rPr>
          <w:rtl/>
        </w:rPr>
      </w:pPr>
      <w:r w:rsidRPr="008839DA">
        <w:rPr>
          <w:rtl/>
        </w:rPr>
        <w:t>1</w:t>
      </w:r>
      <w:r w:rsidRPr="008839DA">
        <w:rPr>
          <w:rtl/>
        </w:rPr>
        <w:tab/>
        <w:t xml:space="preserve">ينبغي تكليف فريق العمل التابع للمجلس والمعني بالموارد المالية والبشرية </w:t>
      </w:r>
      <w:r w:rsidRPr="008839DA">
        <w:rPr>
          <w:lang w:bidi="ar-EG"/>
        </w:rPr>
        <w:t>(CWG-FHR)</w:t>
      </w:r>
      <w:r w:rsidRPr="008839DA">
        <w:rPr>
          <w:rtl/>
        </w:rPr>
        <w:t xml:space="preserve"> بما يلي:</w:t>
      </w:r>
    </w:p>
    <w:p w14:paraId="3A5CDA5B" w14:textId="0D115310" w:rsidR="008839DA" w:rsidRPr="008839DA" w:rsidRDefault="00FC73B8" w:rsidP="008839DA">
      <w:pPr>
        <w:rPr>
          <w:rtl/>
        </w:rPr>
      </w:pPr>
      <w:r>
        <w:t>1.1</w:t>
      </w:r>
      <w:r w:rsidR="008839DA" w:rsidRPr="008839DA">
        <w:rPr>
          <w:rtl/>
        </w:rPr>
        <w:tab/>
        <w:t>أن يعد تقريرا</w:t>
      </w:r>
      <w:r w:rsidR="0021072D">
        <w:rPr>
          <w:rFonts w:hint="cs"/>
          <w:rtl/>
        </w:rPr>
        <w:t>ً</w:t>
      </w:r>
      <w:r w:rsidR="008839DA" w:rsidRPr="008839DA">
        <w:rPr>
          <w:rtl/>
        </w:rPr>
        <w:t xml:space="preserve"> شاملا</w:t>
      </w:r>
      <w:r w:rsidR="0021072D">
        <w:rPr>
          <w:rFonts w:hint="cs"/>
          <w:rtl/>
        </w:rPr>
        <w:t>ً</w:t>
      </w:r>
      <w:r w:rsidR="008839DA" w:rsidRPr="008839DA">
        <w:rPr>
          <w:rtl/>
        </w:rPr>
        <w:t xml:space="preserve"> عن تمويل مكتب الاتصالات الراديوية خلال دورة السنوات الأربع الأخيرة، على أساس المعلومات التي يقدمها المكتب، بما في ذلك:</w:t>
      </w:r>
    </w:p>
    <w:p w14:paraId="1731986C" w14:textId="77777777" w:rsidR="008839DA" w:rsidRPr="008839DA" w:rsidRDefault="008839DA" w:rsidP="0021072D">
      <w:pPr>
        <w:pStyle w:val="enumlev1"/>
        <w:rPr>
          <w:rtl/>
        </w:rPr>
      </w:pPr>
      <w:r w:rsidRPr="008839DA">
        <w:rPr>
          <w:lang w:bidi="ar-EG"/>
        </w:rPr>
        <w:t>−</w:t>
      </w:r>
      <w:r w:rsidRPr="008839DA">
        <w:rPr>
          <w:rtl/>
        </w:rPr>
        <w:tab/>
        <w:t>بيانات الدفع: إحصاءات الفواتير الصادرة والمبالغ الفعلية الواردة من مشغلي السواتل؛</w:t>
      </w:r>
    </w:p>
    <w:p w14:paraId="64B12606" w14:textId="77777777" w:rsidR="008839DA" w:rsidRPr="008839DA" w:rsidRDefault="008839DA" w:rsidP="0021072D">
      <w:pPr>
        <w:pStyle w:val="enumlev1"/>
        <w:rPr>
          <w:rtl/>
        </w:rPr>
      </w:pPr>
      <w:r w:rsidRPr="008839DA">
        <w:rPr>
          <w:lang w:bidi="ar-EG"/>
        </w:rPr>
        <w:t>−</w:t>
      </w:r>
      <w:r w:rsidRPr="008839DA">
        <w:rPr>
          <w:rtl/>
        </w:rPr>
        <w:tab/>
        <w:t>الذمم المدينة: حجم ديون المشغلين للاتحاد والاتجاهات السائدة مع مرور الوقت؛</w:t>
      </w:r>
    </w:p>
    <w:p w14:paraId="7B0C9642" w14:textId="5C2D0228" w:rsidR="008839DA" w:rsidRPr="008839DA" w:rsidRDefault="008839DA" w:rsidP="0021072D">
      <w:pPr>
        <w:pStyle w:val="enumlev1"/>
        <w:rPr>
          <w:rtl/>
        </w:rPr>
      </w:pPr>
      <w:r w:rsidRPr="008839DA">
        <w:rPr>
          <w:lang w:bidi="ar-EG"/>
        </w:rPr>
        <w:t>−</w:t>
      </w:r>
      <w:r w:rsidRPr="008839DA">
        <w:rPr>
          <w:rtl/>
        </w:rPr>
        <w:tab/>
        <w:t>تحليل التكاليف: توزيع التكاليف المباشرة لبطاقات التبليغ (وفقا</w:t>
      </w:r>
      <w:r w:rsidR="005565C1">
        <w:rPr>
          <w:rFonts w:hint="cs"/>
          <w:rtl/>
        </w:rPr>
        <w:t>ً</w:t>
      </w:r>
      <w:r w:rsidRPr="008839DA">
        <w:rPr>
          <w:rtl/>
        </w:rPr>
        <w:t xml:space="preserve"> للمنهجية الحالية</w:t>
      </w:r>
      <w:proofErr w:type="gramStart"/>
      <w:r w:rsidRPr="008839DA">
        <w:rPr>
          <w:rtl/>
        </w:rPr>
        <w:t>)؛</w:t>
      </w:r>
      <w:proofErr w:type="gramEnd"/>
    </w:p>
    <w:p w14:paraId="2CED5944" w14:textId="77777777" w:rsidR="008839DA" w:rsidRPr="008839DA" w:rsidRDefault="008839DA" w:rsidP="0021072D">
      <w:pPr>
        <w:pStyle w:val="enumlev1"/>
        <w:rPr>
          <w:rtl/>
        </w:rPr>
      </w:pPr>
      <w:r w:rsidRPr="008839DA">
        <w:rPr>
          <w:lang w:bidi="ar-EG"/>
        </w:rPr>
        <w:t>−</w:t>
      </w:r>
      <w:r w:rsidRPr="008839DA">
        <w:rPr>
          <w:rtl/>
        </w:rPr>
        <w:tab/>
        <w:t>الإحصاءات المتعلقة ببطاقات التبليغ: مجموع عدد بطاقات التبليغ عن الأنظمة الساتلية المسجلة خلال الفترة المشار إليها.</w:t>
      </w:r>
    </w:p>
    <w:p w14:paraId="6B1C32DA" w14:textId="2C338226" w:rsidR="00F50E3F" w:rsidRDefault="0021072D" w:rsidP="0021072D">
      <w:r>
        <w:t>2.1</w:t>
      </w:r>
      <w:r w:rsidR="008839DA" w:rsidRPr="008839DA">
        <w:rPr>
          <w:rtl/>
        </w:rPr>
        <w:tab/>
        <w:t>أن يقدم الفريق إلى المجلس في دورته لعام 2027 نموذج تمويل تقتصر فيه الرسوم المفروضة على بطاقات التبليغ عن الشبكات الساتلية على التكاليف التشغيلية المباشرة، بينما تقيد التكاليف غير المباشرة التي يتحملها مكتب الاتصالات الراديوية كجزء من أنشطته النظامية وتوزع في إطار الميزانية العادية للاتحاد.</w:t>
      </w:r>
    </w:p>
    <w:p w14:paraId="33D7B6AE" w14:textId="77777777" w:rsidR="00F50E3F" w:rsidRDefault="00D63735" w:rsidP="0021072D">
      <w:pPr>
        <w:spacing w:before="36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1"/>
      <w:headerReference w:type="first" r:id="rId12"/>
      <w:footerReference w:type="first" r:id="rId1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FC08" w14:textId="77777777" w:rsidR="008839DA" w:rsidRDefault="008839DA" w:rsidP="006C3242">
      <w:pPr>
        <w:spacing w:before="0" w:line="240" w:lineRule="auto"/>
      </w:pPr>
      <w:r>
        <w:separator/>
      </w:r>
    </w:p>
  </w:endnote>
  <w:endnote w:type="continuationSeparator" w:id="0">
    <w:p w14:paraId="05C546A9" w14:textId="77777777" w:rsidR="008839DA" w:rsidRDefault="008839D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F4C9FEA" w14:textId="77777777" w:rsidTr="00A67F05">
      <w:trPr>
        <w:jc w:val="center"/>
      </w:trPr>
      <w:tc>
        <w:tcPr>
          <w:tcW w:w="868" w:type="pct"/>
          <w:vAlign w:val="center"/>
        </w:tcPr>
        <w:p w14:paraId="05D5C545" w14:textId="60527EF4" w:rsidR="00F50E3F" w:rsidRPr="007B0AA0" w:rsidRDefault="0021072D"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21072D">
            <w:rPr>
              <w:rFonts w:ascii="Calibri" w:hAnsi="Calibri" w:cs="Arial"/>
              <w:sz w:val="18"/>
              <w:szCs w:val="14"/>
            </w:rPr>
            <w:t>2600957</w:t>
          </w:r>
        </w:p>
      </w:tc>
      <w:tc>
        <w:tcPr>
          <w:tcW w:w="3912" w:type="pct"/>
        </w:tcPr>
        <w:p w14:paraId="74FDA3EE" w14:textId="790486C1"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21072D">
            <w:rPr>
              <w:rFonts w:ascii="Calibri" w:hAnsi="Calibri" w:cs="Arial"/>
              <w:bCs/>
              <w:color w:val="7F7F7F"/>
              <w:sz w:val="18"/>
            </w:rPr>
            <w:t>90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186E6AF"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99FB3C4"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82F4472" w14:textId="77777777" w:rsidTr="00A67F05">
      <w:trPr>
        <w:jc w:val="center"/>
      </w:trPr>
      <w:tc>
        <w:tcPr>
          <w:tcW w:w="1013" w:type="pct"/>
          <w:vAlign w:val="center"/>
        </w:tcPr>
        <w:p w14:paraId="2C7EA26A"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11299740" w14:textId="10AC91B0"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517BC1">
            <w:rPr>
              <w:rFonts w:ascii="Calibri" w:hAnsi="Calibri" w:cs="Arial"/>
              <w:bCs/>
              <w:color w:val="7F7F7F"/>
              <w:sz w:val="18"/>
            </w:rPr>
            <w:t>90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39C2475"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86175C5"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F0D2" w14:textId="77777777" w:rsidR="008839DA" w:rsidRDefault="008839DA" w:rsidP="006C3242">
      <w:pPr>
        <w:spacing w:before="0" w:line="240" w:lineRule="auto"/>
      </w:pPr>
      <w:r>
        <w:separator/>
      </w:r>
    </w:p>
  </w:footnote>
  <w:footnote w:type="continuationSeparator" w:id="0">
    <w:p w14:paraId="493C0D59" w14:textId="77777777" w:rsidR="008839DA" w:rsidRDefault="008839DA"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AE5C" w14:textId="77777777" w:rsidR="001A3E13" w:rsidRPr="00057769" w:rsidRDefault="001A3E13" w:rsidP="001A3E13">
    <w:pPr>
      <w:pStyle w:val="Header"/>
    </w:pPr>
    <w:r>
      <w:rPr>
        <w:noProof/>
      </w:rPr>
      <w:drawing>
        <wp:inline distT="0" distB="0" distL="0" distR="0" wp14:anchorId="704108F0" wp14:editId="0A00D49B">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0417359">
    <w:abstractNumId w:val="9"/>
  </w:num>
  <w:num w:numId="2" w16cid:durableId="2145154742">
    <w:abstractNumId w:val="7"/>
  </w:num>
  <w:num w:numId="3" w16cid:durableId="1042365707">
    <w:abstractNumId w:val="6"/>
  </w:num>
  <w:num w:numId="4" w16cid:durableId="270283303">
    <w:abstractNumId w:val="5"/>
  </w:num>
  <w:num w:numId="5" w16cid:durableId="1580361415">
    <w:abstractNumId w:val="4"/>
  </w:num>
  <w:num w:numId="6" w16cid:durableId="516964532">
    <w:abstractNumId w:val="8"/>
  </w:num>
  <w:num w:numId="7" w16cid:durableId="681126549">
    <w:abstractNumId w:val="3"/>
  </w:num>
  <w:num w:numId="8" w16cid:durableId="982274419">
    <w:abstractNumId w:val="2"/>
  </w:num>
  <w:num w:numId="9" w16cid:durableId="1491482391">
    <w:abstractNumId w:val="1"/>
  </w:num>
  <w:num w:numId="10" w16cid:durableId="487093741">
    <w:abstractNumId w:val="0"/>
  </w:num>
  <w:num w:numId="11" w16cid:durableId="725832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DA"/>
    <w:rsid w:val="000116AF"/>
    <w:rsid w:val="0006468A"/>
    <w:rsid w:val="00077A58"/>
    <w:rsid w:val="00090574"/>
    <w:rsid w:val="000C1C0E"/>
    <w:rsid w:val="000C548A"/>
    <w:rsid w:val="00191059"/>
    <w:rsid w:val="001A3E13"/>
    <w:rsid w:val="001B6E2B"/>
    <w:rsid w:val="001C0169"/>
    <w:rsid w:val="001C0C21"/>
    <w:rsid w:val="001D0D2E"/>
    <w:rsid w:val="001D1D50"/>
    <w:rsid w:val="001D64C7"/>
    <w:rsid w:val="001D6745"/>
    <w:rsid w:val="001E446E"/>
    <w:rsid w:val="0021072D"/>
    <w:rsid w:val="002154EE"/>
    <w:rsid w:val="002276D2"/>
    <w:rsid w:val="0023283D"/>
    <w:rsid w:val="00254393"/>
    <w:rsid w:val="0026373E"/>
    <w:rsid w:val="00265274"/>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17BC1"/>
    <w:rsid w:val="00525DDD"/>
    <w:rsid w:val="005409AC"/>
    <w:rsid w:val="005434E0"/>
    <w:rsid w:val="005546CF"/>
    <w:rsid w:val="0055516A"/>
    <w:rsid w:val="005565C1"/>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839DA"/>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15DD5"/>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C73B8"/>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741601"/>
  <w15:chartTrackingRefBased/>
  <w15:docId w15:val="{9A7DE15C-D4ED-4A5F-BB26-5A47B034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5/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S26-CWGFHR22-C-0002/en" TargetMode="External"/><Relationship Id="rId4" Type="http://schemas.openxmlformats.org/officeDocument/2006/relationships/settings" Target="settings.xml"/><Relationship Id="rId9" Type="http://schemas.openxmlformats.org/officeDocument/2006/relationships/hyperlink" Target="https://www.itu.int/en/council/Documents/basic-texts-2023/RES-091-a.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3932</Words>
  <Characters>4169</Characters>
  <Application>Microsoft Office Word</Application>
  <DocSecurity>0</DocSecurity>
  <Lines>166</Lines>
  <Paragraphs>144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Improvement of cost recovery mechanism for satellite network filings</dc:title>
  <dc:subject>ITU Council 2026</dc:subject>
  <dc:creator>GBS</dc:creator>
  <cp:keywords>C26; C2026; Council 2026; PP26</cp:keywords>
  <dc:description/>
  <cp:lastModifiedBy>GBS</cp:lastModifiedBy>
  <cp:revision>2</cp:revision>
  <dcterms:created xsi:type="dcterms:W3CDTF">2026-04-29T14:04:00Z</dcterms:created>
  <dcterms:modified xsi:type="dcterms:W3CDTF">2026-04-29T14:04:00Z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