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FC1C2C" w14:paraId="0A0A0148" w14:textId="77777777" w:rsidTr="00C4421B">
        <w:trPr>
          <w:cantSplit/>
          <w:trHeight w:val="23"/>
        </w:trPr>
        <w:tc>
          <w:tcPr>
            <w:tcW w:w="3969" w:type="dxa"/>
            <w:vMerge w:val="restart"/>
            <w:tcMar>
              <w:left w:w="0" w:type="dxa"/>
            </w:tcMar>
          </w:tcPr>
          <w:p w14:paraId="1840A2F9" w14:textId="07236732" w:rsidR="00FE57F6" w:rsidRPr="00CA0CFD" w:rsidRDefault="00CC1FAF" w:rsidP="00C4421B">
            <w:pPr>
              <w:tabs>
                <w:tab w:val="left" w:pos="851"/>
              </w:tabs>
              <w:spacing w:before="0" w:line="240" w:lineRule="atLeast"/>
              <w:rPr>
                <w:b/>
                <w:lang w:val="es-ES"/>
              </w:rPr>
            </w:pPr>
            <w:bookmarkStart w:id="0" w:name="_Hlk133421839"/>
            <w:r w:rsidRPr="00CA0CFD">
              <w:rPr>
                <w:b/>
                <w:lang w:val="es-ES"/>
              </w:rPr>
              <w:t>Punto del o</w:t>
            </w:r>
            <w:r w:rsidR="00BB6FD8" w:rsidRPr="00CA0CFD">
              <w:rPr>
                <w:b/>
                <w:lang w:val="es-ES"/>
              </w:rPr>
              <w:t>rden del día</w:t>
            </w:r>
            <w:r w:rsidR="00FE57F6" w:rsidRPr="00CA0CFD">
              <w:rPr>
                <w:b/>
                <w:lang w:val="es-ES"/>
              </w:rPr>
              <w:t xml:space="preserve">: </w:t>
            </w:r>
            <w:r w:rsidR="00181AF7">
              <w:rPr>
                <w:b/>
                <w:lang w:val="es-ES"/>
              </w:rPr>
              <w:t>PL-1</w:t>
            </w:r>
          </w:p>
        </w:tc>
        <w:tc>
          <w:tcPr>
            <w:tcW w:w="5245" w:type="dxa"/>
          </w:tcPr>
          <w:p w14:paraId="3F21B9CB" w14:textId="61629E1B" w:rsidR="00D24755" w:rsidRPr="00ED4A9F" w:rsidRDefault="00D24755" w:rsidP="00C4421B">
            <w:pPr>
              <w:tabs>
                <w:tab w:val="left" w:pos="851"/>
              </w:tabs>
              <w:spacing w:before="0" w:line="240" w:lineRule="atLeast"/>
              <w:jc w:val="right"/>
              <w:rPr>
                <w:b/>
                <w:lang w:val="es-ES"/>
              </w:rPr>
            </w:pPr>
            <w:r w:rsidRPr="00ED4A9F">
              <w:rPr>
                <w:b/>
                <w:lang w:val="es-ES"/>
              </w:rPr>
              <w:t>Revisión 1 al</w:t>
            </w:r>
          </w:p>
          <w:p w14:paraId="02B8E3DB" w14:textId="29B35833" w:rsidR="00FE57F6" w:rsidRPr="00ED4A9F" w:rsidRDefault="00FE57F6" w:rsidP="00C4421B">
            <w:pPr>
              <w:tabs>
                <w:tab w:val="left" w:pos="851"/>
              </w:tabs>
              <w:spacing w:before="0" w:line="240" w:lineRule="atLeast"/>
              <w:jc w:val="right"/>
              <w:rPr>
                <w:b/>
                <w:lang w:val="es-ES"/>
              </w:rPr>
            </w:pPr>
            <w:r w:rsidRPr="00ED4A9F">
              <w:rPr>
                <w:b/>
                <w:lang w:val="es-ES"/>
              </w:rPr>
              <w:t>Document</w:t>
            </w:r>
            <w:r w:rsidR="00F24B71" w:rsidRPr="00ED4A9F">
              <w:rPr>
                <w:b/>
                <w:lang w:val="es-ES"/>
              </w:rPr>
              <w:t>o</w:t>
            </w:r>
            <w:r w:rsidRPr="00ED4A9F">
              <w:rPr>
                <w:b/>
                <w:lang w:val="es-ES"/>
              </w:rPr>
              <w:t xml:space="preserve"> C2</w:t>
            </w:r>
            <w:r w:rsidR="00F85E5C" w:rsidRPr="00ED4A9F">
              <w:rPr>
                <w:b/>
                <w:lang w:val="es-ES"/>
              </w:rPr>
              <w:t>6</w:t>
            </w:r>
            <w:r w:rsidRPr="00ED4A9F">
              <w:rPr>
                <w:b/>
                <w:lang w:val="es-ES"/>
              </w:rPr>
              <w:t>/</w:t>
            </w:r>
            <w:r w:rsidR="00CA0CFD" w:rsidRPr="00ED4A9F">
              <w:rPr>
                <w:b/>
                <w:lang w:val="es-ES"/>
              </w:rPr>
              <w:t>86</w:t>
            </w:r>
            <w:r w:rsidRPr="00ED4A9F">
              <w:rPr>
                <w:b/>
                <w:lang w:val="es-ES"/>
              </w:rPr>
              <w:t>-</w:t>
            </w:r>
            <w:r w:rsidR="00F24B71" w:rsidRPr="00ED4A9F">
              <w:rPr>
                <w:b/>
                <w:lang w:val="es-ES"/>
              </w:rPr>
              <w:t>S</w:t>
            </w:r>
          </w:p>
        </w:tc>
      </w:tr>
      <w:tr w:rsidR="00FE57F6" w:rsidRPr="00666D09" w14:paraId="67013A41" w14:textId="77777777" w:rsidTr="00C4421B">
        <w:trPr>
          <w:cantSplit/>
        </w:trPr>
        <w:tc>
          <w:tcPr>
            <w:tcW w:w="3969" w:type="dxa"/>
            <w:vMerge/>
          </w:tcPr>
          <w:p w14:paraId="3CDFEDE4" w14:textId="77777777" w:rsidR="00FE57F6" w:rsidRPr="00ED4A9F" w:rsidRDefault="00FE57F6" w:rsidP="00C4421B">
            <w:pPr>
              <w:tabs>
                <w:tab w:val="left" w:pos="851"/>
              </w:tabs>
              <w:spacing w:line="240" w:lineRule="atLeast"/>
              <w:rPr>
                <w:b/>
                <w:lang w:val="es-ES"/>
              </w:rPr>
            </w:pPr>
          </w:p>
        </w:tc>
        <w:tc>
          <w:tcPr>
            <w:tcW w:w="5245" w:type="dxa"/>
          </w:tcPr>
          <w:p w14:paraId="75B62047" w14:textId="7A10376D" w:rsidR="00FE57F6" w:rsidRPr="00666D09" w:rsidRDefault="00CA0CFD" w:rsidP="00C4421B">
            <w:pPr>
              <w:tabs>
                <w:tab w:val="left" w:pos="851"/>
              </w:tabs>
              <w:spacing w:before="0"/>
              <w:jc w:val="right"/>
              <w:rPr>
                <w:b/>
                <w:lang w:val="en-GB"/>
              </w:rPr>
            </w:pPr>
            <w:r>
              <w:rPr>
                <w:b/>
                <w:lang w:val="es-ES"/>
              </w:rPr>
              <w:t>14 de abril de 2026</w:t>
            </w:r>
          </w:p>
        </w:tc>
      </w:tr>
      <w:tr w:rsidR="00FE57F6" w:rsidRPr="00BB6FD8" w14:paraId="1705771D" w14:textId="77777777" w:rsidTr="00C4421B">
        <w:trPr>
          <w:cantSplit/>
          <w:trHeight w:val="23"/>
        </w:trPr>
        <w:tc>
          <w:tcPr>
            <w:tcW w:w="3969" w:type="dxa"/>
            <w:vMerge/>
          </w:tcPr>
          <w:p w14:paraId="3524B032" w14:textId="77777777" w:rsidR="00FE57F6" w:rsidRPr="00666D09" w:rsidRDefault="00FE57F6" w:rsidP="00C4421B">
            <w:pPr>
              <w:tabs>
                <w:tab w:val="left" w:pos="851"/>
              </w:tabs>
              <w:spacing w:line="240" w:lineRule="atLeast"/>
              <w:rPr>
                <w:b/>
                <w:lang w:val="en-GB"/>
              </w:rPr>
            </w:pPr>
          </w:p>
        </w:tc>
        <w:tc>
          <w:tcPr>
            <w:tcW w:w="5245" w:type="dxa"/>
          </w:tcPr>
          <w:p w14:paraId="5B884D2C"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11898AFA" w14:textId="77777777" w:rsidTr="00C4421B">
        <w:trPr>
          <w:cantSplit/>
          <w:trHeight w:val="23"/>
        </w:trPr>
        <w:tc>
          <w:tcPr>
            <w:tcW w:w="3969" w:type="dxa"/>
          </w:tcPr>
          <w:p w14:paraId="47B75D1D" w14:textId="77777777" w:rsidR="00FE57F6" w:rsidRPr="00BB6FD8" w:rsidRDefault="00FE57F6" w:rsidP="00C4421B">
            <w:pPr>
              <w:tabs>
                <w:tab w:val="left" w:pos="851"/>
              </w:tabs>
              <w:spacing w:line="240" w:lineRule="atLeast"/>
              <w:rPr>
                <w:b/>
              </w:rPr>
            </w:pPr>
          </w:p>
        </w:tc>
        <w:tc>
          <w:tcPr>
            <w:tcW w:w="5245" w:type="dxa"/>
          </w:tcPr>
          <w:p w14:paraId="607C099C" w14:textId="77777777" w:rsidR="00FE57F6" w:rsidRPr="00BB6FD8" w:rsidRDefault="00FE57F6" w:rsidP="00C4421B">
            <w:pPr>
              <w:tabs>
                <w:tab w:val="left" w:pos="851"/>
              </w:tabs>
              <w:spacing w:before="0" w:line="240" w:lineRule="atLeast"/>
              <w:jc w:val="right"/>
              <w:rPr>
                <w:b/>
              </w:rPr>
            </w:pPr>
          </w:p>
        </w:tc>
      </w:tr>
      <w:tr w:rsidR="00FE57F6" w:rsidRPr="00FC1C2C" w14:paraId="37BFAB00" w14:textId="77777777" w:rsidTr="00C4421B">
        <w:trPr>
          <w:cantSplit/>
        </w:trPr>
        <w:tc>
          <w:tcPr>
            <w:tcW w:w="9214" w:type="dxa"/>
            <w:gridSpan w:val="2"/>
            <w:tcMar>
              <w:left w:w="0" w:type="dxa"/>
            </w:tcMar>
          </w:tcPr>
          <w:p w14:paraId="64A56279" w14:textId="69EE6647" w:rsidR="00FE57F6" w:rsidRPr="00CC1FAF" w:rsidRDefault="00CA0CFD" w:rsidP="00C4421B">
            <w:pPr>
              <w:pStyle w:val="Source"/>
              <w:jc w:val="left"/>
              <w:rPr>
                <w:sz w:val="34"/>
                <w:szCs w:val="34"/>
                <w:lang w:val="es-ES"/>
              </w:rPr>
            </w:pPr>
            <w:r w:rsidRPr="00CA0CFD">
              <w:rPr>
                <w:rFonts w:cstheme="minorHAnsi"/>
                <w:sz w:val="34"/>
                <w:szCs w:val="34"/>
                <w:lang w:val="es-ES"/>
              </w:rPr>
              <w:t>Contribución de Irán (República Islámica del)</w:t>
            </w:r>
          </w:p>
        </w:tc>
      </w:tr>
      <w:tr w:rsidR="00FE57F6" w:rsidRPr="00FC1C2C" w14:paraId="33E3D51B" w14:textId="77777777" w:rsidTr="00C4421B">
        <w:trPr>
          <w:cantSplit/>
        </w:trPr>
        <w:tc>
          <w:tcPr>
            <w:tcW w:w="9214" w:type="dxa"/>
            <w:gridSpan w:val="2"/>
            <w:tcMar>
              <w:left w:w="0" w:type="dxa"/>
            </w:tcMar>
          </w:tcPr>
          <w:p w14:paraId="4F10002E" w14:textId="776E43A7" w:rsidR="00FE57F6" w:rsidRPr="00CA0CFD" w:rsidRDefault="005E5948" w:rsidP="00C4421B">
            <w:pPr>
              <w:pStyle w:val="Subtitle"/>
              <w:framePr w:hSpace="0" w:wrap="auto" w:hAnchor="text" w:xAlign="left" w:yAlign="inline"/>
              <w:rPr>
                <w:lang w:val="es-ES"/>
              </w:rPr>
            </w:pPr>
            <w:r w:rsidRPr="00CA0CFD">
              <w:rPr>
                <w:lang w:val="es-ES"/>
              </w:rPr>
              <w:t>PROPUESTA DE ADOPCIÓN DE UNA NUEVA RESOLUCIÓN DEL</w:t>
            </w:r>
            <w:r>
              <w:rPr>
                <w:lang w:val="es-ES"/>
              </w:rPr>
              <w:t xml:space="preserve"> </w:t>
            </w:r>
            <w:r w:rsidRPr="00CA0CFD">
              <w:rPr>
                <w:lang w:val="es-ES"/>
              </w:rPr>
              <w:t>CONSEJO DE LA UIT SOBRE ASISTENCIA Y APOYO A LA REPÚBLICA ISLÁMICA DEL IRÁN PARA LA RECONSTRUCCIÓN DE SUS SECTORES DE RADIODIFUSIÓN Y TELECOMUNICACIONES/TIC GRAVEMENTE DAÑADOS POR ACTOS DE AGRESIÓN</w:t>
            </w:r>
          </w:p>
        </w:tc>
      </w:tr>
      <w:tr w:rsidR="00FE57F6" w:rsidRPr="00FC1C2C" w14:paraId="6152BAC8" w14:textId="77777777" w:rsidTr="00C4421B">
        <w:trPr>
          <w:cantSplit/>
        </w:trPr>
        <w:tc>
          <w:tcPr>
            <w:tcW w:w="9214" w:type="dxa"/>
            <w:gridSpan w:val="2"/>
            <w:tcBorders>
              <w:top w:val="single" w:sz="4" w:space="0" w:color="auto"/>
              <w:bottom w:val="single" w:sz="4" w:space="0" w:color="auto"/>
            </w:tcBorders>
            <w:tcMar>
              <w:left w:w="0" w:type="dxa"/>
            </w:tcMar>
          </w:tcPr>
          <w:p w14:paraId="467331F8"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4C50C3AC" w14:textId="5A684B1D" w:rsidR="00FE57F6" w:rsidRPr="00CC1FAF" w:rsidRDefault="00CA0CFD" w:rsidP="00FC1C2C">
            <w:pPr>
              <w:jc w:val="both"/>
              <w:rPr>
                <w:lang w:val="es-ES"/>
              </w:rPr>
            </w:pPr>
            <w:r w:rsidRPr="00CA0CFD">
              <w:rPr>
                <w:lang w:val="es-ES"/>
              </w:rPr>
              <w:t>La Administración de la República Islámica del Irán somete esta propuesta a la consideración y adopción de una Resolución del Consejo de la UIT a fin de prestar asistencia y apoyo a la República Islámica del Irán en la reconstrucción de sus sectores de radiodifusión y telecomunicaciones/TIC, que han sufrido graves daños como consecuencia de actos de agresión.</w:t>
            </w:r>
          </w:p>
          <w:p w14:paraId="516F6963"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3A2AD4E1" w14:textId="20FD4370" w:rsidR="00F92BED" w:rsidRPr="00F92BED" w:rsidRDefault="00CA0CFD" w:rsidP="00C4421B">
            <w:pPr>
              <w:spacing w:before="160"/>
              <w:rPr>
                <w:szCs w:val="24"/>
                <w:lang w:val="es-ES"/>
              </w:rPr>
            </w:pPr>
            <w:r w:rsidRPr="00CA0CFD">
              <w:rPr>
                <w:szCs w:val="24"/>
                <w:lang w:val="es-ES"/>
              </w:rPr>
              <w:t xml:space="preserve">Se invita al Consejo a </w:t>
            </w:r>
            <w:r w:rsidRPr="00CA0CFD">
              <w:rPr>
                <w:b/>
                <w:bCs/>
                <w:szCs w:val="24"/>
                <w:lang w:val="es-ES"/>
              </w:rPr>
              <w:t>examinar</w:t>
            </w:r>
            <w:r w:rsidRPr="00CA0CFD">
              <w:rPr>
                <w:szCs w:val="24"/>
                <w:lang w:val="es-ES"/>
              </w:rPr>
              <w:t xml:space="preserve"> y </w:t>
            </w:r>
            <w:r w:rsidRPr="00CA0CFD">
              <w:rPr>
                <w:b/>
                <w:bCs/>
                <w:szCs w:val="24"/>
                <w:lang w:val="es-ES"/>
              </w:rPr>
              <w:t>adoptar</w:t>
            </w:r>
            <w:r w:rsidRPr="00CA0CFD">
              <w:rPr>
                <w:szCs w:val="24"/>
                <w:lang w:val="es-ES"/>
              </w:rPr>
              <w:t xml:space="preserve"> la propuesta de Resolución del Consejo de la UIT.</w:t>
            </w:r>
          </w:p>
          <w:p w14:paraId="65B4829F" w14:textId="77777777" w:rsidR="00FE57F6" w:rsidRPr="00CA0CFD" w:rsidRDefault="00FE57F6" w:rsidP="00C4421B">
            <w:pPr>
              <w:spacing w:before="160"/>
              <w:rPr>
                <w:caps/>
                <w:sz w:val="22"/>
                <w:lang w:val="es-ES"/>
              </w:rPr>
            </w:pPr>
            <w:r w:rsidRPr="00CA0CFD">
              <w:rPr>
                <w:sz w:val="22"/>
                <w:lang w:val="es-ES"/>
              </w:rPr>
              <w:t>__________________</w:t>
            </w:r>
          </w:p>
          <w:p w14:paraId="5903FEE7" w14:textId="77777777" w:rsidR="00FE57F6" w:rsidRPr="00CA0CFD" w:rsidRDefault="00F24B71" w:rsidP="00C4421B">
            <w:pPr>
              <w:spacing w:before="160"/>
              <w:rPr>
                <w:b/>
                <w:bCs/>
                <w:sz w:val="26"/>
                <w:szCs w:val="26"/>
                <w:lang w:val="es-ES"/>
              </w:rPr>
            </w:pPr>
            <w:r w:rsidRPr="00CA0CFD">
              <w:rPr>
                <w:b/>
                <w:bCs/>
                <w:sz w:val="26"/>
                <w:szCs w:val="26"/>
                <w:lang w:val="es-ES"/>
              </w:rPr>
              <w:t>Referencia</w:t>
            </w:r>
            <w:r w:rsidR="00F92BED" w:rsidRPr="00CA0CFD">
              <w:rPr>
                <w:b/>
                <w:bCs/>
                <w:sz w:val="26"/>
                <w:szCs w:val="26"/>
                <w:lang w:val="es-ES"/>
              </w:rPr>
              <w:t>s</w:t>
            </w:r>
            <w:r w:rsidR="00D375E0" w:rsidRPr="00CA0CFD">
              <w:rPr>
                <w:sz w:val="26"/>
                <w:szCs w:val="26"/>
                <w:lang w:val="es-ES"/>
              </w:rPr>
              <w:t xml:space="preserve"> </w:t>
            </w:r>
          </w:p>
          <w:p w14:paraId="0956C867" w14:textId="51A2831E" w:rsidR="00FE57F6" w:rsidRPr="00CA0CFD" w:rsidRDefault="00CA0CFD" w:rsidP="00C4421B">
            <w:pPr>
              <w:spacing w:after="160"/>
              <w:rPr>
                <w:i/>
                <w:iCs/>
                <w:sz w:val="22"/>
                <w:szCs w:val="22"/>
                <w:lang w:val="es-ES"/>
              </w:rPr>
            </w:pPr>
            <w:r w:rsidRPr="00CA0CFD">
              <w:rPr>
                <w:i/>
                <w:iCs/>
                <w:sz w:val="22"/>
                <w:szCs w:val="22"/>
                <w:lang w:val="es-ES"/>
              </w:rPr>
              <w:t xml:space="preserve">Documento </w:t>
            </w:r>
            <w:hyperlink r:id="rId6" w:history="1">
              <w:proofErr w:type="spellStart"/>
              <w:r w:rsidRPr="00CA0CFD">
                <w:rPr>
                  <w:rStyle w:val="Hyperlink"/>
                  <w:rFonts w:eastAsia="Times New Roman" w:cs="Times New Roman"/>
                  <w:i/>
                  <w:iCs/>
                  <w:sz w:val="22"/>
                  <w:lang w:val="es-ES"/>
                </w:rPr>
                <w:t>C26</w:t>
              </w:r>
              <w:proofErr w:type="spellEnd"/>
              <w:r w:rsidRPr="00CA0CFD">
                <w:rPr>
                  <w:rStyle w:val="Hyperlink"/>
                  <w:rFonts w:eastAsia="Times New Roman" w:cs="Times New Roman"/>
                  <w:i/>
                  <w:iCs/>
                  <w:sz w:val="22"/>
                  <w:lang w:val="es-ES"/>
                </w:rPr>
                <w:t>/35</w:t>
              </w:r>
            </w:hyperlink>
            <w:r w:rsidRPr="00CA0CFD">
              <w:rPr>
                <w:i/>
                <w:iCs/>
                <w:sz w:val="22"/>
                <w:szCs w:val="22"/>
                <w:lang w:val="es-ES"/>
              </w:rPr>
              <w:t xml:space="preserve"> del Consejo</w:t>
            </w:r>
          </w:p>
        </w:tc>
      </w:tr>
      <w:bookmarkEnd w:id="0"/>
    </w:tbl>
    <w:p w14:paraId="3DD480AB" w14:textId="77777777" w:rsidR="00093EEB" w:rsidRPr="00CA0CFD" w:rsidRDefault="00093EEB">
      <w:pPr>
        <w:rPr>
          <w:lang w:val="es-ES"/>
        </w:rPr>
      </w:pPr>
    </w:p>
    <w:p w14:paraId="1C58FD2F" w14:textId="77777777" w:rsidR="001559F5" w:rsidRPr="00CA0CF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CA0CFD">
        <w:rPr>
          <w:lang w:val="es-ES"/>
        </w:rPr>
        <w:br w:type="page"/>
      </w:r>
    </w:p>
    <w:p w14:paraId="5BAC20CB" w14:textId="338D2901" w:rsidR="00115A1D" w:rsidRDefault="00115A1D" w:rsidP="00115A1D">
      <w:pPr>
        <w:pStyle w:val="Headingb"/>
        <w:rPr>
          <w:lang w:val="es-ES"/>
        </w:rPr>
      </w:pPr>
      <w:r>
        <w:rPr>
          <w:lang w:val="es-ES"/>
        </w:rPr>
        <w:lastRenderedPageBreak/>
        <w:t>Introducción</w:t>
      </w:r>
    </w:p>
    <w:p w14:paraId="5F6BCA75" w14:textId="5660D3D9" w:rsidR="00C427B8" w:rsidRPr="00643708" w:rsidRDefault="00C427B8" w:rsidP="00FC1C2C">
      <w:pPr>
        <w:jc w:val="both"/>
        <w:rPr>
          <w:lang w:val="es-ES"/>
        </w:rPr>
      </w:pPr>
      <w:r>
        <w:rPr>
          <w:lang w:val="es-ES"/>
        </w:rPr>
        <w:t>La Administración de la República Islámica del Irán somete esta propuesta a la consideración del Consejo de la UIT y a la adopción de una Resolución de este destinada a que se preste asistencia y apoyo al país en la reconstrucción de sus sectores de radiodifusión y telecomunicaciones/TIC, que han sufrido graves daños como consecuencia de actos de agresión.</w:t>
      </w:r>
    </w:p>
    <w:p w14:paraId="4542DBCC" w14:textId="006A0BFC" w:rsidR="00C427B8" w:rsidRPr="001262B7" w:rsidRDefault="00C427B8" w:rsidP="00FC1C2C">
      <w:pPr>
        <w:jc w:val="both"/>
        <w:rPr>
          <w:rtl/>
        </w:rPr>
      </w:pPr>
      <w:r>
        <w:rPr>
          <w:lang w:val="es-ES"/>
        </w:rPr>
        <w:t xml:space="preserve">Las redes públicas de radiodifusión </w:t>
      </w:r>
      <w:r w:rsidR="00D24755">
        <w:rPr>
          <w:lang w:val="es-ES"/>
        </w:rPr>
        <w:t xml:space="preserve">y TIC </w:t>
      </w:r>
      <w:r>
        <w:rPr>
          <w:lang w:val="es-ES"/>
        </w:rPr>
        <w:t xml:space="preserve">desempeñan un papel fundamental en la distribución de información sobre seguridad civil a la población, tanto en condiciones normales como de crisis. En condiciones normales, los servicios públicos de radiodifusión </w:t>
      </w:r>
      <w:r w:rsidR="00D24755">
        <w:rPr>
          <w:lang w:val="es-ES"/>
        </w:rPr>
        <w:t xml:space="preserve">y TIC </w:t>
      </w:r>
      <w:r>
        <w:rPr>
          <w:lang w:val="es-ES"/>
        </w:rPr>
        <w:t>informan al público mediante alertas meteorológicas, avisos en materia de salud, catástrofes naturales y otra información relacionada con la seguridad. En tiempos de guerra o en situaciones de emergencia graves, su importancia es aún mayor; proporcionan instrucciones autorizadas sobre evacuación, refugio, interrupciones de la infraestructura y alertas de seguridad nacional, lo que ayuda a evitar el pánico y coordinar las respuestas civiles.</w:t>
      </w:r>
    </w:p>
    <w:p w14:paraId="30F6ED2A" w14:textId="77777777" w:rsidR="00C427B8" w:rsidRPr="001262B7" w:rsidRDefault="00C427B8" w:rsidP="00FC1C2C">
      <w:pPr>
        <w:jc w:val="both"/>
        <w:rPr>
          <w:rtl/>
        </w:rPr>
      </w:pPr>
      <w:r>
        <w:rPr>
          <w:lang w:val="es-ES"/>
        </w:rPr>
        <w:t>La preservación de las redes públicas de radiodifusión y telecomunicaciones/TIC deberían considerarse un principio fundamental de la sociedad humana. Toda acción hostil dirigida contra esta infraestructura pública de comunicaciones puede constituir una violación grave de las normas humanitarias internacionales, en particular cuando perturba la transmisión de información esencial de seguridad y emergencia a civiles.</w:t>
      </w:r>
    </w:p>
    <w:p w14:paraId="0BF525C0" w14:textId="600ABD88" w:rsidR="00C427B8" w:rsidRPr="001262B7" w:rsidRDefault="00C427B8" w:rsidP="00FC1C2C">
      <w:pPr>
        <w:jc w:val="both"/>
        <w:rPr>
          <w:rtl/>
        </w:rPr>
      </w:pPr>
      <w:r>
        <w:rPr>
          <w:lang w:val="es-ES"/>
        </w:rPr>
        <w:t>A partir del 28 de febrero de 2026, los graves ataques militares que no respondían a provocación alguna, iniciados por el régimen de Israel y los Estados Unidos de América</w:t>
      </w:r>
      <w:r w:rsidR="00D24755">
        <w:rPr>
          <w:lang w:val="es-ES"/>
        </w:rPr>
        <w:t xml:space="preserve"> partiendo de territorios de sus aliados árabes</w:t>
      </w:r>
      <w:r>
        <w:rPr>
          <w:lang w:val="es-ES"/>
        </w:rPr>
        <w:t>, han causado daños generalizados en las instalaciones civiles de radiodifusión y telecomunicaciones. Estos incidentes han destruido activos de transmisión críticos e interrumpido el acceso nacional a los servicios de información esenciales, lo que ha ocasionado víctimas entre el personal de radiodifusión y medios de comunicación.</w:t>
      </w:r>
    </w:p>
    <w:p w14:paraId="5CF65D95" w14:textId="7C5F229C" w:rsidR="009D0A25" w:rsidRDefault="009D0A25" w:rsidP="00FC1C2C">
      <w:pPr>
        <w:jc w:val="both"/>
        <w:rPr>
          <w:lang w:val="es-ES"/>
        </w:rPr>
      </w:pPr>
      <w:r w:rsidRPr="009D0A25">
        <w:rPr>
          <w:lang w:val="es-ES"/>
        </w:rPr>
        <w:t>Cabe destacar que la agresión iniciada contra el Irán por el régimen de Israel, los Estados Unidos y sus aliados árabes convierte a estos en los iniciadores de esta guerra ilegal y no provocada. Por su parte, el Irán ha actuado en defensa propia en el marco del derecho internacional y del artículo 51 de la Carta de las Naciones Unidas. Cuando se abordan los daños causados a las infraestructuras de países devastados por conflictos bélicos o afectados por estos, es necesario responsabilizar a los iniciadores.</w:t>
      </w:r>
    </w:p>
    <w:p w14:paraId="457B4275" w14:textId="261B5FBA" w:rsidR="00ED4A9F" w:rsidRDefault="00C427B8" w:rsidP="00FC1C2C">
      <w:pPr>
        <w:jc w:val="both"/>
        <w:rPr>
          <w:lang w:val="es-ES"/>
        </w:rPr>
      </w:pPr>
      <w:r>
        <w:rPr>
          <w:lang w:val="es-ES"/>
        </w:rPr>
        <w:t>A modo de información complementaria para esta propuesta, la República Islámica del Irán</w:t>
      </w:r>
      <w:r w:rsidR="00D24755">
        <w:rPr>
          <w:lang w:val="es-ES"/>
        </w:rPr>
        <w:t>, como víctima principal de esta guerra injusta,</w:t>
      </w:r>
      <w:r w:rsidR="009D0A25">
        <w:rPr>
          <w:lang w:val="es-ES"/>
        </w:rPr>
        <w:t xml:space="preserve"> </w:t>
      </w:r>
      <w:r>
        <w:rPr>
          <w:lang w:val="es-ES"/>
        </w:rPr>
        <w:t>comunica oficialmente los siguientes incidentes importantes que han afectado a su infraestructura nacional de radiodifusión</w:t>
      </w:r>
      <w:r w:rsidR="00D24755">
        <w:rPr>
          <w:lang w:val="es-ES"/>
        </w:rPr>
        <w:t xml:space="preserve"> y</w:t>
      </w:r>
      <w:r w:rsidR="00115A1D">
        <w:rPr>
          <w:lang w:val="es-ES"/>
        </w:rPr>
        <w:t> </w:t>
      </w:r>
      <w:r w:rsidR="00D24755">
        <w:rPr>
          <w:lang w:val="es-ES"/>
        </w:rPr>
        <w:t>TIC</w:t>
      </w:r>
      <w:r>
        <w:rPr>
          <w:lang w:val="es-ES"/>
        </w:rPr>
        <w:t>.</w:t>
      </w:r>
    </w:p>
    <w:p w14:paraId="13C6784C" w14:textId="45AA63B5" w:rsidR="009D0A25" w:rsidRDefault="009D0A25" w:rsidP="00FC1C2C">
      <w:pPr>
        <w:jc w:val="both"/>
        <w:rPr>
          <w:lang w:val="es-ES"/>
        </w:rPr>
      </w:pPr>
      <w:r w:rsidRPr="009D0A25">
        <w:rPr>
          <w:lang w:val="es-ES"/>
        </w:rPr>
        <w:t xml:space="preserve">Es importante subrayar que el contenido del proyecto de propuesta de Resolución del Irán se centra en la reconstrucción de equipos de telecomunicaciones civiles, concretamente redes públicas de comunicaciones y radiodifusión </w:t>
      </w:r>
      <w:bookmarkStart w:id="1" w:name="_Hlk227840224"/>
      <w:r w:rsidRPr="009D0A25">
        <w:rPr>
          <w:lang w:val="es-ES"/>
        </w:rPr>
        <w:t xml:space="preserve">para las que se ofrece información exhaustiva, incluida </w:t>
      </w:r>
      <w:r w:rsidR="00A1055C">
        <w:rPr>
          <w:lang w:val="es-ES"/>
        </w:rPr>
        <w:t xml:space="preserve">los </w:t>
      </w:r>
      <w:r w:rsidRPr="009D0A25">
        <w:rPr>
          <w:lang w:val="es-ES"/>
        </w:rPr>
        <w:t xml:space="preserve">nombres de estaciones, </w:t>
      </w:r>
      <w:r w:rsidR="00A1055C">
        <w:rPr>
          <w:lang w:val="es-ES"/>
        </w:rPr>
        <w:t xml:space="preserve">la </w:t>
      </w:r>
      <w:r w:rsidRPr="009D0A25">
        <w:rPr>
          <w:lang w:val="es-ES"/>
        </w:rPr>
        <w:t xml:space="preserve">población afectada por </w:t>
      </w:r>
      <w:r w:rsidR="00A1055C">
        <w:rPr>
          <w:lang w:val="es-ES"/>
        </w:rPr>
        <w:t xml:space="preserve">cada </w:t>
      </w:r>
      <w:r w:rsidRPr="009D0A25">
        <w:rPr>
          <w:lang w:val="es-ES"/>
        </w:rPr>
        <w:t xml:space="preserve">centro de telecomunicaciones y </w:t>
      </w:r>
      <w:r w:rsidR="00A1055C">
        <w:rPr>
          <w:lang w:val="es-ES"/>
        </w:rPr>
        <w:t xml:space="preserve">el </w:t>
      </w:r>
      <w:r w:rsidRPr="009D0A25">
        <w:rPr>
          <w:lang w:val="es-ES"/>
        </w:rPr>
        <w:t>alcance específico de los daños sufridos</w:t>
      </w:r>
      <w:bookmarkEnd w:id="1"/>
      <w:r w:rsidRPr="009D0A25">
        <w:rPr>
          <w:lang w:val="es-ES"/>
        </w:rPr>
        <w:t>.</w:t>
      </w:r>
    </w:p>
    <w:p w14:paraId="1A7D550A" w14:textId="77777777" w:rsidR="00C427B8" w:rsidRPr="00643708" w:rsidRDefault="00C427B8" w:rsidP="00115A1D">
      <w:pPr>
        <w:pStyle w:val="Headingb"/>
        <w:rPr>
          <w:lang w:val="es-ES"/>
        </w:rPr>
      </w:pPr>
      <w:r w:rsidRPr="00643708">
        <w:rPr>
          <w:lang w:val="es-ES"/>
        </w:rPr>
        <w:t>Daños en estaciones terrenas de radiodifusión por satélite</w:t>
      </w:r>
    </w:p>
    <w:p w14:paraId="55342830" w14:textId="77777777" w:rsidR="00C427B8" w:rsidRPr="00643708" w:rsidRDefault="00C427B8" w:rsidP="00FC1C2C">
      <w:pPr>
        <w:jc w:val="both"/>
        <w:rPr>
          <w:lang w:val="es-ES"/>
        </w:rPr>
      </w:pPr>
      <w:r>
        <w:rPr>
          <w:lang w:val="es-ES"/>
        </w:rPr>
        <w:t xml:space="preserve">Varias estaciones terrenas de satélite que servían como enlaces de conexión para la radiodifusión han quedado completamente destruidas. Estas instalaciones tenían antenas de </w:t>
      </w:r>
      <w:r>
        <w:rPr>
          <w:lang w:val="es-ES"/>
        </w:rPr>
        <w:lastRenderedPageBreak/>
        <w:t>gran diámetro, de 4,5 m, 9 m, 11 m y 13 m, además de sus correspondientes cadenas de frecuencias de radiofrecuencias, sistemas de banda de base, plataformas de comprobación, sistemas de alimentación eléctrica y las instalaciones de operaciones y mantenimiento encargadas de gestionar y supervisar las funciones de las estaciones terrenas.</w:t>
      </w:r>
    </w:p>
    <w:p w14:paraId="4CF6A52F" w14:textId="6E689665" w:rsidR="00C427B8" w:rsidRPr="00643708" w:rsidRDefault="00C427B8" w:rsidP="00FC1C2C">
      <w:pPr>
        <w:jc w:val="both"/>
        <w:rPr>
          <w:lang w:val="es-ES"/>
        </w:rPr>
      </w:pPr>
      <w:r>
        <w:rPr>
          <w:lang w:val="es-ES"/>
        </w:rPr>
        <w:t xml:space="preserve">Una evaluación preliminar realizada antes de la preparación de este documento indica que más de 30 complejos de estaciones terrenas han sido destruidos y han quedado inoperativos. El coste de restaurar el equipo técnico de estas estaciones se ha calculado en más de </w:t>
      </w:r>
      <w:r w:rsidR="00D24755">
        <w:rPr>
          <w:lang w:val="es-ES"/>
        </w:rPr>
        <w:t xml:space="preserve">30 </w:t>
      </w:r>
      <w:r>
        <w:rPr>
          <w:lang w:val="es-ES"/>
        </w:rPr>
        <w:t>millones</w:t>
      </w:r>
      <w:r w:rsidR="004E5634">
        <w:rPr>
          <w:lang w:val="es-ES"/>
        </w:rPr>
        <w:t xml:space="preserve"> de dólares de los Estados Unidos</w:t>
      </w:r>
      <w:r>
        <w:rPr>
          <w:lang w:val="es-ES"/>
        </w:rPr>
        <w:t>, sin incluir la reconstrucción de los edificios, las obras civiles y la infraestructura de apoyo, que requerirá una evaluación separada y más detallada.</w:t>
      </w:r>
    </w:p>
    <w:p w14:paraId="2D2BDD8F" w14:textId="77777777" w:rsidR="00C427B8" w:rsidRPr="00643708" w:rsidRDefault="00C427B8" w:rsidP="00C427B8">
      <w:pPr>
        <w:pStyle w:val="Headingb"/>
        <w:rPr>
          <w:lang w:val="es-ES"/>
        </w:rPr>
      </w:pPr>
      <w:r w:rsidRPr="00643708">
        <w:rPr>
          <w:lang w:val="es-ES"/>
        </w:rPr>
        <w:t>Daños a las redes de radiodifusión terrenal (AM, FM, TV) y a los enlaces de</w:t>
      </w:r>
      <w:r>
        <w:rPr>
          <w:lang w:val="es-ES"/>
        </w:rPr>
        <w:t> </w:t>
      </w:r>
      <w:r w:rsidRPr="00643708">
        <w:rPr>
          <w:lang w:val="es-ES"/>
        </w:rPr>
        <w:t>telecomunicaciones y de retorno asociados</w:t>
      </w:r>
    </w:p>
    <w:p w14:paraId="06DF767E" w14:textId="77777777" w:rsidR="00C427B8" w:rsidRPr="00643708" w:rsidRDefault="00C427B8" w:rsidP="00FC1C2C">
      <w:pPr>
        <w:jc w:val="both"/>
        <w:rPr>
          <w:lang w:val="es-ES"/>
        </w:rPr>
      </w:pPr>
      <w:r>
        <w:rPr>
          <w:lang w:val="es-ES"/>
        </w:rPr>
        <w:t>La infraestructura nacional de radiodifusión terrenal también ha sido objeto de graves ataques. Esto incluye las estaciones de radio AM con potencias de transmisión de hasta 400 kW, así como las estaciones de radio FM y de televisión digital de VHF/UHF con potencias de transmisión de hasta 10 kW.</w:t>
      </w:r>
    </w:p>
    <w:p w14:paraId="45D17473" w14:textId="62557A63" w:rsidR="00C427B8" w:rsidRPr="00643708" w:rsidRDefault="00C427B8" w:rsidP="00FC1C2C">
      <w:pPr>
        <w:jc w:val="both"/>
        <w:rPr>
          <w:lang w:val="es-ES"/>
        </w:rPr>
      </w:pPr>
      <w:r>
        <w:rPr>
          <w:lang w:val="es-ES"/>
        </w:rPr>
        <w:t xml:space="preserve">Las evaluaciones completadas antes de la preparación de este documento indican que más de </w:t>
      </w:r>
      <w:r w:rsidR="00D24755">
        <w:rPr>
          <w:lang w:val="es-ES"/>
        </w:rPr>
        <w:t xml:space="preserve">38 </w:t>
      </w:r>
      <w:r>
        <w:rPr>
          <w:lang w:val="es-ES"/>
        </w:rPr>
        <w:t xml:space="preserve">estaciones de radiodifusión terrenal han sufrido daños importantes, lo que ha provocado la pérdida de servicio de más de </w:t>
      </w:r>
      <w:r w:rsidR="00D24755">
        <w:rPr>
          <w:lang w:val="es-ES"/>
        </w:rPr>
        <w:t xml:space="preserve">33 </w:t>
      </w:r>
      <w:r>
        <w:rPr>
          <w:lang w:val="es-ES"/>
        </w:rPr>
        <w:t>millones de personas que se han visto privadas de acceso a información pública oportuna y a servicios esenciales de radiodifusión de emergencia.</w:t>
      </w:r>
    </w:p>
    <w:p w14:paraId="0F6D2DDB" w14:textId="77777777" w:rsidR="00C427B8" w:rsidRPr="00643708" w:rsidRDefault="00C427B8" w:rsidP="00FC1C2C">
      <w:pPr>
        <w:jc w:val="both"/>
        <w:rPr>
          <w:lang w:val="es-ES"/>
        </w:rPr>
      </w:pPr>
      <w:r>
        <w:rPr>
          <w:lang w:val="es-ES"/>
        </w:rPr>
        <w:t xml:space="preserve">Además de los daños causados a las instalaciones de transmisión en AM, FM y VHF/UHF, las evaluaciones han comprobado que se han destruido partes que afectan a las redes de retorno que soportan estas estaciones terrenales. Por ejemplo, enlaces de retorno por microondas y enlaces de fibra óptica utilizados para la contribución y distribución de programas. Más de 20 sistemas de enlaces de microondas han quedado inoperativos. Los daños sufridos por estos sistemas de retorno y de alimentación han perturbado aún más la conectividad necesaria para restablecer los servicios de radiodifusión en las regiones afectadas. </w:t>
      </w:r>
    </w:p>
    <w:p w14:paraId="6A84E85F" w14:textId="04451C2F" w:rsidR="00C427B8" w:rsidRPr="00643708" w:rsidRDefault="00C427B8" w:rsidP="00FC1C2C">
      <w:pPr>
        <w:jc w:val="both"/>
        <w:rPr>
          <w:lang w:val="es-ES"/>
        </w:rPr>
      </w:pPr>
      <w:r>
        <w:rPr>
          <w:lang w:val="es-ES"/>
        </w:rPr>
        <w:t xml:space="preserve">El coste de sustitución de los equipos técnicos de estas instalaciones terrenales se calcula que supera los </w:t>
      </w:r>
      <w:r w:rsidR="00D24755">
        <w:rPr>
          <w:lang w:val="es-ES"/>
        </w:rPr>
        <w:t xml:space="preserve">55 </w:t>
      </w:r>
      <w:r>
        <w:rPr>
          <w:lang w:val="es-ES"/>
        </w:rPr>
        <w:t>millones</w:t>
      </w:r>
      <w:r w:rsidR="004E5634">
        <w:rPr>
          <w:lang w:val="es-ES"/>
        </w:rPr>
        <w:t xml:space="preserve"> de dólares de los Estados Unidos</w:t>
      </w:r>
      <w:r>
        <w:rPr>
          <w:lang w:val="es-ES"/>
        </w:rPr>
        <w:t>, sin contar el coste de los edificios y los componentes estructurales, que no forman parte de esta evaluación inicial.</w:t>
      </w:r>
    </w:p>
    <w:p w14:paraId="07D37F19" w14:textId="77777777" w:rsidR="00C427B8" w:rsidRPr="00643708" w:rsidRDefault="00C427B8" w:rsidP="00C427B8">
      <w:pPr>
        <w:pStyle w:val="Headingb"/>
        <w:rPr>
          <w:lang w:val="es-ES"/>
        </w:rPr>
      </w:pPr>
      <w:r w:rsidRPr="00643708">
        <w:rPr>
          <w:lang w:val="es-ES"/>
        </w:rPr>
        <w:t>Daños a la infraestructura nacional de TIC</w:t>
      </w:r>
    </w:p>
    <w:p w14:paraId="57BF9BDA" w14:textId="77777777" w:rsidR="00C427B8" w:rsidRPr="00643708" w:rsidRDefault="00C427B8" w:rsidP="00FC1C2C">
      <w:pPr>
        <w:jc w:val="both"/>
        <w:rPr>
          <w:lang w:val="es-ES"/>
        </w:rPr>
      </w:pPr>
      <w:r>
        <w:rPr>
          <w:lang w:val="es-ES"/>
        </w:rPr>
        <w:t>Esta agresión provocó daños en la infraestructura nacional de telecomunicaciones, las redes de telecomunicaciones y los centros de monitoreo de las TIC en nuestro país. El ataque, unido a diversos ciberataques, se dirigió deliberadamente contra la infraestructura de TIC del país, que constituye el principal medio de comunicación y la plataforma más importante para informar y proteger la vida de las personas.</w:t>
      </w:r>
    </w:p>
    <w:p w14:paraId="6CCAD5C1" w14:textId="77777777" w:rsidR="00C427B8" w:rsidRPr="00643708" w:rsidRDefault="00C427B8" w:rsidP="00FC1C2C">
      <w:pPr>
        <w:jc w:val="both"/>
        <w:rPr>
          <w:lang w:val="es-ES"/>
        </w:rPr>
      </w:pPr>
      <w:r>
        <w:rPr>
          <w:lang w:val="es-ES"/>
        </w:rPr>
        <w:t>Actualmente se están calculando los costes de sustitución de los equipos técnicos de estas instalaciones, así como los costes de los edificios y los componentes estructurales.</w:t>
      </w:r>
    </w:p>
    <w:p w14:paraId="3C774BF8" w14:textId="77777777" w:rsidR="00C427B8" w:rsidRPr="00643708" w:rsidRDefault="00C427B8" w:rsidP="00C427B8">
      <w:pPr>
        <w:pStyle w:val="Headingb"/>
        <w:rPr>
          <w:lang w:val="es-ES"/>
        </w:rPr>
      </w:pPr>
      <w:r w:rsidRPr="00643708">
        <w:rPr>
          <w:lang w:val="es-ES"/>
        </w:rPr>
        <w:t>Actos anteriores de agresión contra la infraestructura de radiodifusión</w:t>
      </w:r>
    </w:p>
    <w:p w14:paraId="47AA3080" w14:textId="77777777" w:rsidR="00C427B8" w:rsidRPr="00643708" w:rsidRDefault="00C427B8" w:rsidP="00FC1C2C">
      <w:pPr>
        <w:jc w:val="both"/>
        <w:rPr>
          <w:lang w:val="es-ES"/>
        </w:rPr>
      </w:pPr>
      <w:r>
        <w:rPr>
          <w:lang w:val="es-ES"/>
        </w:rPr>
        <w:t xml:space="preserve">La República Islámica del Irán desea señalar a la atención del Consejo anteriores actos de agresión ocurridos en junio de 2025 que afectaron a su infraestructura vital de radiodifusión. En ese evento anterior, la sede de la organización nacional de radiodifusión, un gran complejo </w:t>
      </w:r>
      <w:r>
        <w:rPr>
          <w:lang w:val="es-ES"/>
        </w:rPr>
        <w:lastRenderedPageBreak/>
        <w:t>que alberga una amplia infraestructura de tecnología de la información y la comunicación (TIC), salas de redacción críticas y estudios de producción, todos ellos esenciales para la información pública, las comunicaciones de emergencia y la continuidad de los servicios, fue objeto de ataques devastadores. El Director General de la UNESCO condenó este incidente, que provocó la pérdida trágica de los periodistas Nima Rajabpour y Masoumeh Azimi. El ataque comparte características técnicas con los ataques más recientes y pone de relieve un patrón de interrupción deliberada dirigida a las capacidades de radiodifusión y telecomunicaciones del Irán. Es importante señalar que durante la agresión, la sede de la organización nacional de radiodifusión fue nuevamente atacada y gravemente dañada.</w:t>
      </w:r>
    </w:p>
    <w:p w14:paraId="67137C4F" w14:textId="77777777" w:rsidR="00C427B8" w:rsidRPr="00643708" w:rsidRDefault="00C427B8" w:rsidP="00C427B8">
      <w:pPr>
        <w:pStyle w:val="Headingb"/>
        <w:rPr>
          <w:lang w:val="es-ES"/>
        </w:rPr>
      </w:pPr>
      <w:r w:rsidRPr="00643708">
        <w:rPr>
          <w:lang w:val="es-ES"/>
        </w:rPr>
        <w:t>Interrupciones en los servicios de radiodifusión</w:t>
      </w:r>
    </w:p>
    <w:p w14:paraId="7194CC6C" w14:textId="77777777" w:rsidR="00C427B8" w:rsidRPr="00643708" w:rsidRDefault="00C427B8" w:rsidP="00FC1C2C">
      <w:pPr>
        <w:jc w:val="both"/>
        <w:rPr>
          <w:lang w:val="es-ES"/>
        </w:rPr>
      </w:pPr>
      <w:r>
        <w:rPr>
          <w:lang w:val="es-ES"/>
        </w:rPr>
        <w:t>Después de estos ataques, la República Islámica del Irán ha sufrido graves interrupciones en sus servicios de radiodifusión por satélite y en ondas medias (MW) debido a interferencias deliberadas de frecuencias. En algunos casos, estos ataques ocasionaron interferencias híbridas de radiofrecuencias y redes informáticas satelitales destinadas a reemplazar contenido sensible de audio y vídeo. Nuestra experiencia como víctimas de interferencias de satélite, antes incluso del actual conflicto militar, indica que la resolución de dicha interferencia depende en gran medida de dos factores: en primer lugar, la voluntad del operador de satélite de compartir la información geolocalizada y, en segundo lugar, la cooperación de la administración notificante de la asignación de satélite para notificar el evento en el Sistema de notificación y resolución de interferencias de satélites (SIRRS) de la UIT. Las diversas experiencias del Irán y la reiterada falta de éxito en la identificación, contrarrestación y resolución de estas interferencias sugieren que la eficacia de ambos procesos es susceptible a factores políticos y no técnicos. En un caso reciente, el Irán se vio obligado a solicitar la suspensión de su transpondedor de satélite arrendado para impedir la difusión de contenido sensible, lo que a su vez condujo al cese de sus propias emisiones autorizadas y privó a millones de ciudadanos de información crítica, especialmente durante conflictos armados. Esta situación plantea una grave amenaza no solo para el Irán sino también para la integridad de los servicios mundiales por satélite, lo que demuestra cómo esas interrupciones pueden socavar el acceso a información esencial en todo el mundo. Esto subraya la urgente necesidad de un nuevo marco de la UIT para hacer frente de forma eficaz a la interferencia de satélites, en particular a las nuevas amenazas que conlleva la inserción de contenido de vídeo no autorizado en las señales de radiodifusión.</w:t>
      </w:r>
    </w:p>
    <w:p w14:paraId="74733062" w14:textId="77777777" w:rsidR="00C427B8" w:rsidRPr="00643708" w:rsidRDefault="00C427B8" w:rsidP="00FC1C2C">
      <w:pPr>
        <w:jc w:val="both"/>
        <w:rPr>
          <w:lang w:val="es-ES"/>
        </w:rPr>
      </w:pPr>
      <w:r>
        <w:rPr>
          <w:lang w:val="es-ES"/>
        </w:rPr>
        <w:t>Además, se han detectado emisiones radioeléctricas no autorizadas en ondas medias procedentes de territorios vecinos, destinadas a prestar servicios de radiodifusión en la República Islámica del Irán con la intención explícita de crear inestabilidad social. Nuestra experiencia con la presentación de formularios de notificación de interferencia (Apéndices 9 y 10) a la Oficina indica que no se han tomado medidas operativas efectivas para eliminar estas emisiones no autorizadas de ondas medias.</w:t>
      </w:r>
    </w:p>
    <w:p w14:paraId="02142833" w14:textId="77777777" w:rsidR="00C427B8" w:rsidRPr="00643708" w:rsidRDefault="00C427B8" w:rsidP="00FC1C2C">
      <w:pPr>
        <w:jc w:val="both"/>
        <w:rPr>
          <w:lang w:val="es-ES"/>
        </w:rPr>
      </w:pPr>
      <w:r>
        <w:rPr>
          <w:lang w:val="es-ES"/>
        </w:rPr>
        <w:t xml:space="preserve">Todas las medidas ilícitas mencionadas, incluidas las agresiones militares anteriores y las recientes contra las infraestructuras de radiodifusión y telecomunicaciones conexas, la interferencia deliberada con la radiodifusión por satélite y la prestación de servicios no autorizados dentro del territorio del Irán desde países vecinos, constituyen una grave contravención de los principios de seguridad y continuidad promovidos por la Unión. Estas medidas también violan el derecho soberano del Irán a gestionar sus servicios de telecomunicaciones dentro de su territorio. El impacto adverso resultante en el acceso de la </w:t>
      </w:r>
      <w:r>
        <w:rPr>
          <w:lang w:val="es-ES"/>
        </w:rPr>
        <w:lastRenderedPageBreak/>
        <w:t>población a los servicios de comunicación esenciales, la seguridad humana y el bienestar público ha sido significativo.</w:t>
      </w:r>
    </w:p>
    <w:p w14:paraId="5A56E519" w14:textId="77777777" w:rsidR="00C427B8" w:rsidRPr="00643708" w:rsidRDefault="00C427B8" w:rsidP="00FE7743">
      <w:pPr>
        <w:jc w:val="both"/>
        <w:rPr>
          <w:lang w:val="es-ES"/>
        </w:rPr>
      </w:pPr>
      <w:r>
        <w:rPr>
          <w:lang w:val="es-ES"/>
        </w:rPr>
        <w:t>En consecuencia, la adopción de esta Resolución se considera crucial para abordar las necesidades de reconstrucción a corto, medio y largo plazo derivadas de dicha agresión, mejorar la resiliencia de los sistemas afectados y promover la recuperación digital y el desarrollo sostenible.</w:t>
      </w:r>
    </w:p>
    <w:p w14:paraId="529FCF3E" w14:textId="77777777" w:rsidR="00C427B8" w:rsidRPr="00643708" w:rsidRDefault="00C427B8" w:rsidP="00C427B8">
      <w:pPr>
        <w:tabs>
          <w:tab w:val="clear" w:pos="567"/>
          <w:tab w:val="clear" w:pos="1134"/>
          <w:tab w:val="clear" w:pos="1701"/>
          <w:tab w:val="clear" w:pos="2268"/>
          <w:tab w:val="clear" w:pos="2835"/>
        </w:tabs>
        <w:overflowPunct/>
        <w:autoSpaceDE/>
        <w:autoSpaceDN/>
        <w:adjustRightInd/>
        <w:spacing w:before="0"/>
        <w:textAlignment w:val="auto"/>
        <w:rPr>
          <w:b/>
          <w:sz w:val="28"/>
          <w:lang w:val="es-ES"/>
        </w:rPr>
      </w:pPr>
      <w:r w:rsidRPr="00643708">
        <w:rPr>
          <w:lang w:val="es-ES"/>
        </w:rPr>
        <w:br w:type="page"/>
      </w:r>
    </w:p>
    <w:p w14:paraId="57DE623A" w14:textId="77777777" w:rsidR="00C427B8" w:rsidRPr="00643708" w:rsidRDefault="00C427B8" w:rsidP="00C427B8">
      <w:pPr>
        <w:pStyle w:val="ResNo"/>
        <w:rPr>
          <w:lang w:val="es-ES"/>
        </w:rPr>
      </w:pPr>
      <w:r>
        <w:rPr>
          <w:lang w:val="es-ES"/>
        </w:rPr>
        <w:lastRenderedPageBreak/>
        <w:t>PROYECTO DE NUEVA RESOLUCIÓN […]</w:t>
      </w:r>
    </w:p>
    <w:p w14:paraId="096B29B5" w14:textId="5F89487E" w:rsidR="00C427B8" w:rsidRPr="00E90E82" w:rsidRDefault="00C427B8" w:rsidP="00C427B8">
      <w:pPr>
        <w:pStyle w:val="Restitle"/>
        <w:rPr>
          <w:lang w:val="es-ES"/>
        </w:rPr>
      </w:pPr>
      <w:r w:rsidRPr="00E90E82">
        <w:rPr>
          <w:lang w:val="es-ES"/>
        </w:rPr>
        <w:t>Asistencia y apoyo a la República Islámica del Irán para la reconstrucción</w:t>
      </w:r>
      <w:r w:rsidRPr="00E90E82">
        <w:rPr>
          <w:lang w:val="es-ES"/>
        </w:rPr>
        <w:br/>
        <w:t>de sus sectores de radiodifusión y telecomunicaciones/TI</w:t>
      </w:r>
      <w:r w:rsidR="00384852">
        <w:rPr>
          <w:lang w:val="es-ES"/>
        </w:rPr>
        <w:t>C</w:t>
      </w:r>
      <w:r>
        <w:rPr>
          <w:lang w:val="es-ES"/>
        </w:rPr>
        <w:br/>
      </w:r>
      <w:r w:rsidRPr="00E90E82">
        <w:rPr>
          <w:lang w:val="es-ES"/>
        </w:rPr>
        <w:t xml:space="preserve"> gravemente dañados por actos de agresión</w:t>
      </w:r>
    </w:p>
    <w:p w14:paraId="6F2BC809" w14:textId="77777777" w:rsidR="00C427B8" w:rsidRPr="00643708" w:rsidRDefault="00C427B8" w:rsidP="00C427B8">
      <w:pPr>
        <w:pStyle w:val="Normalaftertitle"/>
        <w:rPr>
          <w:lang w:val="es-ES"/>
        </w:rPr>
      </w:pPr>
      <w:r>
        <w:rPr>
          <w:lang w:val="es-ES"/>
        </w:rPr>
        <w:t>El Consejo de la UIT,</w:t>
      </w:r>
    </w:p>
    <w:p w14:paraId="7DA605D0" w14:textId="77777777" w:rsidR="00C427B8" w:rsidRPr="00C427B8" w:rsidRDefault="00C427B8" w:rsidP="00C427B8">
      <w:pPr>
        <w:pStyle w:val="Call"/>
        <w:rPr>
          <w:lang w:val="es-ES"/>
        </w:rPr>
      </w:pPr>
      <w:r w:rsidRPr="00C427B8">
        <w:rPr>
          <w:lang w:val="es-ES"/>
        </w:rPr>
        <w:t>recordando</w:t>
      </w:r>
    </w:p>
    <w:p w14:paraId="653A0933" w14:textId="77777777" w:rsidR="00C427B8" w:rsidRPr="00643708" w:rsidRDefault="00C427B8" w:rsidP="00FC1C2C">
      <w:pPr>
        <w:jc w:val="both"/>
        <w:rPr>
          <w:lang w:val="es-ES"/>
        </w:rPr>
      </w:pPr>
      <w:r>
        <w:rPr>
          <w:i/>
          <w:iCs/>
          <w:lang w:val="es-ES"/>
        </w:rPr>
        <w:t>a)</w:t>
      </w:r>
      <w:r>
        <w:rPr>
          <w:lang w:val="es-ES"/>
        </w:rPr>
        <w:tab/>
        <w:t>los principios y objetivos de la Carta de las Naciones Unidas y la Declaración Universal de Derechos Humanos, que prohíben el uso de la fuerza contra la soberanía y la integridad territorial de cualquier Estado;</w:t>
      </w:r>
    </w:p>
    <w:p w14:paraId="7E7FE77A" w14:textId="77777777" w:rsidR="00C427B8" w:rsidRPr="00643708" w:rsidRDefault="00C427B8" w:rsidP="00FC1C2C">
      <w:pPr>
        <w:jc w:val="both"/>
        <w:rPr>
          <w:lang w:val="es-ES"/>
        </w:rPr>
      </w:pPr>
      <w:r>
        <w:rPr>
          <w:i/>
          <w:iCs/>
          <w:lang w:val="es-ES"/>
        </w:rPr>
        <w:t>b)</w:t>
      </w:r>
      <w:r>
        <w:rPr>
          <w:lang w:val="es-ES"/>
        </w:rPr>
        <w:tab/>
        <w:t xml:space="preserve">los objetivos de la UIT recogidos en su Constitución y Convenio; </w:t>
      </w:r>
    </w:p>
    <w:p w14:paraId="0BE0407D" w14:textId="77777777" w:rsidR="00C427B8" w:rsidRPr="00643708" w:rsidRDefault="00C427B8" w:rsidP="00FC1C2C">
      <w:pPr>
        <w:jc w:val="both"/>
        <w:rPr>
          <w:lang w:val="es-ES"/>
        </w:rPr>
      </w:pPr>
      <w:r>
        <w:rPr>
          <w:i/>
          <w:iCs/>
          <w:lang w:val="es-ES"/>
        </w:rPr>
        <w:t>c)</w:t>
      </w:r>
      <w:r>
        <w:rPr>
          <w:lang w:val="es-ES"/>
        </w:rPr>
        <w:tab/>
        <w:t>los cometidos de la Unión de mejorar los servicios de telecomunicaciones;</w:t>
      </w:r>
    </w:p>
    <w:p w14:paraId="3516B6FB" w14:textId="77777777" w:rsidR="00C427B8" w:rsidRPr="00643708" w:rsidRDefault="00C427B8" w:rsidP="00FC1C2C">
      <w:pPr>
        <w:jc w:val="both"/>
        <w:rPr>
          <w:lang w:val="es-ES"/>
        </w:rPr>
      </w:pPr>
      <w:r>
        <w:rPr>
          <w:i/>
          <w:iCs/>
          <w:lang w:val="es-ES"/>
        </w:rPr>
        <w:t>d)</w:t>
      </w:r>
      <w:r>
        <w:rPr>
          <w:lang w:val="es-ES"/>
        </w:rPr>
        <w:tab/>
        <w:t>la Resolución 34 (Rev. Dubái, 2018) de la Conferencia de Plenipotenciarios, Asistencia y apoyo a países con necesidades especiales para la reconstrucción de su sector de telecomunicaciones;</w:t>
      </w:r>
    </w:p>
    <w:p w14:paraId="43767E2B" w14:textId="77777777" w:rsidR="00C427B8" w:rsidRPr="00C427B8" w:rsidRDefault="00C427B8" w:rsidP="00C427B8">
      <w:pPr>
        <w:pStyle w:val="Call"/>
        <w:rPr>
          <w:lang w:val="es-ES"/>
        </w:rPr>
      </w:pPr>
      <w:r w:rsidRPr="00C427B8">
        <w:rPr>
          <w:lang w:val="es-ES"/>
        </w:rPr>
        <w:t>recordando además</w:t>
      </w:r>
    </w:p>
    <w:p w14:paraId="33D3204C" w14:textId="77777777" w:rsidR="00C427B8" w:rsidRPr="00643708" w:rsidRDefault="00C427B8" w:rsidP="00FC1C2C">
      <w:pPr>
        <w:jc w:val="both"/>
        <w:rPr>
          <w:lang w:val="es-ES"/>
        </w:rPr>
      </w:pPr>
      <w:r>
        <w:rPr>
          <w:i/>
          <w:iCs/>
          <w:lang w:val="es-ES"/>
        </w:rPr>
        <w:t>a)</w:t>
      </w:r>
      <w:r>
        <w:rPr>
          <w:lang w:val="es-ES"/>
        </w:rPr>
        <w:tab/>
        <w:t>los marcos internacionales pertinentes incluyen los Convenios de Ginebra y el Protocolo Adicional I (Artículos 48, 51, 52, 57, 79), las Resoluciones 2131 y 3314 de la Asamblea General de las Naciones Unidas sobre la agresión, y las Resoluciones 1738 y 2222 del Consejo de Seguridad de las Naciones Unidas sobre la protección de los medios de comunicación. Además de las normas de derechos humanos del Pacto Internacional de Derechos Civiles y Políticos (Artículos 6 y 19) y la Declaración Universal de Derechos Humanos (Artículo 19), y los Artículos de la Comisión de Derecho Internacional sobre la responsabilidad del Estado (Artículos 31 y 34), así como los principios fundamentales de la Unión Internacional de Telecomunicaciones para la infraestructura de la comunicación;</w:t>
      </w:r>
    </w:p>
    <w:p w14:paraId="458AD3EF" w14:textId="77777777" w:rsidR="00C427B8" w:rsidRPr="00643708" w:rsidRDefault="00C427B8" w:rsidP="00FC1C2C">
      <w:pPr>
        <w:jc w:val="both"/>
        <w:rPr>
          <w:lang w:val="es-ES"/>
        </w:rPr>
      </w:pPr>
      <w:r>
        <w:rPr>
          <w:i/>
          <w:iCs/>
          <w:lang w:val="es-ES"/>
        </w:rPr>
        <w:t>b)</w:t>
      </w:r>
      <w:r>
        <w:rPr>
          <w:lang w:val="es-ES"/>
        </w:rPr>
        <w:tab/>
        <w:t>la Resolución 136 (Rev. Bucarest, 2022) de la Conferencia de Plenipotenciarios sobre la seguridad de las comunicaciones para la seguridad pública;</w:t>
      </w:r>
    </w:p>
    <w:p w14:paraId="79F146DF" w14:textId="77777777" w:rsidR="00C427B8" w:rsidRPr="00643708" w:rsidRDefault="00C427B8" w:rsidP="00FC1C2C">
      <w:pPr>
        <w:jc w:val="both"/>
        <w:rPr>
          <w:lang w:val="es-ES"/>
        </w:rPr>
      </w:pPr>
      <w:r>
        <w:rPr>
          <w:i/>
          <w:iCs/>
          <w:lang w:val="es-ES"/>
        </w:rPr>
        <w:t>c)</w:t>
      </w:r>
      <w:r>
        <w:rPr>
          <w:lang w:val="es-ES"/>
        </w:rPr>
        <w:tab/>
        <w:t>la Resolución 25 (Rev. Bucarest, 2022) de la Conferencia de Plenipotenciarios sobre el fortalecimiento de la presencia regional de la UIT;</w:t>
      </w:r>
    </w:p>
    <w:p w14:paraId="3838CB0E" w14:textId="77777777" w:rsidR="00C427B8" w:rsidRPr="00643708" w:rsidRDefault="00C427B8" w:rsidP="00FC1C2C">
      <w:pPr>
        <w:jc w:val="both"/>
        <w:rPr>
          <w:lang w:val="es-ES"/>
        </w:rPr>
      </w:pPr>
      <w:r>
        <w:rPr>
          <w:i/>
          <w:iCs/>
          <w:lang w:val="es-ES"/>
        </w:rPr>
        <w:t>d)</w:t>
      </w:r>
      <w:r>
        <w:rPr>
          <w:lang w:val="es-ES"/>
        </w:rPr>
        <w:tab/>
        <w:t>la Resolución 88 (Kigali, 2022) de la Conferencia Mundial de Desarrollo de las Telecomunicaciones sobre la Coalición Digital Partner2Connect de la UIT;</w:t>
      </w:r>
    </w:p>
    <w:p w14:paraId="75D29D3E" w14:textId="6A56DFFC" w:rsidR="00C427B8" w:rsidRPr="00643708" w:rsidRDefault="00C427B8" w:rsidP="00FC1C2C">
      <w:pPr>
        <w:jc w:val="both"/>
        <w:rPr>
          <w:lang w:val="es-ES"/>
        </w:rPr>
      </w:pPr>
      <w:r>
        <w:rPr>
          <w:i/>
          <w:iCs/>
          <w:lang w:val="es-ES"/>
        </w:rPr>
        <w:t>e)</w:t>
      </w:r>
      <w:r>
        <w:rPr>
          <w:lang w:val="es-ES"/>
        </w:rPr>
        <w:tab/>
        <w:t>la obligación de proteger al personal de los medios de comunicación durante los conflictos armados y la condena expresada por la muerte de los periodistas Nima Rajabpour y Masoumeh Azimi el 17 de junio de 2025</w:t>
      </w:r>
      <w:r w:rsidR="00D24755">
        <w:rPr>
          <w:lang w:val="es-ES"/>
        </w:rPr>
        <w:t>, y</w:t>
      </w:r>
      <w:r>
        <w:rPr>
          <w:lang w:val="es-ES"/>
        </w:rPr>
        <w:t xml:space="preserve"> </w:t>
      </w:r>
    </w:p>
    <w:p w14:paraId="2BE74677" w14:textId="77777777" w:rsidR="00C427B8" w:rsidRPr="00643708" w:rsidRDefault="00C427B8" w:rsidP="00FC1C2C">
      <w:pPr>
        <w:jc w:val="both"/>
        <w:rPr>
          <w:lang w:val="es-ES"/>
        </w:rPr>
      </w:pPr>
      <w:r>
        <w:rPr>
          <w:i/>
          <w:iCs/>
          <w:lang w:val="es-ES"/>
        </w:rPr>
        <w:t>f)</w:t>
      </w:r>
      <w:r>
        <w:rPr>
          <w:lang w:val="es-ES"/>
        </w:rPr>
        <w:tab/>
        <w:t>que los ataques contra instalaciones civiles de radiodifusión y TIC constituyen violaciones del derecho internacional humanitario y de las normas internacionales de derechos humanos,</w:t>
      </w:r>
    </w:p>
    <w:p w14:paraId="62870F48" w14:textId="77777777" w:rsidR="00C427B8" w:rsidRPr="00C427B8" w:rsidRDefault="00C427B8" w:rsidP="00C427B8">
      <w:pPr>
        <w:pStyle w:val="Call"/>
        <w:rPr>
          <w:lang w:val="es-ES"/>
        </w:rPr>
      </w:pPr>
      <w:r w:rsidRPr="00C427B8">
        <w:rPr>
          <w:lang w:val="es-ES"/>
        </w:rPr>
        <w:t>reiterando el compromiso de la UIT</w:t>
      </w:r>
    </w:p>
    <w:p w14:paraId="72622501" w14:textId="77777777" w:rsidR="00C427B8" w:rsidRPr="00643708" w:rsidRDefault="00C427B8" w:rsidP="00FC1C2C">
      <w:pPr>
        <w:jc w:val="both"/>
        <w:rPr>
          <w:lang w:val="es-ES"/>
        </w:rPr>
      </w:pPr>
      <w:r>
        <w:rPr>
          <w:lang w:val="es-ES"/>
        </w:rPr>
        <w:t>de promover la adopción de medidas destinadas a garantizar la seguridad de la vida humana, mediante la cooperación de los servicios de telecomunicación,</w:t>
      </w:r>
    </w:p>
    <w:p w14:paraId="3A328E20" w14:textId="77777777" w:rsidR="00C427B8" w:rsidRPr="00C427B8" w:rsidRDefault="00C427B8" w:rsidP="00C427B8">
      <w:pPr>
        <w:pStyle w:val="Call"/>
        <w:rPr>
          <w:lang w:val="es-ES"/>
        </w:rPr>
      </w:pPr>
      <w:r w:rsidRPr="00C427B8">
        <w:rPr>
          <w:lang w:val="es-ES"/>
        </w:rPr>
        <w:lastRenderedPageBreak/>
        <w:t xml:space="preserve">reconociendo </w:t>
      </w:r>
    </w:p>
    <w:p w14:paraId="408337B8" w14:textId="77777777" w:rsidR="00C427B8" w:rsidRPr="00643708" w:rsidRDefault="00C427B8" w:rsidP="00FC1C2C">
      <w:pPr>
        <w:jc w:val="both"/>
        <w:rPr>
          <w:lang w:val="es-ES"/>
        </w:rPr>
      </w:pPr>
      <w:r>
        <w:rPr>
          <w:i/>
          <w:iCs/>
          <w:lang w:val="es-ES"/>
        </w:rPr>
        <w:t>a)</w:t>
      </w:r>
      <w:r>
        <w:rPr>
          <w:lang w:val="es-ES"/>
        </w:rPr>
        <w:tab/>
        <w:t>que los ataques armados ilegales contra la República Islámica del Irán desde el 28 de febrero de 2026 han afectado gravemente al sector de la radiodifusión y las telecomunicaciones/TIC;</w:t>
      </w:r>
    </w:p>
    <w:p w14:paraId="04FD5C5F" w14:textId="77777777" w:rsidR="00C427B8" w:rsidRPr="00643708" w:rsidRDefault="00C427B8" w:rsidP="00FC1C2C">
      <w:pPr>
        <w:jc w:val="both"/>
        <w:rPr>
          <w:lang w:val="es-ES"/>
        </w:rPr>
      </w:pPr>
      <w:r>
        <w:rPr>
          <w:i/>
          <w:iCs/>
          <w:lang w:val="es-ES"/>
        </w:rPr>
        <w:t>b)</w:t>
      </w:r>
      <w:r>
        <w:rPr>
          <w:lang w:val="es-ES"/>
        </w:rPr>
        <w:tab/>
        <w:t>que los flujos de información nacionales y los servicios de comunicaciones de emergencia se han visto considerablemente perturbados;</w:t>
      </w:r>
    </w:p>
    <w:p w14:paraId="06CD69C7" w14:textId="77777777" w:rsidR="00C427B8" w:rsidRPr="00643708" w:rsidRDefault="00C427B8" w:rsidP="00FC1C2C">
      <w:pPr>
        <w:jc w:val="both"/>
        <w:rPr>
          <w:lang w:val="es-ES"/>
        </w:rPr>
      </w:pPr>
      <w:r>
        <w:rPr>
          <w:i/>
          <w:iCs/>
          <w:lang w:val="es-ES"/>
        </w:rPr>
        <w:t>c)</w:t>
      </w:r>
      <w:r>
        <w:rPr>
          <w:lang w:val="es-ES"/>
        </w:rPr>
        <w:tab/>
        <w:t>que las interferencias deliberadas y los ciberataques han causado amplios daños a infraestructuras esenciales;</w:t>
      </w:r>
    </w:p>
    <w:p w14:paraId="115FB2CA" w14:textId="21DBA722" w:rsidR="00C427B8" w:rsidRPr="00643708" w:rsidRDefault="00C427B8" w:rsidP="00FC1C2C">
      <w:pPr>
        <w:jc w:val="both"/>
        <w:rPr>
          <w:lang w:val="es-ES"/>
        </w:rPr>
      </w:pPr>
      <w:r>
        <w:rPr>
          <w:i/>
          <w:iCs/>
          <w:lang w:val="es-ES"/>
        </w:rPr>
        <w:t>d)</w:t>
      </w:r>
      <w:r>
        <w:rPr>
          <w:lang w:val="es-ES"/>
        </w:rPr>
        <w:tab/>
        <w:t>que se necesita apoyo internacional urgente para facilitar los esfuerzos de recuperación</w:t>
      </w:r>
      <w:r w:rsidR="00D24755">
        <w:rPr>
          <w:lang w:val="es-ES"/>
        </w:rPr>
        <w:t>, y</w:t>
      </w:r>
      <w:r>
        <w:rPr>
          <w:lang w:val="es-ES"/>
        </w:rPr>
        <w:t xml:space="preserve"> </w:t>
      </w:r>
    </w:p>
    <w:p w14:paraId="1F5AAB67" w14:textId="77777777" w:rsidR="00C427B8" w:rsidRPr="00643708" w:rsidRDefault="00C427B8" w:rsidP="00FC1C2C">
      <w:pPr>
        <w:jc w:val="both"/>
        <w:rPr>
          <w:lang w:val="es-ES"/>
        </w:rPr>
      </w:pPr>
      <w:r>
        <w:rPr>
          <w:i/>
          <w:iCs/>
          <w:lang w:val="es-ES"/>
        </w:rPr>
        <w:t>e)</w:t>
      </w:r>
      <w:r>
        <w:rPr>
          <w:lang w:val="es-ES"/>
        </w:rPr>
        <w:tab/>
        <w:t>que la asistencia técnica coordinada y a largo plazo de las organizaciones bilaterales, regionales e internacionales es esencial para restablecer y modernizar las capacidades críticas,</w:t>
      </w:r>
    </w:p>
    <w:p w14:paraId="746E54D9" w14:textId="77777777" w:rsidR="00C427B8" w:rsidRPr="00C427B8" w:rsidRDefault="00C427B8" w:rsidP="00C427B8">
      <w:pPr>
        <w:pStyle w:val="Call"/>
        <w:rPr>
          <w:lang w:val="es-ES"/>
        </w:rPr>
      </w:pPr>
      <w:r w:rsidRPr="00C427B8">
        <w:rPr>
          <w:lang w:val="es-ES"/>
        </w:rPr>
        <w:t>resuelve encargar a los Directores de las tres Oficinas</w:t>
      </w:r>
    </w:p>
    <w:p w14:paraId="47B9FF25" w14:textId="77777777" w:rsidR="00C427B8" w:rsidRPr="00643708" w:rsidRDefault="00C427B8" w:rsidP="00FC1C2C">
      <w:pPr>
        <w:jc w:val="both"/>
        <w:rPr>
          <w:lang w:val="es-ES"/>
        </w:rPr>
      </w:pPr>
      <w:r>
        <w:rPr>
          <w:lang w:val="es-ES"/>
        </w:rPr>
        <w:t>1</w:t>
      </w:r>
      <w:r>
        <w:rPr>
          <w:lang w:val="es-ES"/>
        </w:rPr>
        <w:tab/>
        <w:t>que colaboren con la República Islámica del Irán para evaluar y hacer frente a los daños sufridos en las infraestructuras de radiodifusión y TIC, garantizando la realización de evaluaciones continuas hasta lograr la plena restauración;</w:t>
      </w:r>
    </w:p>
    <w:p w14:paraId="457E0116" w14:textId="77777777" w:rsidR="00C427B8" w:rsidRPr="00643708" w:rsidRDefault="00C427B8" w:rsidP="00FC1C2C">
      <w:pPr>
        <w:jc w:val="both"/>
        <w:rPr>
          <w:lang w:val="es-ES"/>
        </w:rPr>
      </w:pPr>
      <w:r>
        <w:rPr>
          <w:lang w:val="es-ES"/>
        </w:rPr>
        <w:t>2</w:t>
      </w:r>
      <w:r>
        <w:rPr>
          <w:lang w:val="es-ES"/>
        </w:rPr>
        <w:tab/>
        <w:t>que preparen propuestas para la reconstrucción y modernización de los sistemas de radiodifusión y TIC del Irán, centrándose en la recuperación digital sostenible;</w:t>
      </w:r>
    </w:p>
    <w:p w14:paraId="0DFC903F" w14:textId="77777777" w:rsidR="00C427B8" w:rsidRPr="00643708" w:rsidRDefault="00C427B8" w:rsidP="00FC1C2C">
      <w:pPr>
        <w:jc w:val="both"/>
        <w:rPr>
          <w:lang w:val="es-ES"/>
        </w:rPr>
      </w:pPr>
      <w:r>
        <w:rPr>
          <w:lang w:val="es-ES"/>
        </w:rPr>
        <w:t>3</w:t>
      </w:r>
      <w:r>
        <w:rPr>
          <w:lang w:val="es-ES"/>
        </w:rPr>
        <w:tab/>
        <w:t>que movilicen recursos a través del presupuesto interno, el Fondo de Desarrollo de las TIC, la Coalición Partner2Connect y las contribuciones voluntarias de los Estados Miembros para apoyar la ejecución de estas iniciativas;</w:t>
      </w:r>
    </w:p>
    <w:p w14:paraId="2D367FE7" w14:textId="77777777" w:rsidR="00C427B8" w:rsidRPr="00643708" w:rsidRDefault="00C427B8" w:rsidP="00FC1C2C">
      <w:pPr>
        <w:jc w:val="both"/>
        <w:rPr>
          <w:lang w:val="es-ES"/>
        </w:rPr>
      </w:pPr>
      <w:r>
        <w:rPr>
          <w:lang w:val="es-ES"/>
        </w:rPr>
        <w:t>4</w:t>
      </w:r>
      <w:r>
        <w:rPr>
          <w:lang w:val="es-ES"/>
        </w:rPr>
        <w:tab/>
        <w:t>que presten asistencia para detectar la interferencia de radiofrecuencias y redes informáticas satelitales y elabore marcos reglamentarios para mejorar la resiliencia de las redes de radiodifusión por satélite,</w:t>
      </w:r>
    </w:p>
    <w:p w14:paraId="1ED5918B" w14:textId="77777777" w:rsidR="00C427B8" w:rsidRPr="00C427B8" w:rsidRDefault="00C427B8" w:rsidP="00C427B8">
      <w:pPr>
        <w:pStyle w:val="Call"/>
        <w:rPr>
          <w:lang w:val="es-ES"/>
        </w:rPr>
      </w:pPr>
      <w:r w:rsidRPr="00C427B8">
        <w:rPr>
          <w:lang w:val="es-ES"/>
        </w:rPr>
        <w:t>encarga al Secretario General</w:t>
      </w:r>
    </w:p>
    <w:p w14:paraId="023D460F" w14:textId="77777777" w:rsidR="00C427B8" w:rsidRPr="00643708" w:rsidRDefault="00C427B8" w:rsidP="00FC1C2C">
      <w:pPr>
        <w:jc w:val="both"/>
        <w:rPr>
          <w:lang w:val="es-ES"/>
        </w:rPr>
      </w:pPr>
      <w:r>
        <w:rPr>
          <w:lang w:val="es-ES"/>
        </w:rPr>
        <w:t>1</w:t>
      </w:r>
      <w:r>
        <w:rPr>
          <w:lang w:val="es-ES"/>
        </w:rPr>
        <w:tab/>
        <w:t xml:space="preserve">que coordine las actividades realizadas por los tres Sectores de la Unión de conformidad con el </w:t>
      </w:r>
      <w:r>
        <w:rPr>
          <w:i/>
          <w:iCs/>
          <w:lang w:val="es-ES"/>
        </w:rPr>
        <w:t>resuelve</w:t>
      </w:r>
      <w:r>
        <w:rPr>
          <w:lang w:val="es-ES"/>
        </w:rPr>
        <w:t xml:space="preserve"> anterior, a fin de garantizar la mayor eficacia posible de la acción de la Unión en favor del Irán,</w:t>
      </w:r>
    </w:p>
    <w:p w14:paraId="03B568A6" w14:textId="77777777" w:rsidR="00C427B8" w:rsidRPr="00643708" w:rsidRDefault="00C427B8" w:rsidP="00FC1C2C">
      <w:pPr>
        <w:jc w:val="both"/>
        <w:rPr>
          <w:lang w:val="es-ES"/>
        </w:rPr>
      </w:pPr>
      <w:r>
        <w:rPr>
          <w:lang w:val="es-ES"/>
        </w:rPr>
        <w:t>2</w:t>
      </w:r>
      <w:r>
        <w:rPr>
          <w:lang w:val="es-ES"/>
        </w:rPr>
        <w:tab/>
        <w:t>que presente un informe al respecto en la Conferencia de Plenipotenciarios de 2026 y en la reunión del Consejo de 2027, así como a futuras reuniones y conferencias, según proceda,</w:t>
      </w:r>
    </w:p>
    <w:p w14:paraId="617C4873" w14:textId="77777777" w:rsidR="00C427B8" w:rsidRPr="00C427B8" w:rsidRDefault="00C427B8" w:rsidP="00C427B8">
      <w:pPr>
        <w:pStyle w:val="Call"/>
        <w:rPr>
          <w:lang w:val="es-ES"/>
        </w:rPr>
      </w:pPr>
      <w:r w:rsidRPr="00C427B8">
        <w:rPr>
          <w:lang w:val="es-ES"/>
        </w:rPr>
        <w:t>invita a los Estados Miembros</w:t>
      </w:r>
    </w:p>
    <w:p w14:paraId="77F451AF" w14:textId="77777777" w:rsidR="00C427B8" w:rsidRPr="00643708" w:rsidRDefault="00C427B8" w:rsidP="00FC1C2C">
      <w:pPr>
        <w:jc w:val="both"/>
        <w:rPr>
          <w:lang w:val="es-ES"/>
        </w:rPr>
      </w:pPr>
      <w:r>
        <w:rPr>
          <w:lang w:val="es-ES"/>
        </w:rPr>
        <w:t>1</w:t>
      </w:r>
      <w:r>
        <w:rPr>
          <w:lang w:val="es-ES"/>
        </w:rPr>
        <w:tab/>
        <w:t>a proporcionar voluntariamente conocimientos técnicos, equipos, actividades de capacitación o recursos financieros en apoyo de la presente Resolución;</w:t>
      </w:r>
    </w:p>
    <w:p w14:paraId="72EEA965" w14:textId="77777777" w:rsidR="00C427B8" w:rsidRPr="00643708" w:rsidRDefault="00C427B8" w:rsidP="00FC1C2C">
      <w:pPr>
        <w:jc w:val="both"/>
        <w:rPr>
          <w:lang w:val="es-ES"/>
        </w:rPr>
      </w:pPr>
      <w:r>
        <w:rPr>
          <w:lang w:val="es-ES"/>
        </w:rPr>
        <w:t>2</w:t>
      </w:r>
      <w:r>
        <w:rPr>
          <w:lang w:val="es-ES"/>
        </w:rPr>
        <w:tab/>
        <w:t>a compartir experiencias y prácticas idóneas en la protección de la infraestructura de radiodifusión y telecomunicaciones/TIC durante los conflictos armados o las hostilidades externas.</w:t>
      </w:r>
    </w:p>
    <w:p w14:paraId="784E8766" w14:textId="77777777" w:rsidR="00F92BED" w:rsidRPr="00F92BED" w:rsidRDefault="00F92BED" w:rsidP="00F92BED">
      <w:pPr>
        <w:jc w:val="center"/>
      </w:pPr>
      <w:r>
        <w:t>______________</w:t>
      </w:r>
    </w:p>
    <w:sectPr w:rsidR="00F92BED" w:rsidRPr="00F92BED" w:rsidSect="00C538FC">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9B6A" w14:textId="77777777" w:rsidR="0087206F" w:rsidRDefault="0087206F">
      <w:r>
        <w:separator/>
      </w:r>
    </w:p>
  </w:endnote>
  <w:endnote w:type="continuationSeparator" w:id="0">
    <w:p w14:paraId="529B8A9C" w14:textId="77777777" w:rsidR="0087206F" w:rsidRDefault="008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2E94037" w14:textId="77777777" w:rsidTr="00E31DCE">
      <w:trPr>
        <w:jc w:val="center"/>
      </w:trPr>
      <w:tc>
        <w:tcPr>
          <w:tcW w:w="1803" w:type="dxa"/>
          <w:vAlign w:val="center"/>
        </w:tcPr>
        <w:p w14:paraId="740D84C9" w14:textId="58B06BDC" w:rsidR="003273A4" w:rsidRDefault="002946E2" w:rsidP="003273A4">
          <w:pPr>
            <w:pStyle w:val="Header"/>
            <w:jc w:val="left"/>
            <w:rPr>
              <w:noProof/>
            </w:rPr>
          </w:pPr>
          <w:r>
            <w:rPr>
              <w:noProof/>
            </w:rPr>
            <w:t xml:space="preserve">gDoc </w:t>
          </w:r>
          <w:r w:rsidR="00115A1D" w:rsidRPr="00115A1D">
            <w:rPr>
              <w:noProof/>
            </w:rPr>
            <w:t>2601055</w:t>
          </w:r>
        </w:p>
      </w:tc>
      <w:tc>
        <w:tcPr>
          <w:tcW w:w="8261" w:type="dxa"/>
        </w:tcPr>
        <w:p w14:paraId="45AC0283" w14:textId="153AE162" w:rsidR="003273A4" w:rsidRPr="00E06FD5" w:rsidRDefault="003273A4" w:rsidP="002621EF">
          <w:pPr>
            <w:pStyle w:val="Header"/>
            <w:tabs>
              <w:tab w:val="left" w:pos="6175"/>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CA0CFD">
            <w:rPr>
              <w:bCs/>
            </w:rPr>
            <w:t>86</w:t>
          </w:r>
          <w:r w:rsidR="002621EF">
            <w:rPr>
              <w:bCs/>
            </w:rPr>
            <w:t>(</w:t>
          </w:r>
          <w:proofErr w:type="spellStart"/>
          <w:r w:rsidR="002621EF">
            <w:rPr>
              <w:bCs/>
            </w:rPr>
            <w:t>Rev.</w:t>
          </w:r>
          <w:proofErr w:type="gramStart"/>
          <w:r w:rsidR="002621EF">
            <w:rPr>
              <w:bCs/>
            </w:rPr>
            <w:t>1</w:t>
          </w:r>
          <w:proofErr w:type="spellEnd"/>
          <w:r w:rsidR="002621EF">
            <w:rPr>
              <w:bCs/>
            </w:rPr>
            <w:t>)</w:t>
          </w:r>
          <w:r w:rsidRPr="00623AE3">
            <w:rPr>
              <w:bCs/>
            </w:rPr>
            <w:t>-</w:t>
          </w:r>
          <w:proofErr w:type="gramEnd"/>
          <w:r>
            <w:rPr>
              <w:bCs/>
            </w:rPr>
            <w:t>S</w:t>
          </w:r>
          <w:r>
            <w:rPr>
              <w:bCs/>
            </w:rPr>
            <w:tab/>
          </w:r>
          <w:r>
            <w:fldChar w:fldCharType="begin"/>
          </w:r>
          <w:r>
            <w:instrText>PAGE</w:instrText>
          </w:r>
          <w:r>
            <w:fldChar w:fldCharType="separate"/>
          </w:r>
          <w:r w:rsidR="009D0A25">
            <w:rPr>
              <w:noProof/>
            </w:rPr>
            <w:t>4</w:t>
          </w:r>
          <w:r>
            <w:rPr>
              <w:noProof/>
            </w:rPr>
            <w:fldChar w:fldCharType="end"/>
          </w:r>
        </w:p>
      </w:tc>
    </w:tr>
  </w:tbl>
  <w:p w14:paraId="79517C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3CD2389" w14:textId="77777777" w:rsidTr="00E31DCE">
      <w:trPr>
        <w:jc w:val="center"/>
      </w:trPr>
      <w:tc>
        <w:tcPr>
          <w:tcW w:w="1803" w:type="dxa"/>
          <w:vAlign w:val="center"/>
        </w:tcPr>
        <w:p w14:paraId="6FA7E0A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662B52C" w14:textId="2C26C79A" w:rsidR="00F24B71" w:rsidRPr="00E06FD5" w:rsidRDefault="00F24B71" w:rsidP="002621EF">
          <w:pPr>
            <w:pStyle w:val="Header"/>
            <w:tabs>
              <w:tab w:val="left" w:pos="6175"/>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CA0CFD">
            <w:rPr>
              <w:bCs/>
            </w:rPr>
            <w:t>86</w:t>
          </w:r>
          <w:r w:rsidR="002621EF">
            <w:rPr>
              <w:bCs/>
            </w:rPr>
            <w:t>(</w:t>
          </w:r>
          <w:proofErr w:type="spellStart"/>
          <w:r w:rsidR="002621EF">
            <w:rPr>
              <w:bCs/>
            </w:rPr>
            <w:t>Rev.</w:t>
          </w:r>
          <w:proofErr w:type="gramStart"/>
          <w:r w:rsidR="002621EF">
            <w:rPr>
              <w:bCs/>
            </w:rPr>
            <w:t>1</w:t>
          </w:r>
          <w:proofErr w:type="spellEnd"/>
          <w:r w:rsidR="002621EF">
            <w:rPr>
              <w:bCs/>
            </w:rPr>
            <w:t>)</w:t>
          </w:r>
          <w:r w:rsidRPr="00623AE3">
            <w:rPr>
              <w:bCs/>
            </w:rPr>
            <w:t>-</w:t>
          </w:r>
          <w:proofErr w:type="gramEnd"/>
          <w:r w:rsidR="003273A4">
            <w:rPr>
              <w:bCs/>
            </w:rPr>
            <w:t>S</w:t>
          </w:r>
          <w:r>
            <w:rPr>
              <w:bCs/>
            </w:rPr>
            <w:tab/>
          </w:r>
          <w:r>
            <w:fldChar w:fldCharType="begin"/>
          </w:r>
          <w:r>
            <w:instrText>PAGE</w:instrText>
          </w:r>
          <w:r>
            <w:fldChar w:fldCharType="separate"/>
          </w:r>
          <w:r w:rsidR="009D0A25">
            <w:rPr>
              <w:noProof/>
            </w:rPr>
            <w:t>1</w:t>
          </w:r>
          <w:r>
            <w:rPr>
              <w:noProof/>
            </w:rPr>
            <w:fldChar w:fldCharType="end"/>
          </w:r>
        </w:p>
      </w:tc>
    </w:tr>
  </w:tbl>
  <w:p w14:paraId="4FD934B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AE88" w14:textId="77777777" w:rsidR="0087206F" w:rsidRDefault="0087206F">
      <w:r>
        <w:t>____________________</w:t>
      </w:r>
    </w:p>
  </w:footnote>
  <w:footnote w:type="continuationSeparator" w:id="0">
    <w:p w14:paraId="7A57DB91" w14:textId="77777777" w:rsidR="0087206F" w:rsidRDefault="0087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3C3" w14:textId="77777777" w:rsidR="001559F5" w:rsidRPr="00B1560D" w:rsidRDefault="00B1560D" w:rsidP="00B1560D">
    <w:pPr>
      <w:pStyle w:val="Header"/>
    </w:pPr>
    <w:r>
      <w:rPr>
        <w:noProof/>
        <w:lang w:val="en-US"/>
      </w:rPr>
      <w:drawing>
        <wp:inline distT="0" distB="0" distL="0" distR="0" wp14:anchorId="6E0212AF" wp14:editId="6093A56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10"/>
    <w:rsid w:val="000007D1"/>
    <w:rsid w:val="000128E0"/>
    <w:rsid w:val="0006007D"/>
    <w:rsid w:val="00093EEB"/>
    <w:rsid w:val="000B0D00"/>
    <w:rsid w:val="000B7C15"/>
    <w:rsid w:val="000D1D0F"/>
    <w:rsid w:val="000E3F07"/>
    <w:rsid w:val="000F0999"/>
    <w:rsid w:val="000F5290"/>
    <w:rsid w:val="000F5A95"/>
    <w:rsid w:val="0010165C"/>
    <w:rsid w:val="00115A1D"/>
    <w:rsid w:val="00146BFB"/>
    <w:rsid w:val="001559F5"/>
    <w:rsid w:val="00157AC4"/>
    <w:rsid w:val="0016169C"/>
    <w:rsid w:val="00181AF7"/>
    <w:rsid w:val="001958F5"/>
    <w:rsid w:val="001B6E2B"/>
    <w:rsid w:val="001D2A47"/>
    <w:rsid w:val="001F14A2"/>
    <w:rsid w:val="002621EF"/>
    <w:rsid w:val="00277DEA"/>
    <w:rsid w:val="002801AA"/>
    <w:rsid w:val="002946E2"/>
    <w:rsid w:val="002C3F32"/>
    <w:rsid w:val="002C4676"/>
    <w:rsid w:val="002C70B0"/>
    <w:rsid w:val="002D1A86"/>
    <w:rsid w:val="002F3CC4"/>
    <w:rsid w:val="003032E2"/>
    <w:rsid w:val="0031300A"/>
    <w:rsid w:val="003273A4"/>
    <w:rsid w:val="0034796E"/>
    <w:rsid w:val="00384852"/>
    <w:rsid w:val="003B675D"/>
    <w:rsid w:val="004571B0"/>
    <w:rsid w:val="00461022"/>
    <w:rsid w:val="00465C35"/>
    <w:rsid w:val="00473962"/>
    <w:rsid w:val="004B5D49"/>
    <w:rsid w:val="004C4C94"/>
    <w:rsid w:val="004D3A3C"/>
    <w:rsid w:val="004E5634"/>
    <w:rsid w:val="00513630"/>
    <w:rsid w:val="00560125"/>
    <w:rsid w:val="00585553"/>
    <w:rsid w:val="005B34D9"/>
    <w:rsid w:val="005D0CCF"/>
    <w:rsid w:val="005E5948"/>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7206F"/>
    <w:rsid w:val="008F6ABC"/>
    <w:rsid w:val="00913B9C"/>
    <w:rsid w:val="00927F93"/>
    <w:rsid w:val="00956E77"/>
    <w:rsid w:val="009A338E"/>
    <w:rsid w:val="009A76A8"/>
    <w:rsid w:val="009D0A25"/>
    <w:rsid w:val="009F4811"/>
    <w:rsid w:val="00A01F4F"/>
    <w:rsid w:val="00A1055C"/>
    <w:rsid w:val="00A109AF"/>
    <w:rsid w:val="00A94438"/>
    <w:rsid w:val="00AA390C"/>
    <w:rsid w:val="00AC5D0F"/>
    <w:rsid w:val="00AD5A4D"/>
    <w:rsid w:val="00AF0EAC"/>
    <w:rsid w:val="00B0200A"/>
    <w:rsid w:val="00B060DF"/>
    <w:rsid w:val="00B1560D"/>
    <w:rsid w:val="00B574DB"/>
    <w:rsid w:val="00B826C2"/>
    <w:rsid w:val="00B8298E"/>
    <w:rsid w:val="00B8427A"/>
    <w:rsid w:val="00BB6FD8"/>
    <w:rsid w:val="00BD0723"/>
    <w:rsid w:val="00BD2518"/>
    <w:rsid w:val="00BF1D1C"/>
    <w:rsid w:val="00C20C59"/>
    <w:rsid w:val="00C23364"/>
    <w:rsid w:val="00C2727F"/>
    <w:rsid w:val="00C427B8"/>
    <w:rsid w:val="00C4421B"/>
    <w:rsid w:val="00C538FC"/>
    <w:rsid w:val="00C55B1F"/>
    <w:rsid w:val="00CA0CFD"/>
    <w:rsid w:val="00CC1FAF"/>
    <w:rsid w:val="00CD2910"/>
    <w:rsid w:val="00CF1A67"/>
    <w:rsid w:val="00D24755"/>
    <w:rsid w:val="00D2750E"/>
    <w:rsid w:val="00D375E0"/>
    <w:rsid w:val="00D40DAC"/>
    <w:rsid w:val="00D50A36"/>
    <w:rsid w:val="00D62446"/>
    <w:rsid w:val="00DA4EA2"/>
    <w:rsid w:val="00DC3D3E"/>
    <w:rsid w:val="00DE2C90"/>
    <w:rsid w:val="00DE3B24"/>
    <w:rsid w:val="00DE7376"/>
    <w:rsid w:val="00E06947"/>
    <w:rsid w:val="00E11319"/>
    <w:rsid w:val="00E21444"/>
    <w:rsid w:val="00E251AE"/>
    <w:rsid w:val="00E34072"/>
    <w:rsid w:val="00E3592D"/>
    <w:rsid w:val="00E50D76"/>
    <w:rsid w:val="00E8018B"/>
    <w:rsid w:val="00E92DE8"/>
    <w:rsid w:val="00EB1212"/>
    <w:rsid w:val="00ED4A9F"/>
    <w:rsid w:val="00ED65AB"/>
    <w:rsid w:val="00F12850"/>
    <w:rsid w:val="00F24B71"/>
    <w:rsid w:val="00F33BF4"/>
    <w:rsid w:val="00F7105E"/>
    <w:rsid w:val="00F75F57"/>
    <w:rsid w:val="00F82FEE"/>
    <w:rsid w:val="00F85E5C"/>
    <w:rsid w:val="00F92BED"/>
    <w:rsid w:val="00FC1C2C"/>
    <w:rsid w:val="00FD57D3"/>
    <w:rsid w:val="00FE57F6"/>
    <w:rsid w:val="00FE774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C6925"/>
  <w15:docId w15:val="{91BB6FFF-7ED5-4C4D-A014-315AA4F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BalloonText">
    <w:name w:val="Balloon Text"/>
    <w:basedOn w:val="Normal"/>
    <w:link w:val="BalloonTextChar"/>
    <w:semiHidden/>
    <w:unhideWhenUsed/>
    <w:rsid w:val="009D0A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D0A25"/>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6-CL-C-0035/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5</TotalTime>
  <Pages>7</Pages>
  <Words>2601</Words>
  <Characters>14762</Characters>
  <Application>Microsoft Office Word</Application>
  <DocSecurity>0</DocSecurity>
  <Lines>246</Lines>
  <Paragraphs>88</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Propuesta de adopción de una nueva resolución del Consejo de la UIT sobre asistencia y apoyo a la República Islámica del Irán para la reconstrucción de sus sectores de radiodifusión y telecomunicaciones/Tic gravemente dañados por actos de agresión</vt:lpstr>
      <vt:lpstr/>
    </vt:vector>
  </TitlesOfParts>
  <Manager>Secretaría General - Pool</Manager>
  <Company>International Telecommunication Union</Company>
  <LinksUpToDate>false</LinksUpToDate>
  <CharactersWithSpaces>17275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adopción de una nueva resolución del Consejo de la UIT sobre asistencia y apoyo a la República Islámica del Irán para la reconstrucción de sus sectores de radiodifusión y telecomunicaciones/Tic gravemente dañados por actos de agresión</dc:title>
  <dc:subject>Consejo 2026 de la UIT</dc:subject>
  <cp:keywords>C26; C2026; Council 2026; PP26</cp:keywords>
  <dc:description>Revisión 1</dc:description>
  <cp:lastPrinted>2006-03-24T09:51:00Z</cp:lastPrinted>
  <dcterms:created xsi:type="dcterms:W3CDTF">2026-04-24T17:50:00Z</dcterms:created>
  <dcterms:modified xsi:type="dcterms:W3CDTF">2026-04-24T17:53:00Z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