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723D87" w14:paraId="66502F74" w14:textId="77777777" w:rsidTr="00796BDB">
        <w:trPr>
          <w:cantSplit/>
          <w:trHeight w:val="23"/>
        </w:trPr>
        <w:tc>
          <w:tcPr>
            <w:tcW w:w="3969" w:type="dxa"/>
            <w:vMerge w:val="restart"/>
            <w:tcMar>
              <w:left w:w="0" w:type="dxa"/>
            </w:tcMar>
          </w:tcPr>
          <w:p w14:paraId="2C9DEA80" w14:textId="2E7B55D2" w:rsidR="00D72F49" w:rsidRPr="00723D87" w:rsidRDefault="00D72F49" w:rsidP="00796BDB">
            <w:pPr>
              <w:tabs>
                <w:tab w:val="left" w:pos="851"/>
              </w:tabs>
              <w:spacing w:before="0" w:line="240" w:lineRule="atLeast"/>
              <w:rPr>
                <w:b/>
              </w:rPr>
            </w:pPr>
            <w:r w:rsidRPr="00723D87">
              <w:rPr>
                <w:b/>
              </w:rPr>
              <w:t>Point de l'ordre du jour:</w:t>
            </w:r>
            <w:r w:rsidR="00172D4E" w:rsidRPr="00723D87">
              <w:rPr>
                <w:b/>
              </w:rPr>
              <w:t xml:space="preserve"> PL 1</w:t>
            </w:r>
          </w:p>
        </w:tc>
        <w:tc>
          <w:tcPr>
            <w:tcW w:w="5245" w:type="dxa"/>
          </w:tcPr>
          <w:p w14:paraId="4139ED44" w14:textId="291EC87E" w:rsidR="00D72F49" w:rsidRPr="00723D87" w:rsidRDefault="00D72F49" w:rsidP="00796BDB">
            <w:pPr>
              <w:tabs>
                <w:tab w:val="left" w:pos="851"/>
              </w:tabs>
              <w:spacing w:before="0" w:line="240" w:lineRule="atLeast"/>
              <w:jc w:val="right"/>
              <w:rPr>
                <w:b/>
              </w:rPr>
            </w:pPr>
            <w:r w:rsidRPr="00723D87">
              <w:rPr>
                <w:b/>
              </w:rPr>
              <w:t>Document C2</w:t>
            </w:r>
            <w:r w:rsidR="00E4448E" w:rsidRPr="00723D87">
              <w:rPr>
                <w:b/>
              </w:rPr>
              <w:t>6</w:t>
            </w:r>
            <w:r w:rsidRPr="00723D87">
              <w:rPr>
                <w:b/>
              </w:rPr>
              <w:t>/</w:t>
            </w:r>
            <w:r w:rsidR="00172D4E" w:rsidRPr="00723D87">
              <w:rPr>
                <w:b/>
              </w:rPr>
              <w:t>86</w:t>
            </w:r>
            <w:r w:rsidRPr="00723D87">
              <w:rPr>
                <w:b/>
              </w:rPr>
              <w:t>-F</w:t>
            </w:r>
          </w:p>
        </w:tc>
      </w:tr>
      <w:tr w:rsidR="00D72F49" w:rsidRPr="00723D87" w14:paraId="4D79558E" w14:textId="77777777" w:rsidTr="00796BDB">
        <w:trPr>
          <w:cantSplit/>
        </w:trPr>
        <w:tc>
          <w:tcPr>
            <w:tcW w:w="3969" w:type="dxa"/>
            <w:vMerge/>
          </w:tcPr>
          <w:p w14:paraId="2D39689B" w14:textId="77777777" w:rsidR="00D72F49" w:rsidRPr="00723D87" w:rsidRDefault="00D72F49" w:rsidP="00796BDB">
            <w:pPr>
              <w:tabs>
                <w:tab w:val="left" w:pos="851"/>
              </w:tabs>
              <w:spacing w:line="240" w:lineRule="atLeast"/>
              <w:rPr>
                <w:b/>
              </w:rPr>
            </w:pPr>
          </w:p>
        </w:tc>
        <w:tc>
          <w:tcPr>
            <w:tcW w:w="5245" w:type="dxa"/>
          </w:tcPr>
          <w:p w14:paraId="0E6ED8A1" w14:textId="04400D6F" w:rsidR="00D72F49" w:rsidRPr="00723D87" w:rsidRDefault="00172D4E" w:rsidP="00796BDB">
            <w:pPr>
              <w:tabs>
                <w:tab w:val="left" w:pos="851"/>
              </w:tabs>
              <w:spacing w:before="0"/>
              <w:jc w:val="right"/>
              <w:rPr>
                <w:b/>
              </w:rPr>
            </w:pPr>
            <w:r w:rsidRPr="00723D87">
              <w:rPr>
                <w:b/>
              </w:rPr>
              <w:t>14 avril 2026</w:t>
            </w:r>
          </w:p>
        </w:tc>
      </w:tr>
      <w:tr w:rsidR="00D72F49" w:rsidRPr="00723D87" w14:paraId="73A1C960" w14:textId="77777777" w:rsidTr="00796BDB">
        <w:trPr>
          <w:cantSplit/>
          <w:trHeight w:val="23"/>
        </w:trPr>
        <w:tc>
          <w:tcPr>
            <w:tcW w:w="3969" w:type="dxa"/>
            <w:vMerge/>
          </w:tcPr>
          <w:p w14:paraId="42D403D9" w14:textId="77777777" w:rsidR="00D72F49" w:rsidRPr="00723D87" w:rsidRDefault="00D72F49" w:rsidP="00796BDB">
            <w:pPr>
              <w:tabs>
                <w:tab w:val="left" w:pos="851"/>
              </w:tabs>
              <w:spacing w:line="240" w:lineRule="atLeast"/>
              <w:rPr>
                <w:b/>
              </w:rPr>
            </w:pPr>
          </w:p>
        </w:tc>
        <w:tc>
          <w:tcPr>
            <w:tcW w:w="5245" w:type="dxa"/>
          </w:tcPr>
          <w:p w14:paraId="5AA47ED0" w14:textId="77777777" w:rsidR="00D72F49" w:rsidRPr="00723D87" w:rsidRDefault="00D72F49" w:rsidP="00796BDB">
            <w:pPr>
              <w:tabs>
                <w:tab w:val="left" w:pos="851"/>
              </w:tabs>
              <w:spacing w:before="0" w:line="240" w:lineRule="atLeast"/>
              <w:jc w:val="right"/>
              <w:rPr>
                <w:b/>
              </w:rPr>
            </w:pPr>
            <w:r w:rsidRPr="00723D87">
              <w:rPr>
                <w:b/>
              </w:rPr>
              <w:t>Original: anglais</w:t>
            </w:r>
          </w:p>
        </w:tc>
      </w:tr>
      <w:tr w:rsidR="00D72F49" w:rsidRPr="00723D87" w14:paraId="201A1703" w14:textId="77777777" w:rsidTr="00796BDB">
        <w:trPr>
          <w:cantSplit/>
          <w:trHeight w:val="23"/>
        </w:trPr>
        <w:tc>
          <w:tcPr>
            <w:tcW w:w="3969" w:type="dxa"/>
          </w:tcPr>
          <w:p w14:paraId="20B76395" w14:textId="77777777" w:rsidR="00D72F49" w:rsidRPr="00723D87" w:rsidRDefault="00D72F49" w:rsidP="00796BDB">
            <w:pPr>
              <w:tabs>
                <w:tab w:val="left" w:pos="851"/>
              </w:tabs>
              <w:spacing w:line="240" w:lineRule="atLeast"/>
              <w:rPr>
                <w:b/>
              </w:rPr>
            </w:pPr>
          </w:p>
        </w:tc>
        <w:tc>
          <w:tcPr>
            <w:tcW w:w="5245" w:type="dxa"/>
          </w:tcPr>
          <w:p w14:paraId="367420C6" w14:textId="77777777" w:rsidR="00D72F49" w:rsidRPr="00723D87" w:rsidRDefault="00D72F49" w:rsidP="00796BDB">
            <w:pPr>
              <w:tabs>
                <w:tab w:val="left" w:pos="851"/>
              </w:tabs>
              <w:spacing w:before="0" w:line="240" w:lineRule="atLeast"/>
              <w:jc w:val="right"/>
              <w:rPr>
                <w:b/>
              </w:rPr>
            </w:pPr>
          </w:p>
        </w:tc>
      </w:tr>
      <w:tr w:rsidR="00D72F49" w:rsidRPr="00723D87" w14:paraId="030A2918" w14:textId="77777777" w:rsidTr="00350FC4">
        <w:trPr>
          <w:cantSplit/>
        </w:trPr>
        <w:tc>
          <w:tcPr>
            <w:tcW w:w="9214" w:type="dxa"/>
            <w:gridSpan w:val="2"/>
            <w:tcMar>
              <w:left w:w="0" w:type="dxa"/>
            </w:tcMar>
          </w:tcPr>
          <w:p w14:paraId="23F181B8" w14:textId="5A5C232F" w:rsidR="00D72F49" w:rsidRPr="00723D87" w:rsidRDefault="00172D4E" w:rsidP="00796BDB">
            <w:pPr>
              <w:pStyle w:val="Source"/>
              <w:jc w:val="left"/>
              <w:rPr>
                <w:sz w:val="34"/>
                <w:szCs w:val="34"/>
              </w:rPr>
            </w:pPr>
            <w:r w:rsidRPr="00723D87">
              <w:rPr>
                <w:rFonts w:cstheme="minorHAnsi"/>
                <w:color w:val="000000"/>
                <w:sz w:val="34"/>
                <w:szCs w:val="34"/>
              </w:rPr>
              <w:t>Contribution de l'Iran (République islamique d')</w:t>
            </w:r>
          </w:p>
        </w:tc>
      </w:tr>
      <w:tr w:rsidR="00D72F49" w:rsidRPr="00723D87" w14:paraId="5439ABD7" w14:textId="77777777" w:rsidTr="00350FC4">
        <w:trPr>
          <w:cantSplit/>
        </w:trPr>
        <w:tc>
          <w:tcPr>
            <w:tcW w:w="9214" w:type="dxa"/>
            <w:gridSpan w:val="2"/>
            <w:tcMar>
              <w:left w:w="0" w:type="dxa"/>
            </w:tcMar>
          </w:tcPr>
          <w:p w14:paraId="37D72881" w14:textId="47F4231C" w:rsidR="00D72F49" w:rsidRPr="00723D87" w:rsidRDefault="00172D4E" w:rsidP="00796BDB">
            <w:pPr>
              <w:pStyle w:val="Subtitle"/>
              <w:framePr w:hSpace="0" w:wrap="auto" w:hAnchor="text" w:xAlign="left" w:yAlign="inline"/>
              <w:rPr>
                <w:sz w:val="32"/>
                <w:szCs w:val="32"/>
                <w:lang w:val="fr-FR"/>
              </w:rPr>
            </w:pPr>
            <w:r w:rsidRPr="00723D87">
              <w:rPr>
                <w:rFonts w:cstheme="minorHAnsi"/>
                <w:sz w:val="32"/>
                <w:szCs w:val="32"/>
                <w:lang w:val="fr-FR"/>
              </w:rPr>
              <w:t>PROPOSITION VISANT À L'ADOPTION D'UNE NOUVELLE RÉSOLUTION DU CONSEIL DE L'UIT SUR L'ASSISTANCE ET L'APPUI À LA RÉPUBLIQUE ISLAMIQUE D'IRAN POUR LA RECONSTRUCTION DE SES SECTEURS DE</w:t>
            </w:r>
            <w:r w:rsidR="00026532" w:rsidRPr="00723D87">
              <w:rPr>
                <w:rFonts w:cstheme="minorHAnsi"/>
                <w:sz w:val="32"/>
                <w:szCs w:val="32"/>
                <w:lang w:val="fr-FR"/>
              </w:rPr>
              <w:t> </w:t>
            </w:r>
            <w:r w:rsidRPr="00723D87">
              <w:rPr>
                <w:rFonts w:cstheme="minorHAnsi"/>
                <w:sz w:val="32"/>
                <w:szCs w:val="32"/>
                <w:lang w:val="fr-FR"/>
              </w:rPr>
              <w:t>LA RADIODIFFUSION ET DES TÉLÉCOMMUNICATIONS/TIC, GRAVEMENT ENDOMMAGÉS PAR DES ACTES D'AGRESSION</w:t>
            </w:r>
          </w:p>
        </w:tc>
      </w:tr>
      <w:tr w:rsidR="00D72F49" w:rsidRPr="00723D87" w14:paraId="498F65C7" w14:textId="77777777" w:rsidTr="00796BDB">
        <w:trPr>
          <w:cantSplit/>
        </w:trPr>
        <w:tc>
          <w:tcPr>
            <w:tcW w:w="9214" w:type="dxa"/>
            <w:gridSpan w:val="2"/>
            <w:tcBorders>
              <w:top w:val="single" w:sz="4" w:space="0" w:color="auto"/>
              <w:bottom w:val="single" w:sz="4" w:space="0" w:color="auto"/>
            </w:tcBorders>
            <w:tcMar>
              <w:left w:w="0" w:type="dxa"/>
            </w:tcMar>
          </w:tcPr>
          <w:p w14:paraId="438232D1" w14:textId="77777777" w:rsidR="00D72F49" w:rsidRPr="00723D87" w:rsidRDefault="00F37FE5" w:rsidP="00796BDB">
            <w:pPr>
              <w:spacing w:before="160"/>
              <w:rPr>
                <w:b/>
                <w:bCs/>
                <w:sz w:val="26"/>
                <w:szCs w:val="26"/>
              </w:rPr>
            </w:pPr>
            <w:r w:rsidRPr="00723D87">
              <w:rPr>
                <w:b/>
                <w:bCs/>
                <w:sz w:val="26"/>
                <w:szCs w:val="26"/>
              </w:rPr>
              <w:t>Objet</w:t>
            </w:r>
          </w:p>
          <w:p w14:paraId="74E4625A" w14:textId="64F1BFD8" w:rsidR="00D72F49" w:rsidRPr="00723D87" w:rsidRDefault="00A86847" w:rsidP="00796BDB">
            <w:r w:rsidRPr="00723D87">
              <w:t xml:space="preserve">L'Administration de la République islamique d'Iran soumet la présente proposition concernant l'examen et l'adoption d'une </w:t>
            </w:r>
            <w:r w:rsidR="00C534D0" w:rsidRPr="00723D87">
              <w:t>R</w:t>
            </w:r>
            <w:r w:rsidRPr="00723D87">
              <w:t>ésolution du Conseil de l'UIT visant à fournir une assistance et un appui à la République islamique d'Iran pour la reconstruction de ses secteurs de la radiodiffusion et des télécommunications/TIC, qui ont subi d'importants dommages consécutivement à des actes d'agression.</w:t>
            </w:r>
          </w:p>
          <w:p w14:paraId="789DFC25" w14:textId="77777777" w:rsidR="00D72F49" w:rsidRPr="00723D87" w:rsidRDefault="00D72F49" w:rsidP="00796BDB">
            <w:pPr>
              <w:spacing w:before="160"/>
              <w:rPr>
                <w:b/>
                <w:bCs/>
                <w:sz w:val="26"/>
                <w:szCs w:val="26"/>
              </w:rPr>
            </w:pPr>
            <w:r w:rsidRPr="00723D87">
              <w:rPr>
                <w:b/>
                <w:bCs/>
                <w:sz w:val="26"/>
                <w:szCs w:val="26"/>
              </w:rPr>
              <w:t>Suite à donner par le Conseil</w:t>
            </w:r>
          </w:p>
          <w:p w14:paraId="5FDF158B" w14:textId="7781F902" w:rsidR="00D72F49" w:rsidRPr="00723D87" w:rsidRDefault="00A86847" w:rsidP="00796BDB">
            <w:r w:rsidRPr="00723D87">
              <w:t>Le Conseil est invité à</w:t>
            </w:r>
            <w:r w:rsidRPr="00723D87">
              <w:rPr>
                <w:b/>
                <w:bCs/>
              </w:rPr>
              <w:t xml:space="preserve"> examiner</w:t>
            </w:r>
            <w:r w:rsidRPr="00723D87">
              <w:t xml:space="preserve"> et à </w:t>
            </w:r>
            <w:r w:rsidRPr="00723D87">
              <w:rPr>
                <w:b/>
                <w:bCs/>
              </w:rPr>
              <w:t>adopter</w:t>
            </w:r>
            <w:r w:rsidRPr="00723D87">
              <w:t xml:space="preserve"> la proposition de Résolution du Conseil de l'UIT.</w:t>
            </w:r>
          </w:p>
          <w:p w14:paraId="06D98AC0" w14:textId="77777777" w:rsidR="00D72F49" w:rsidRPr="00723D87" w:rsidRDefault="00D72F49" w:rsidP="00796BDB">
            <w:pPr>
              <w:spacing w:before="160"/>
              <w:rPr>
                <w:caps/>
                <w:sz w:val="22"/>
              </w:rPr>
            </w:pPr>
            <w:r w:rsidRPr="00723D87">
              <w:rPr>
                <w:sz w:val="22"/>
              </w:rPr>
              <w:t>__________________</w:t>
            </w:r>
          </w:p>
          <w:p w14:paraId="62ACA5F0" w14:textId="77777777" w:rsidR="00D72F49" w:rsidRPr="00723D87" w:rsidRDefault="00D72F49" w:rsidP="00796BDB">
            <w:pPr>
              <w:spacing w:before="160"/>
              <w:rPr>
                <w:b/>
                <w:bCs/>
                <w:sz w:val="26"/>
                <w:szCs w:val="26"/>
              </w:rPr>
            </w:pPr>
            <w:r w:rsidRPr="00723D87">
              <w:rPr>
                <w:b/>
                <w:bCs/>
                <w:sz w:val="26"/>
                <w:szCs w:val="26"/>
              </w:rPr>
              <w:t>Références</w:t>
            </w:r>
          </w:p>
          <w:p w14:paraId="1466DF40" w14:textId="64A3BAAB" w:rsidR="00D72F49" w:rsidRPr="00723D87" w:rsidRDefault="00A86847" w:rsidP="00CE5172">
            <w:pPr>
              <w:pStyle w:val="Referencetext"/>
              <w:framePr w:hSpace="0" w:wrap="auto" w:vAnchor="margin" w:hAnchor="text" w:xAlign="left" w:yAlign="inline"/>
            </w:pPr>
            <w:r w:rsidRPr="00723D87">
              <w:rPr>
                <w:sz w:val="24"/>
                <w:szCs w:val="24"/>
              </w:rPr>
              <w:t xml:space="preserve">Document </w:t>
            </w:r>
            <w:hyperlink r:id="rId7" w:history="1">
              <w:r w:rsidRPr="00723D87">
                <w:rPr>
                  <w:rStyle w:val="Hyperlink"/>
                  <w:rFonts w:eastAsia="Times New Roman" w:cs="Times New Roman"/>
                  <w:sz w:val="24"/>
                  <w:szCs w:val="24"/>
                </w:rPr>
                <w:t>C26/35</w:t>
              </w:r>
            </w:hyperlink>
            <w:r w:rsidRPr="00723D87">
              <w:rPr>
                <w:sz w:val="24"/>
                <w:szCs w:val="24"/>
              </w:rPr>
              <w:t xml:space="preserve"> du Conseil</w:t>
            </w:r>
          </w:p>
        </w:tc>
      </w:tr>
    </w:tbl>
    <w:p w14:paraId="49CBACD1" w14:textId="77777777" w:rsidR="00A51849" w:rsidRPr="00723D87" w:rsidRDefault="00A51849">
      <w:pPr>
        <w:tabs>
          <w:tab w:val="clear" w:pos="567"/>
          <w:tab w:val="clear" w:pos="1134"/>
          <w:tab w:val="clear" w:pos="1701"/>
          <w:tab w:val="clear" w:pos="2268"/>
          <w:tab w:val="clear" w:pos="2835"/>
        </w:tabs>
        <w:overflowPunct/>
        <w:autoSpaceDE/>
        <w:autoSpaceDN/>
        <w:adjustRightInd/>
        <w:spacing w:before="0"/>
        <w:textAlignment w:val="auto"/>
      </w:pPr>
      <w:r w:rsidRPr="00723D87">
        <w:br w:type="page"/>
      </w:r>
    </w:p>
    <w:p w14:paraId="7D18F634" w14:textId="77777777" w:rsidR="00A86847" w:rsidRPr="00723D87" w:rsidRDefault="00A86847" w:rsidP="00A86847">
      <w:pPr>
        <w:pStyle w:val="Headingb"/>
      </w:pPr>
      <w:r w:rsidRPr="00723D87">
        <w:lastRenderedPageBreak/>
        <w:t>Introduction</w:t>
      </w:r>
    </w:p>
    <w:p w14:paraId="41AA2A4B" w14:textId="313205BE" w:rsidR="00A86847" w:rsidRPr="00723D87" w:rsidRDefault="00A86847" w:rsidP="007F53A9">
      <w:r w:rsidRPr="00723D87">
        <w:t xml:space="preserve">L'Administration de la République islamique d'Iran soumet la présente proposition concernant l'examen et de l'adoption d'une </w:t>
      </w:r>
      <w:r w:rsidR="00C534D0" w:rsidRPr="00723D87">
        <w:t>R</w:t>
      </w:r>
      <w:r w:rsidRPr="00723D87">
        <w:t>ésolution du Conseil de l'UIT visant à fournir une assistance et un appui à la République islamique d'Iran pour la reconstruction de ses secteurs de la radiodiffusion et des télécommunications/TIC, qui ont subi d'important dommages consécutivement à des actes d'agression.</w:t>
      </w:r>
    </w:p>
    <w:p w14:paraId="38254D66" w14:textId="5472C7B9" w:rsidR="00A86847" w:rsidRPr="00723D87" w:rsidRDefault="00A86847" w:rsidP="007F53A9">
      <w:r w:rsidRPr="00723D87">
        <w:t>Les réseaux publics de radiodiffusion jouent un rôle essentiel en diffusant l'information de sécurité civile aux populations en temps normal et dans les situations de crise. En temps normal, les services publics de radiodiffusion informent le public des alertes météorologiques, des avis de santé, des catastrophes naturelles et d'autres annonces relatives à la sécurité. En temps de guerre ou dans les situations d'urgence graves, leur rôle devient plus important encore; ils transmettent les instructions autorisées concernant l'évacuation, les abris, les perturbations causées aux infrastructures et les alertes de sécurité nationale, ce qui aide à empêcher la panique et à coordonner les interventions de sécurité civile.</w:t>
      </w:r>
    </w:p>
    <w:p w14:paraId="0A1706D8" w14:textId="251A4549" w:rsidR="00A86847" w:rsidRPr="00723D87" w:rsidRDefault="00A86847" w:rsidP="007F53A9">
      <w:r w:rsidRPr="00723D87">
        <w:t>La préservation des réseaux publics de radiodiffusion et de télécommunication/TIC devrait être considérée comme un principe fondamental pour les sociétés humaines. Tout acte d'hostilité dirigé contre ces infrastructures publiques de communication peut porter gravement atteinte aux normes du droit international humanitaire, en particulier lorsqu'il perturbe la diffusion auprès de la population civile d'informations de sécurité et d'urgence essentielles.</w:t>
      </w:r>
    </w:p>
    <w:p w14:paraId="306E3635" w14:textId="77777777" w:rsidR="00A86847" w:rsidRPr="00723D87" w:rsidRDefault="00A86847" w:rsidP="007F53A9">
      <w:r w:rsidRPr="00723D87">
        <w:t>Depuis le 28 février 2026, des attaques militaires violentes et non provoquées, consécutives à des actes d'agression du régime israélien et des États-Unis d'Amérique, ont gravement endommagé les installations civiles de radiodiffusion et de télécommunication. Ces incidents ont détruit des équipements de transmission essentiels, perturbé à l'échelle nationale l'accès aux services d'information essentiels, et causé des pertes en vies humaines dans le secteur de l'audiovisuel et des médias.</w:t>
      </w:r>
    </w:p>
    <w:p w14:paraId="0F224967" w14:textId="77777777" w:rsidR="00A86847" w:rsidRPr="00723D87" w:rsidRDefault="00A86847" w:rsidP="007F53A9">
      <w:r w:rsidRPr="00723D87">
        <w:t>À titre d'information pour appuyer la présente proposition, la République islamique d'Iran rend compte officiellement des incidents majeurs suivants qui ont atteint ses infrastructures de radiodiffusion nationales.</w:t>
      </w:r>
    </w:p>
    <w:p w14:paraId="3166A619" w14:textId="77777777" w:rsidR="00A86847" w:rsidRPr="00723D87" w:rsidRDefault="00A86847" w:rsidP="00A86847">
      <w:pPr>
        <w:pStyle w:val="Headingb"/>
      </w:pPr>
      <w:r w:rsidRPr="00723D87">
        <w:t>Dommages causés aux stations terriennes de radiodiffusion par satellite</w:t>
      </w:r>
    </w:p>
    <w:p w14:paraId="49FED0F7" w14:textId="386648FC" w:rsidR="00A86847" w:rsidRPr="00723D87" w:rsidRDefault="00A86847" w:rsidP="00A86847">
      <w:r w:rsidRPr="00723D87">
        <w:t>Plusieurs stations terriennes de satellite utilisées comme liaison de connexion pour la radiodiffusion ont été entièrement détruites. Parmi ces installations, on mentionnera des antennes de grand diamètre (4,5 m; 9 m; 11 m et 13 m), avec les équipements correspondants: chaînes RF, systèmes en bande de base, plate</w:t>
      </w:r>
      <w:r w:rsidR="0091744B" w:rsidRPr="00723D87">
        <w:t>s-</w:t>
      </w:r>
      <w:r w:rsidRPr="00723D87">
        <w:t>formes de contrôle et systèmes d'alimentation ainsi que le centre d'exploitation et de maintenance assurant la gestion et la supervision des fonctions des stations terriennes.</w:t>
      </w:r>
    </w:p>
    <w:p w14:paraId="4FA3834C" w14:textId="6A5A6F41" w:rsidR="00A86847" w:rsidRPr="00723D87" w:rsidRDefault="00A86847" w:rsidP="00A86847">
      <w:r w:rsidRPr="00723D87">
        <w:t>Une évaluation menée préalablement à la rédaction du présent document indique que plus de 30 complexes de stations terriennes ont été détruits et rendus inexploitables. Le coût de la remise en état des équipements techniques de ces stations a été estimé à plus de 45 millions USD, hors coût de la reconstruction des bâtiments, des travaux de génie civil et des infrastructures connexes, qui devront faire l'objet d'une évaluation distincte et plus détaillée.</w:t>
      </w:r>
    </w:p>
    <w:p w14:paraId="4EF0E635" w14:textId="5EF2063C" w:rsidR="00A86847" w:rsidRPr="00723D87" w:rsidRDefault="00A86847" w:rsidP="007F53A9">
      <w:pPr>
        <w:pStyle w:val="Headingb"/>
      </w:pPr>
      <w:r w:rsidRPr="00723D87">
        <w:lastRenderedPageBreak/>
        <w:t>Dommages causés aux réseaux de radiodiffusion de Terre (modulation d'amplitude, modulation de fréquence, télévision) et aux liaisons connexes de télécommunication et de raccordement</w:t>
      </w:r>
    </w:p>
    <w:p w14:paraId="0ABC52CD" w14:textId="77777777" w:rsidR="00A86847" w:rsidRPr="00723D87" w:rsidRDefault="00A86847" w:rsidP="007F53A9">
      <w:r w:rsidRPr="00723D87">
        <w:t>Les infrastructures nationales de radiodiffusion de Terre ont aussi été largement prises pour cible. Cela concerne des stations de radiodiffusion en modulation d'amplitude d'une puissance d'émission allant jusqu'à 400 kW, ainsi que des stations de radiodiffusion en modulation de fréquence et de radiodiffusion télévisuelle numérique en ondes métriques et décimétriques d'une puissance d'émission allant jusqu'à 10 kW.</w:t>
      </w:r>
    </w:p>
    <w:p w14:paraId="75C14A40" w14:textId="21ACC635" w:rsidR="00A86847" w:rsidRPr="00723D87" w:rsidRDefault="00A86847" w:rsidP="007F53A9">
      <w:pPr>
        <w:rPr>
          <w:spacing w:val="-2"/>
        </w:rPr>
      </w:pPr>
      <w:r w:rsidRPr="00723D87">
        <w:rPr>
          <w:spacing w:val="-2"/>
        </w:rPr>
        <w:t>Les évaluations menées préalablement à la rédaction du présent document indiquent que plus de 31 stations de radiodiffusion de Terre ont subi des dommages importants, ce qui entraîné une perte de service pour plus de 15 millions de personnes qui ont été privées d'accès aux informations publiques en temps réel et aux services essentiels de radiodiffusion d'urgence.</w:t>
      </w:r>
    </w:p>
    <w:p w14:paraId="134A79E8" w14:textId="1B83AA10" w:rsidR="00A86847" w:rsidRPr="00723D87" w:rsidRDefault="00A86847" w:rsidP="007F53A9">
      <w:r w:rsidRPr="00723D87">
        <w:t>Outre les dommages causés aux installations d'émission en modulation d'amplitude, en modulation de fréquence et en ondes métriques et décimétriques, les évaluations ont constaté des destructions subies par les réseaux de raccordement qui appuient ces stations de Terre. Cela concerne des liaisons de raccordement par micro-ondes ainsi que des liaisons par fibre optique utilisées pour la contribution et la distribution de programmes. Plus</w:t>
      </w:r>
      <w:r w:rsidR="00DC3EBA" w:rsidRPr="00723D87">
        <w:t xml:space="preserve"> </w:t>
      </w:r>
      <w:r w:rsidRPr="00723D87">
        <w:t>de</w:t>
      </w:r>
      <w:r w:rsidR="00DC3EBA" w:rsidRPr="00723D87">
        <w:t xml:space="preserve"> </w:t>
      </w:r>
      <w:r w:rsidRPr="00723D87">
        <w:t>20</w:t>
      </w:r>
      <w:r w:rsidR="0091744B" w:rsidRPr="00723D87">
        <w:t> </w:t>
      </w:r>
      <w:r w:rsidRPr="00723D87">
        <w:t>systèmes de liaison par micro-ondes ont été rendus inexploitables. Les dommages causés à ces systèmes de raccordement et de connexion ont perturbé d'autant plus la connectivité nécessaire au rétablissement des services de radiodiffusion dans les régions touchées.</w:t>
      </w:r>
    </w:p>
    <w:p w14:paraId="2B33681D" w14:textId="77777777" w:rsidR="00A86847" w:rsidRPr="00723D87" w:rsidRDefault="00A86847" w:rsidP="007F53A9">
      <w:r w:rsidRPr="00723D87">
        <w:t>Le coût de remplacement des équipements techniques de ces installations de Terre a été estimé à plus de 30 millions USD, hors coût des bâtiments et des éléments structurels, non couverts par cette évaluation initiale.</w:t>
      </w:r>
    </w:p>
    <w:p w14:paraId="6E2DE82A" w14:textId="77777777" w:rsidR="00A86847" w:rsidRPr="00723D87" w:rsidRDefault="00A86847" w:rsidP="0091744B">
      <w:pPr>
        <w:pStyle w:val="Headingb"/>
      </w:pPr>
      <w:r w:rsidRPr="00723D87">
        <w:t>Dommages causés aux infrastructures de TIC nationales</w:t>
      </w:r>
    </w:p>
    <w:p w14:paraId="723085F8" w14:textId="38904638" w:rsidR="00A86847" w:rsidRPr="00723D87" w:rsidRDefault="00A86847" w:rsidP="007F53A9">
      <w:r w:rsidRPr="00723D87">
        <w:t>Ces actes d'agression ont endommagé les infrastructures de télécommunication, les réseaux de télécommunication et les centres de contrôle des TIC du pays. Ces attaques, parallèlement à des cyberattaques, ont visé délibérément les infrastructures de TIC du pays, principal support de communication et plate</w:t>
      </w:r>
      <w:r w:rsidR="00DC3EBA" w:rsidRPr="00723D87">
        <w:t>-</w:t>
      </w:r>
      <w:r w:rsidRPr="00723D87">
        <w:t>forme d'importance vitale pour informer et protéger la population.</w:t>
      </w:r>
    </w:p>
    <w:p w14:paraId="4A907EE4" w14:textId="3BE6F552" w:rsidR="00A86847" w:rsidRPr="00723D87" w:rsidRDefault="00A86847" w:rsidP="007F53A9">
      <w:r w:rsidRPr="00723D87">
        <w:t>Les coûts de remplacement des équipements techniques de ces installations ainsi que les coûts des bâtiments et des éléments structurels sont actuellement en cours d'évaluation.</w:t>
      </w:r>
    </w:p>
    <w:p w14:paraId="2460DE27" w14:textId="0373D464" w:rsidR="00A86847" w:rsidRPr="00723D87" w:rsidRDefault="00A86847" w:rsidP="0091744B">
      <w:pPr>
        <w:pStyle w:val="Headingb"/>
      </w:pPr>
      <w:r w:rsidRPr="00723D87">
        <w:t>Actes d'agression antérieurs contre les infrastructures de radiodiffusion</w:t>
      </w:r>
    </w:p>
    <w:p w14:paraId="10531324" w14:textId="4441E84D" w:rsidR="007F53A9" w:rsidRPr="00723D87" w:rsidRDefault="00A86847" w:rsidP="007F53A9">
      <w:r w:rsidRPr="00723D87">
        <w:t>La République islamique d'Iran souhaite porter à l'attention du Conseil les actes d'agression antérieurs, en date de juin 2025, qui ont visé ses infrastructures de radiodiffusion vitales. Pendant ces événements antérieurs, le siège de l'organisme national de radiodiffusion, vaste complexe abritant des infrastructures étendues de technologie de l'information et de la communication (TIC), des salles de rédaction d'importance critique et des studios de production, tous indispensables à l'information du public, aux communications d'urgence et à la continuité des services — a subi des attaques destructrices. Cet incident, qui a tragiquement coûté la vie à deux professionnels des médias, Nima Rajabpour et Masoumeh</w:t>
      </w:r>
      <w:r w:rsidR="0091744B" w:rsidRPr="00723D87">
        <w:t> </w:t>
      </w:r>
      <w:r w:rsidRPr="00723D87">
        <w:t xml:space="preserve">Azimi, a été condamné par le Directeur général de l'UNESCO. Il partage des caractéristiques techniques avec les attaques plus récentes, ce qui indique une volonté de </w:t>
      </w:r>
      <w:r w:rsidR="007F53A9" w:rsidRPr="00723D87">
        <w:br w:type="page"/>
      </w:r>
    </w:p>
    <w:p w14:paraId="3337322B" w14:textId="650BCA0C" w:rsidR="00A86847" w:rsidRPr="00723D87" w:rsidRDefault="00A86847" w:rsidP="007F53A9">
      <w:r w:rsidRPr="00723D87">
        <w:t>destruction ciblant les moyens de radiodiffusion et de télécommunication de l'Iran. Il importe de noter que lors des attaques plus récentes, le siège de l'organisme national de radiodiffusion a de nouveau été pris pour cible, ce qui s'est soldé par des destructions importantes.</w:t>
      </w:r>
    </w:p>
    <w:p w14:paraId="678C77B5" w14:textId="77777777" w:rsidR="00A86847" w:rsidRPr="00723D87" w:rsidRDefault="00A86847" w:rsidP="0091744B">
      <w:pPr>
        <w:pStyle w:val="Headingb"/>
      </w:pPr>
      <w:r w:rsidRPr="00723D87">
        <w:t>Perturbation des services de radiodiffusion</w:t>
      </w:r>
    </w:p>
    <w:p w14:paraId="12D93DAA" w14:textId="450F9E58" w:rsidR="00A86847" w:rsidRPr="00723D87" w:rsidRDefault="00A86847" w:rsidP="007F53A9">
      <w:r w:rsidRPr="00723D87">
        <w:t>À la suite des attaques armées, la République islamique d'Iran a connu de graves perturbations de ses services de radiodiffusion par satellite et en ondes moyennes en raison de brouillages radioélectriques délibérés. Dans certains cas, les attaques ont combiné des brouillages radioélectriques et des cyberattaques en vue de remplacer des contenus vidéo et audio sensibles. Notre expérience en tant que victime de brouillages satellitaires, dès avant le conflit militaire actuel, montre que le règlement de ces cas de brouillage dépend principalement de deux facteurs: d'une part, la volonté de l'opérateur de satellite de communiquer les informations de géolocalisation, et d'autre part, la coopération de l'administration ayant notifié les assignations de fréquence de satellite pour déclarer l'incident au Système de notification et de règlement des cas de brouillages causés par les systèmes à satellites (SIRRS) de l'UIT. Les nombreux cas subis par l'Iran et l'échec répété à identifier, contrer et régler ces cas de brouillage donne à penser que l'efficacité de ces deux</w:t>
      </w:r>
      <w:r w:rsidR="0091744B" w:rsidRPr="00723D87">
        <w:t> </w:t>
      </w:r>
      <w:r w:rsidRPr="00723D87">
        <w:t>processus est subordonnée à des facteurs non techniques et d'ordre politique. Dans une affaire récente, l'Iran a été contraint de demander la suspension d'un répéteur de satellite qu'il loue à bail pour empêcher la diffusion de contenus sensibles, ce qui a entraîné la cessation de ses propres diffusions autorisées et privé des millions de ses ressortissants d'informations essentielles, surtout pendant un conflit armé. Cette situation représente une grave menace non seulement pour l'Iran, mais aussi pour l'intégrité des services mondiaux par satellite, et illustre comment de telles perturbations peuvent compromettre l'accès à des informations essentielles partout dans le monde. Il est donc urgent de disposer d'un nouveau cadre de l'UIT pour traiter efficacement les cas de brouillage causés à des satellites, en particulier les menaces émergentes consistant à insérer des contenus vidéo non autorisés dans les signaux de diffusion.</w:t>
      </w:r>
    </w:p>
    <w:p w14:paraId="331F4D3E" w14:textId="77777777" w:rsidR="00A86847" w:rsidRPr="00723D87" w:rsidRDefault="00A86847" w:rsidP="007F53A9">
      <w:r w:rsidRPr="00723D87">
        <w:t>Par ailleurs, des émissions radioélectriques non autorisées en ondes moyennes provenant de territoires voisins ont été détectées, qui visent à fournir des services de radiodiffusion sur le territoire de la République islamique d'Iran dans le but manifeste de déstabiliser la société. D'après notre expérience de la présentation au Bureau de rapports de brouillage établis selon les modèles pertinents (Appendices 9 et 10), aucune mesure opérationnelle efficace n'a été prise pour mettre fin à ces émissions en ondes moyennes non autorisées.</w:t>
      </w:r>
    </w:p>
    <w:p w14:paraId="52E31CFD" w14:textId="7121E768" w:rsidR="00A86847" w:rsidRPr="00723D87" w:rsidRDefault="00A86847" w:rsidP="007F53A9">
      <w:r w:rsidRPr="00723D87">
        <w:t>Tous les actes illicites susmentionnés, y compris les actes d'agression militaire passés et récents dirigés contre les infrastructures de radiodiffusion et les infrastructures de télécommunication connexes, les actes délibérés de brouillage de la radiodiffusion par satellite et la fourniture de services non autorisés sur le territoire iranien depuis le territoire de pays voisins, constituent un manquement grave aux principes de sécurité et de continuité défendus par l'Union. Ces actes portent également atteinte au droit souverain de l'Iran d'administrer ses services de télécommunication sur son territoire. Il en est résulté d'importantes conséquences néfastes pour l'accès de la population aux services de communication essentiels, pour la sécurité humaine et pour le bien-être public.</w:t>
      </w:r>
    </w:p>
    <w:p w14:paraId="38BFB75F" w14:textId="251FDCCA" w:rsidR="0091744B" w:rsidRPr="00723D87" w:rsidRDefault="00A86847" w:rsidP="007F53A9">
      <w:pPr>
        <w:keepLines/>
      </w:pPr>
      <w:r w:rsidRPr="00723D87">
        <w:t>Il est donc jugé essentiel que cette résolution soit adoptée, pour répondre dans l'immédiat et à moyen et à long terme aux besoins de reconstruction nés de cette agression, améliorer la résilience des systèmes touchés, et promouvoir le relèvement du secteur du numérique et le développement durable.</w:t>
      </w:r>
      <w:r w:rsidR="0091744B" w:rsidRPr="00723D87">
        <w:br w:type="page"/>
      </w:r>
    </w:p>
    <w:p w14:paraId="62B6E567" w14:textId="77777777" w:rsidR="00A86847" w:rsidRPr="00723D87" w:rsidRDefault="00A86847" w:rsidP="0091744B">
      <w:pPr>
        <w:pStyle w:val="ResNo"/>
      </w:pPr>
      <w:r w:rsidRPr="00723D87">
        <w:t>PROJET DE NOUVELLE RÉSOLUTION […]</w:t>
      </w:r>
    </w:p>
    <w:p w14:paraId="1D8B7DC8" w14:textId="229D1730" w:rsidR="00A86847" w:rsidRPr="00723D87" w:rsidRDefault="00A86847" w:rsidP="0091744B">
      <w:pPr>
        <w:pStyle w:val="Restitle"/>
      </w:pPr>
      <w:r w:rsidRPr="00723D87">
        <w:t>Assistance et appui à la République islamique d'Iran pour</w:t>
      </w:r>
      <w:r w:rsidR="0091744B" w:rsidRPr="00723D87">
        <w:br/>
      </w:r>
      <w:r w:rsidRPr="00723D87">
        <w:t>la</w:t>
      </w:r>
      <w:r w:rsidR="0091744B" w:rsidRPr="00723D87">
        <w:t xml:space="preserve"> </w:t>
      </w:r>
      <w:r w:rsidRPr="00723D87">
        <w:t>reconstruction</w:t>
      </w:r>
      <w:r w:rsidR="0091744B" w:rsidRPr="00723D87">
        <w:t xml:space="preserve"> </w:t>
      </w:r>
      <w:r w:rsidRPr="00723D87">
        <w:t>de ses secteurs de la radiodiffusion</w:t>
      </w:r>
      <w:r w:rsidR="0091744B" w:rsidRPr="00723D87">
        <w:br/>
      </w:r>
      <w:r w:rsidRPr="00723D87">
        <w:t>et</w:t>
      </w:r>
      <w:r w:rsidR="0091744B" w:rsidRPr="00723D87">
        <w:t xml:space="preserve"> </w:t>
      </w:r>
      <w:r w:rsidRPr="00723D87">
        <w:t>des télécommunications/TIC, gravement</w:t>
      </w:r>
      <w:r w:rsidR="0091744B" w:rsidRPr="00723D87">
        <w:br/>
      </w:r>
      <w:r w:rsidRPr="00723D87">
        <w:t>endommagés par des actes d'agression</w:t>
      </w:r>
    </w:p>
    <w:p w14:paraId="0B652193" w14:textId="77777777" w:rsidR="00A86847" w:rsidRPr="00723D87" w:rsidRDefault="00A86847" w:rsidP="0091744B">
      <w:pPr>
        <w:pStyle w:val="Normalaftertitle"/>
      </w:pPr>
      <w:r w:rsidRPr="00723D87">
        <w:t>Le Conseil de l'UIT,</w:t>
      </w:r>
    </w:p>
    <w:p w14:paraId="41C5B58E" w14:textId="77777777" w:rsidR="00A86847" w:rsidRPr="00723D87" w:rsidRDefault="00A86847" w:rsidP="0091744B">
      <w:pPr>
        <w:pStyle w:val="Call"/>
      </w:pPr>
      <w:r w:rsidRPr="00723D87">
        <w:t>rappelant</w:t>
      </w:r>
    </w:p>
    <w:p w14:paraId="58D2E86B" w14:textId="77777777" w:rsidR="00A86847" w:rsidRPr="00723D87" w:rsidRDefault="00A86847" w:rsidP="00A86847">
      <w:r w:rsidRPr="00723D87">
        <w:rPr>
          <w:i/>
          <w:iCs/>
        </w:rPr>
        <w:t>a)</w:t>
      </w:r>
      <w:r w:rsidRPr="00723D87">
        <w:tab/>
        <w:t>les principes et objectifs de la Charte des Nations Unies et de la Déclaration universelle des droits de l'homme, qui interdisent l'emploi de la force contre la souveraineté et l'intégrité territoriale de tout État;</w:t>
      </w:r>
    </w:p>
    <w:p w14:paraId="2E2B36ED" w14:textId="7E226A08" w:rsidR="00A86847" w:rsidRPr="00723D87" w:rsidRDefault="00A86847" w:rsidP="00A86847">
      <w:r w:rsidRPr="00723D87">
        <w:rPr>
          <w:i/>
          <w:iCs/>
        </w:rPr>
        <w:t>b)</w:t>
      </w:r>
      <w:r w:rsidRPr="00723D87">
        <w:tab/>
        <w:t>les buts de l'UIT, tels qu'ils sont énoncés dans sa Constitution et sa Convention;</w:t>
      </w:r>
    </w:p>
    <w:p w14:paraId="4AE6E4B5" w14:textId="77777777" w:rsidR="00A86847" w:rsidRPr="00723D87" w:rsidRDefault="00A86847" w:rsidP="00A86847">
      <w:r w:rsidRPr="00723D87">
        <w:rPr>
          <w:i/>
          <w:iCs/>
        </w:rPr>
        <w:t>c)</w:t>
      </w:r>
      <w:r w:rsidRPr="00723D87">
        <w:tab/>
        <w:t>la responsabilité qui incombe à l'Union d'améliorer les services de télécommunication;</w:t>
      </w:r>
    </w:p>
    <w:p w14:paraId="16E0DFF4" w14:textId="77777777" w:rsidR="00A86847" w:rsidRPr="00723D87" w:rsidRDefault="00A86847" w:rsidP="00A86847">
      <w:r w:rsidRPr="00723D87">
        <w:rPr>
          <w:i/>
          <w:iCs/>
        </w:rPr>
        <w:t>d)</w:t>
      </w:r>
      <w:r w:rsidRPr="00723D87">
        <w:tab/>
        <w:t>la Résolution 34 (Rév. Dubaï, 2018) de la Conférence de plénipotentiaires relative à l'assistance et à l'appui aux pays ayant des besoins spéciaux pour la reconstruction de leur secteur des télécommunications,</w:t>
      </w:r>
    </w:p>
    <w:p w14:paraId="4BFC5235" w14:textId="77777777" w:rsidR="00A86847" w:rsidRPr="00723D87" w:rsidRDefault="00A86847" w:rsidP="0091744B">
      <w:pPr>
        <w:pStyle w:val="Call"/>
      </w:pPr>
      <w:r w:rsidRPr="00723D87">
        <w:t>rappelant en outre</w:t>
      </w:r>
    </w:p>
    <w:p w14:paraId="29EA886F" w14:textId="787E5AB6" w:rsidR="00A86847" w:rsidRPr="00723D87" w:rsidRDefault="00A86847" w:rsidP="00A86847">
      <w:r w:rsidRPr="00723D87">
        <w:rPr>
          <w:i/>
          <w:iCs/>
        </w:rPr>
        <w:t>a)</w:t>
      </w:r>
      <w:r w:rsidRPr="00723D87">
        <w:tab/>
        <w:t>les cadres internationaux pertinents, notamment les Conventions de Genève et leur Protocole additionnel I (</w:t>
      </w:r>
      <w:r w:rsidR="00350FC4" w:rsidRPr="00723D87">
        <w:t>a</w:t>
      </w:r>
      <w:r w:rsidRPr="00723D87">
        <w:t xml:space="preserve">rticles 48, 51, 52, 57 et 79), les </w:t>
      </w:r>
      <w:r w:rsidR="00733660" w:rsidRPr="00723D87">
        <w:t>R</w:t>
      </w:r>
      <w:r w:rsidRPr="00723D87">
        <w:t xml:space="preserve">ésolutions 2131 (XX) et 3314 (XXIX) de l'Assemblée générale des Nations Unies, sur l'agression, et les </w:t>
      </w:r>
      <w:r w:rsidR="00733660" w:rsidRPr="00723D87">
        <w:t>R</w:t>
      </w:r>
      <w:r w:rsidRPr="00723D87">
        <w:t>ésolutions 1738 (2006) et</w:t>
      </w:r>
      <w:r w:rsidR="00733660" w:rsidRPr="00723D87">
        <w:t> </w:t>
      </w:r>
      <w:r w:rsidRPr="00723D87">
        <w:t>2222 (2015) du Conseil de sécurité des Nations Unies, concernant la protection des médias, outre les normes des droits de l'homme consacrées par le Pacte international relatif aux droits civils et politiques (</w:t>
      </w:r>
      <w:r w:rsidR="00350FC4" w:rsidRPr="00723D87">
        <w:t>a</w:t>
      </w:r>
      <w:r w:rsidRPr="00723D87">
        <w:t>rticles 6 et 19) et la Déclaration universelle des droits de l'homme (</w:t>
      </w:r>
      <w:r w:rsidR="00350FC4" w:rsidRPr="00723D87">
        <w:t>a</w:t>
      </w:r>
      <w:r w:rsidRPr="00723D87">
        <w:t>rticle 19), et les articles de la Commission du droit international sur la responsabilité de l'État (</w:t>
      </w:r>
      <w:r w:rsidR="00350FC4" w:rsidRPr="00723D87">
        <w:t>a</w:t>
      </w:r>
      <w:r w:rsidRPr="00723D87">
        <w:t>rticles 31 et 34), ainsi que les principes fondamentaux de l'Union internationale des télécommunications concernant les infrastructures de communication;</w:t>
      </w:r>
    </w:p>
    <w:p w14:paraId="2580C140" w14:textId="77777777" w:rsidR="00A86847" w:rsidRPr="00723D87" w:rsidRDefault="00A86847" w:rsidP="00A86847">
      <w:r w:rsidRPr="00723D87">
        <w:rPr>
          <w:i/>
          <w:iCs/>
        </w:rPr>
        <w:t>b)</w:t>
      </w:r>
      <w:r w:rsidRPr="00723D87">
        <w:tab/>
        <w:t>la Résolution 136 (Rév. Bucarest, 2022) de la Conférence de plénipotentiaires, sur la sécurité des communications pour la sécurité publique;</w:t>
      </w:r>
    </w:p>
    <w:p w14:paraId="57826D32" w14:textId="77777777" w:rsidR="00A86847" w:rsidRPr="00723D87" w:rsidRDefault="00A86847" w:rsidP="00A86847">
      <w:r w:rsidRPr="00723D87">
        <w:rPr>
          <w:i/>
          <w:iCs/>
        </w:rPr>
        <w:t>c)</w:t>
      </w:r>
      <w:r w:rsidRPr="00723D87">
        <w:tab/>
        <w:t>la Résolution 25 (Rév. Bucarest, 2022) de la Conférence de plénipotentiaires, sur le renforcement de la présence régionale de l'UIT;</w:t>
      </w:r>
    </w:p>
    <w:p w14:paraId="41A3F2CD" w14:textId="77777777" w:rsidR="00A86847" w:rsidRPr="00723D87" w:rsidRDefault="00A86847" w:rsidP="00A86847">
      <w:r w:rsidRPr="00723D87">
        <w:rPr>
          <w:i/>
          <w:iCs/>
        </w:rPr>
        <w:t>d)</w:t>
      </w:r>
      <w:r w:rsidRPr="00723D87">
        <w:tab/>
        <w:t>la Résolution 88 (Kigali, 2022) de la Conférence mondiale de développement des télécommunications, sur la Coalition pour le numérique Partner2Connect de l'UIT;</w:t>
      </w:r>
    </w:p>
    <w:p w14:paraId="49A681EE" w14:textId="77777777" w:rsidR="00A86847" w:rsidRPr="00723D87" w:rsidRDefault="00A86847" w:rsidP="00A86847">
      <w:r w:rsidRPr="00723D87">
        <w:rPr>
          <w:i/>
          <w:iCs/>
        </w:rPr>
        <w:t>e)</w:t>
      </w:r>
      <w:r w:rsidRPr="00723D87">
        <w:tab/>
        <w:t>l'obligation de protéger les professionnels des médias pendant les conflits armés, et condamnant la mort des professionnels des médias Nima Rajabpour et Masoumeh Azimi, survenue le 17 juin 2025;</w:t>
      </w:r>
    </w:p>
    <w:p w14:paraId="13D3710A" w14:textId="77777777" w:rsidR="00A86847" w:rsidRPr="00723D87" w:rsidRDefault="00A86847" w:rsidP="00A86847">
      <w:r w:rsidRPr="00723D87">
        <w:rPr>
          <w:i/>
          <w:iCs/>
        </w:rPr>
        <w:t>f)</w:t>
      </w:r>
      <w:r w:rsidRPr="00723D87">
        <w:tab/>
        <w:t>que les attaques contre les installations civiles de radiodiffusion et de TIC constituent une violation du droit international humanitaire et du droit international des droits de l'homme,</w:t>
      </w:r>
    </w:p>
    <w:p w14:paraId="31A43D7D" w14:textId="77777777" w:rsidR="00A86847" w:rsidRPr="00723D87" w:rsidRDefault="00A86847" w:rsidP="00026532">
      <w:pPr>
        <w:pStyle w:val="Call"/>
      </w:pPr>
      <w:r w:rsidRPr="00723D87">
        <w:t>rappelant l'engagement de l'UIT</w:t>
      </w:r>
    </w:p>
    <w:p w14:paraId="04D7A860" w14:textId="77777777" w:rsidR="00A86847" w:rsidRPr="00723D87" w:rsidRDefault="00A86847" w:rsidP="00A86847">
      <w:r w:rsidRPr="00723D87">
        <w:t>en vue de "provoquer l'adoption de mesures permettant d'assurer la sécurité de la vie humaine par la coopération des services de télécommunication",</w:t>
      </w:r>
    </w:p>
    <w:p w14:paraId="606314AF" w14:textId="097DB805" w:rsidR="00A86847" w:rsidRPr="00723D87" w:rsidRDefault="00A86847" w:rsidP="00026532">
      <w:pPr>
        <w:pStyle w:val="Call"/>
      </w:pPr>
      <w:r w:rsidRPr="00723D87">
        <w:t>reconnaissant</w:t>
      </w:r>
    </w:p>
    <w:p w14:paraId="541D650D" w14:textId="77777777" w:rsidR="00A86847" w:rsidRPr="00723D87" w:rsidRDefault="00A86847" w:rsidP="00A86847">
      <w:r w:rsidRPr="00723D87">
        <w:rPr>
          <w:i/>
          <w:iCs/>
        </w:rPr>
        <w:t>a)</w:t>
      </w:r>
      <w:r w:rsidRPr="00723D87">
        <w:tab/>
        <w:t>que les attaques armées illicites menées contre la République islamique d'Iran depuis le 28 février 2026 ont eu de graves répercussions pour les secteurs de la radiodiffusion et des télécommunications/TIC;</w:t>
      </w:r>
    </w:p>
    <w:p w14:paraId="06BA77A5" w14:textId="77777777" w:rsidR="00A86847" w:rsidRPr="00723D87" w:rsidRDefault="00A86847" w:rsidP="00A86847">
      <w:r w:rsidRPr="00723D87">
        <w:rPr>
          <w:i/>
          <w:iCs/>
        </w:rPr>
        <w:t>b)</w:t>
      </w:r>
      <w:r w:rsidRPr="00723D87">
        <w:tab/>
        <w:t>que les flux d'information et les services de communication d'urgence ont été fortement perturbés dans le pays;</w:t>
      </w:r>
    </w:p>
    <w:p w14:paraId="3A8CB934" w14:textId="77777777" w:rsidR="00A86847" w:rsidRPr="00723D87" w:rsidRDefault="00A86847" w:rsidP="00A86847">
      <w:r w:rsidRPr="00723D87">
        <w:rPr>
          <w:i/>
          <w:iCs/>
        </w:rPr>
        <w:t>c)</w:t>
      </w:r>
      <w:r w:rsidRPr="00723D87">
        <w:tab/>
        <w:t>que les brouillages délibérés et les cyberattaques ont gravement endommagé des infrastructures critiques;</w:t>
      </w:r>
    </w:p>
    <w:p w14:paraId="43A9C593" w14:textId="370956FB" w:rsidR="00A86847" w:rsidRPr="00723D87" w:rsidRDefault="00A86847" w:rsidP="00A86847">
      <w:r w:rsidRPr="00723D87">
        <w:rPr>
          <w:i/>
          <w:iCs/>
        </w:rPr>
        <w:t>d)</w:t>
      </w:r>
      <w:r w:rsidRPr="00723D87">
        <w:tab/>
        <w:t>qu'une aide internationale est nécessaire d'urgence pour faciliter les activités de relèvement;</w:t>
      </w:r>
    </w:p>
    <w:p w14:paraId="630D6F64" w14:textId="37B98075" w:rsidR="00A86847" w:rsidRPr="00723D87" w:rsidRDefault="00A86847" w:rsidP="00A86847">
      <w:r w:rsidRPr="00723D87">
        <w:rPr>
          <w:i/>
          <w:iCs/>
        </w:rPr>
        <w:t>e)</w:t>
      </w:r>
      <w:r w:rsidRPr="00723D87">
        <w:tab/>
        <w:t>qu'une assistance technique coordonnée et à long terme de la part d'organisations bilatérales, régionales et internationales est nécessaire pour rétablir et moderniser les capacités fondamentales</w:t>
      </w:r>
      <w:r w:rsidR="00723D87" w:rsidRPr="00723D87">
        <w:t>,</w:t>
      </w:r>
    </w:p>
    <w:p w14:paraId="15774B1D" w14:textId="77777777" w:rsidR="00A86847" w:rsidRPr="00723D87" w:rsidRDefault="00A86847" w:rsidP="00026532">
      <w:pPr>
        <w:pStyle w:val="Call"/>
      </w:pPr>
      <w:r w:rsidRPr="00723D87">
        <w:t>décide de charger les Directeurs des trois Bureaux</w:t>
      </w:r>
    </w:p>
    <w:p w14:paraId="1C894DB6" w14:textId="4D79DCBD" w:rsidR="00A86847" w:rsidRPr="00723D87" w:rsidRDefault="00A86847" w:rsidP="00A86847">
      <w:r w:rsidRPr="00723D87">
        <w:t>1</w:t>
      </w:r>
      <w:r w:rsidRPr="00723D87">
        <w:tab/>
        <w:t>de collaborer avec la République islamique d'Iran pour évaluer les dommages causés aux infrastructures de radiodiffusion et de TIC et y remédier, en veillant à ce que des évaluations soient menées régulièrement jusqu'au rétablissement complet;</w:t>
      </w:r>
    </w:p>
    <w:p w14:paraId="5A76FF1B" w14:textId="571611FB" w:rsidR="00A86847" w:rsidRPr="00723D87" w:rsidRDefault="00A86847" w:rsidP="00A86847">
      <w:r w:rsidRPr="00723D87">
        <w:t>2</w:t>
      </w:r>
      <w:r w:rsidRPr="00723D87">
        <w:tab/>
        <w:t>d'élaborer des propositions pour la reconstruction et la modernisation des systèmes de radiodiffusion et de TIC de l'Iran, l'accent étant mis sur un relèvement durable du secteur du numérique;</w:t>
      </w:r>
    </w:p>
    <w:p w14:paraId="22258D4C" w14:textId="77777777" w:rsidR="00A86847" w:rsidRPr="00723D87" w:rsidRDefault="00A86847" w:rsidP="00A86847">
      <w:r w:rsidRPr="00723D87">
        <w:t>3</w:t>
      </w:r>
      <w:r w:rsidRPr="00723D87">
        <w:tab/>
        <w:t>de mobiliser des ressources au moyen du budget interne, du Fonds pour le développement des TIC, de la Coalition Partner2Connect et des contributions volontaires des États Membres pour soutenir la réalisation de ces initiatives;</w:t>
      </w:r>
    </w:p>
    <w:p w14:paraId="15AA51F6" w14:textId="77777777" w:rsidR="00A86847" w:rsidRPr="00723D87" w:rsidRDefault="00A86847" w:rsidP="00A86847">
      <w:r w:rsidRPr="00723D87">
        <w:t>4</w:t>
      </w:r>
      <w:r w:rsidRPr="00723D87">
        <w:tab/>
        <w:t>de fournir une assistance pour la détection des brouillages radioélectriques, des brouillages satellitaires et des cyberattaques et d'élaborer des cadres réglementaires pour améliorer la résilience des réseaux de diffusion par satellite,</w:t>
      </w:r>
    </w:p>
    <w:p w14:paraId="42170A6E" w14:textId="77777777" w:rsidR="00A86847" w:rsidRPr="00723D87" w:rsidRDefault="00A86847" w:rsidP="00026532">
      <w:pPr>
        <w:pStyle w:val="Call"/>
      </w:pPr>
      <w:r w:rsidRPr="00723D87">
        <w:t>prie la Secrétaire générale</w:t>
      </w:r>
    </w:p>
    <w:p w14:paraId="08F8036B" w14:textId="77777777" w:rsidR="00A86847" w:rsidRPr="00723D87" w:rsidRDefault="00A86847" w:rsidP="00A86847">
      <w:r w:rsidRPr="00723D87">
        <w:t>1</w:t>
      </w:r>
      <w:r w:rsidRPr="00723D87">
        <w:tab/>
        <w:t>de coordonner les activités menées par les trois Secteurs de l'UIT, conformément au décide ci-dessus, afin de veiller à ce que l'action engagée par l'UIT en faveur de l'Iran soit la plus efficace possible;</w:t>
      </w:r>
    </w:p>
    <w:p w14:paraId="2DA7D11A" w14:textId="77777777" w:rsidR="00A86847" w:rsidRPr="00723D87" w:rsidRDefault="00A86847" w:rsidP="00A86847">
      <w:r w:rsidRPr="00723D87">
        <w:t>2</w:t>
      </w:r>
      <w:r w:rsidRPr="00723D87">
        <w:tab/>
        <w:t>de faire rapport sur la question à la Conférence de plénipotentiaires de 2026 et au Conseil à sa session de 2027, ainsi qu'aux réunions et conférences futures, selon qu'il convient,</w:t>
      </w:r>
    </w:p>
    <w:p w14:paraId="1A0D92E3" w14:textId="7C555449" w:rsidR="00A86847" w:rsidRPr="00723D87" w:rsidRDefault="00026532" w:rsidP="007F53A9">
      <w:pPr>
        <w:pStyle w:val="Call"/>
      </w:pPr>
      <w:r w:rsidRPr="00723D87">
        <w:t>i</w:t>
      </w:r>
      <w:r w:rsidR="00A86847" w:rsidRPr="00723D87">
        <w:t>nvite les États Membres</w:t>
      </w:r>
    </w:p>
    <w:p w14:paraId="15C8CA09" w14:textId="77777777" w:rsidR="00A86847" w:rsidRPr="00723D87" w:rsidRDefault="00A86847" w:rsidP="007F53A9">
      <w:pPr>
        <w:keepNext/>
        <w:keepLines/>
      </w:pPr>
      <w:r w:rsidRPr="00723D87">
        <w:t>1</w:t>
      </w:r>
      <w:r w:rsidRPr="00723D87">
        <w:tab/>
        <w:t>à prêter volontairement assistance à l'application de la présente Résolution par des conseils techniques, du matériel, un renforcement des capacités ou des ressources financières;</w:t>
      </w:r>
    </w:p>
    <w:p w14:paraId="52FB7E41" w14:textId="2F79AF8F" w:rsidR="00A86847" w:rsidRPr="00723D87" w:rsidRDefault="00A86847" w:rsidP="007F53A9">
      <w:pPr>
        <w:keepNext/>
        <w:keepLines/>
      </w:pPr>
      <w:r w:rsidRPr="00723D87">
        <w:t>2</w:t>
      </w:r>
      <w:r w:rsidRPr="00723D87">
        <w:tab/>
        <w:t>à faire part de leur expérience et de leurs bonnes pratiques en ce qui concerne la protection des infrastructures de radiodiffusion et de télécommunication/TIC en période de conflit armé ou d'hostilités extérieures.</w:t>
      </w:r>
    </w:p>
    <w:p w14:paraId="0AC1672C" w14:textId="77777777" w:rsidR="00897553" w:rsidRPr="00723D87" w:rsidRDefault="006A11AE" w:rsidP="002D2336">
      <w:pPr>
        <w:jc w:val="center"/>
      </w:pPr>
      <w:r w:rsidRPr="00723D87">
        <w:t>______________</w:t>
      </w:r>
    </w:p>
    <w:sectPr w:rsidR="00897553" w:rsidRPr="00723D87" w:rsidSect="00D72F49">
      <w:headerReference w:type="even" r:id="rId8"/>
      <w:footerReference w:type="even" r:id="rId9"/>
      <w:footerReference w:type="default" r:id="rId10"/>
      <w:headerReference w:type="first" r:id="rId11"/>
      <w:footerReference w:type="first" r:id="rId1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7413" w14:textId="77777777" w:rsidR="00172D4E" w:rsidRDefault="00172D4E">
      <w:r>
        <w:separator/>
      </w:r>
    </w:p>
  </w:endnote>
  <w:endnote w:type="continuationSeparator" w:id="0">
    <w:p w14:paraId="01E03FB4" w14:textId="77777777" w:rsidR="00172D4E" w:rsidRDefault="0017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D5FB" w14:textId="67980669" w:rsidR="00732045" w:rsidRDefault="00172D4E">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5E4797">
      <w:t>27.04.26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525649B" w14:textId="77777777" w:rsidTr="00E31DCE">
      <w:trPr>
        <w:jc w:val="center"/>
      </w:trPr>
      <w:tc>
        <w:tcPr>
          <w:tcW w:w="1803" w:type="dxa"/>
          <w:vAlign w:val="center"/>
        </w:tcPr>
        <w:p w14:paraId="7523AF55" w14:textId="2FA16D7C" w:rsidR="00A51849" w:rsidRDefault="0091744B" w:rsidP="00A51849">
          <w:pPr>
            <w:pStyle w:val="Header"/>
            <w:jc w:val="left"/>
            <w:rPr>
              <w:noProof/>
            </w:rPr>
          </w:pPr>
          <w:r>
            <w:rPr>
              <w:noProof/>
            </w:rPr>
            <w:t>2600987</w:t>
          </w:r>
        </w:p>
      </w:tc>
      <w:tc>
        <w:tcPr>
          <w:tcW w:w="8261" w:type="dxa"/>
        </w:tcPr>
        <w:p w14:paraId="750A3F25" w14:textId="3FEE911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91744B">
            <w:rPr>
              <w:bCs/>
            </w:rPr>
            <w:t>86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6915305"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0143C55" w14:textId="77777777" w:rsidTr="00E31DCE">
      <w:trPr>
        <w:jc w:val="center"/>
      </w:trPr>
      <w:tc>
        <w:tcPr>
          <w:tcW w:w="1803" w:type="dxa"/>
          <w:vAlign w:val="center"/>
        </w:tcPr>
        <w:p w14:paraId="788461D0"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09A95450" w14:textId="00C24A0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A86847">
            <w:rPr>
              <w:bCs/>
            </w:rPr>
            <w:t>86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35B565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C7FA" w14:textId="77777777" w:rsidR="00172D4E" w:rsidRDefault="00172D4E">
      <w:r>
        <w:t>____________________</w:t>
      </w:r>
    </w:p>
  </w:footnote>
  <w:footnote w:type="continuationSeparator" w:id="0">
    <w:p w14:paraId="32571D1B" w14:textId="77777777" w:rsidR="00172D4E" w:rsidRDefault="0017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2D9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2C2D8CA"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BB8A" w14:textId="77777777" w:rsidR="00A51849" w:rsidRPr="001342E0" w:rsidRDefault="001342E0" w:rsidP="001342E0">
    <w:pPr>
      <w:pStyle w:val="Header"/>
    </w:pPr>
    <w:r>
      <w:rPr>
        <w:noProof/>
      </w:rPr>
      <w:drawing>
        <wp:inline distT="0" distB="0" distL="0" distR="0" wp14:anchorId="098E37BE" wp14:editId="2FFD1F1C">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4E"/>
    <w:rsid w:val="00026532"/>
    <w:rsid w:val="00076A2C"/>
    <w:rsid w:val="000D0D0A"/>
    <w:rsid w:val="00103163"/>
    <w:rsid w:val="00106B19"/>
    <w:rsid w:val="001133EF"/>
    <w:rsid w:val="00115D93"/>
    <w:rsid w:val="00120F42"/>
    <w:rsid w:val="001247A8"/>
    <w:rsid w:val="001342E0"/>
    <w:rsid w:val="001370B2"/>
    <w:rsid w:val="001378C0"/>
    <w:rsid w:val="001658F9"/>
    <w:rsid w:val="00172D4E"/>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0FC4"/>
    <w:rsid w:val="00355FF5"/>
    <w:rsid w:val="00361350"/>
    <w:rsid w:val="003C3FAE"/>
    <w:rsid w:val="004038CB"/>
    <w:rsid w:val="0040546F"/>
    <w:rsid w:val="004177BD"/>
    <w:rsid w:val="0042404A"/>
    <w:rsid w:val="004437B4"/>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E4797"/>
    <w:rsid w:val="005F7BFE"/>
    <w:rsid w:val="00600017"/>
    <w:rsid w:val="00602682"/>
    <w:rsid w:val="006235CA"/>
    <w:rsid w:val="0062366E"/>
    <w:rsid w:val="006643AB"/>
    <w:rsid w:val="006A11AE"/>
    <w:rsid w:val="006B224B"/>
    <w:rsid w:val="006F0A53"/>
    <w:rsid w:val="0071402E"/>
    <w:rsid w:val="007210CD"/>
    <w:rsid w:val="00723D87"/>
    <w:rsid w:val="00732045"/>
    <w:rsid w:val="0073275D"/>
    <w:rsid w:val="00733660"/>
    <w:rsid w:val="007369DB"/>
    <w:rsid w:val="0077110E"/>
    <w:rsid w:val="007956C2"/>
    <w:rsid w:val="00796BDB"/>
    <w:rsid w:val="007A187E"/>
    <w:rsid w:val="007C72C2"/>
    <w:rsid w:val="007D4436"/>
    <w:rsid w:val="007E061C"/>
    <w:rsid w:val="007F257A"/>
    <w:rsid w:val="007F3665"/>
    <w:rsid w:val="007F53A9"/>
    <w:rsid w:val="00800037"/>
    <w:rsid w:val="0082299A"/>
    <w:rsid w:val="0083391C"/>
    <w:rsid w:val="0084546D"/>
    <w:rsid w:val="00861D73"/>
    <w:rsid w:val="00882919"/>
    <w:rsid w:val="00897553"/>
    <w:rsid w:val="008A4E87"/>
    <w:rsid w:val="008D76E6"/>
    <w:rsid w:val="0091744B"/>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86847"/>
    <w:rsid w:val="00AA332F"/>
    <w:rsid w:val="00AA7BBB"/>
    <w:rsid w:val="00AB64A8"/>
    <w:rsid w:val="00AC0266"/>
    <w:rsid w:val="00AC0F1D"/>
    <w:rsid w:val="00AD24EC"/>
    <w:rsid w:val="00B27B00"/>
    <w:rsid w:val="00B309F9"/>
    <w:rsid w:val="00B32B60"/>
    <w:rsid w:val="00B51005"/>
    <w:rsid w:val="00B52C33"/>
    <w:rsid w:val="00B61619"/>
    <w:rsid w:val="00BB38C1"/>
    <w:rsid w:val="00BB4545"/>
    <w:rsid w:val="00BD5873"/>
    <w:rsid w:val="00BF4B60"/>
    <w:rsid w:val="00C049D7"/>
    <w:rsid w:val="00C04BE3"/>
    <w:rsid w:val="00C25D29"/>
    <w:rsid w:val="00C2625E"/>
    <w:rsid w:val="00C27A7C"/>
    <w:rsid w:val="00C42437"/>
    <w:rsid w:val="00C534D0"/>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C3EB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3BC9F"/>
  <w15:docId w15:val="{CD8E15DD-958B-457F-A02E-60D75812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S26-CL-C-0035/f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1</TotalTime>
  <Pages>8</Pages>
  <Words>2485</Words>
  <Characters>14617</Characters>
  <Application>Microsoft Office Word</Application>
  <DocSecurity>0</DocSecurity>
  <Lines>243</Lines>
  <Paragraphs>85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17017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visant à l'adoption d'une nouvelle résolution du Conseil de l'UIT sur l'assistance et l'appui à la République Islamique d'Iran pour la reconstruction de ses secteurs de la radiodiffusion et des télécommunications/TIC, gravement endommagés par des actes d'agression</dc:title>
  <dc:subject>Conseil 2026 de l'UIT</dc:subject>
  <dc:creator>GBS</dc:creator>
  <cp:keywords>C26; C2026; Council 2026; PP26</cp:keywords>
  <dc:description/>
  <cp:lastModifiedBy>GBS</cp:lastModifiedBy>
  <cp:revision>2</cp:revision>
  <cp:lastPrinted>2000-07-18T08:55:00Z</cp:lastPrinted>
  <dcterms:created xsi:type="dcterms:W3CDTF">2026-04-27T12:51:00Z</dcterms:created>
  <dcterms:modified xsi:type="dcterms:W3CDTF">2026-04-27T12:51:00Z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