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3C9AB83D" w14:textId="77777777" w:rsidTr="00954C49">
        <w:trPr>
          <w:cantSplit/>
          <w:trHeight w:val="23"/>
        </w:trPr>
        <w:tc>
          <w:tcPr>
            <w:tcW w:w="3969" w:type="dxa"/>
            <w:vMerge w:val="restart"/>
            <w:tcMar>
              <w:left w:w="0" w:type="dxa"/>
            </w:tcMar>
          </w:tcPr>
          <w:p w14:paraId="3F9618BE" w14:textId="1C2D2BB0"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CF4FAD">
              <w:rPr>
                <w:b/>
              </w:rPr>
              <w:t>PL-1</w:t>
            </w:r>
          </w:p>
        </w:tc>
        <w:tc>
          <w:tcPr>
            <w:tcW w:w="5245" w:type="dxa"/>
          </w:tcPr>
          <w:p w14:paraId="7C3FF4AE" w14:textId="1F7E1EE6"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CF4FAD">
              <w:rPr>
                <w:b/>
              </w:rPr>
              <w:t>86</w:t>
            </w:r>
            <w:r w:rsidRPr="00C0458D">
              <w:rPr>
                <w:b/>
              </w:rPr>
              <w:t>-E</w:t>
            </w:r>
          </w:p>
        </w:tc>
      </w:tr>
      <w:tr w:rsidR="00AD3606" w:rsidRPr="00C0458D" w14:paraId="09AFE6B0" w14:textId="77777777" w:rsidTr="00954C49">
        <w:trPr>
          <w:cantSplit/>
        </w:trPr>
        <w:tc>
          <w:tcPr>
            <w:tcW w:w="3969" w:type="dxa"/>
            <w:vMerge/>
          </w:tcPr>
          <w:p w14:paraId="169ACDE9"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4BDA1DA3" w14:textId="16395E96" w:rsidR="00AD3606" w:rsidRPr="00C0458D" w:rsidRDefault="00CF4FAD" w:rsidP="00954C49">
            <w:pPr>
              <w:tabs>
                <w:tab w:val="left" w:pos="851"/>
              </w:tabs>
              <w:spacing w:before="0"/>
              <w:jc w:val="right"/>
              <w:rPr>
                <w:b/>
              </w:rPr>
            </w:pPr>
            <w:r>
              <w:rPr>
                <w:b/>
              </w:rPr>
              <w:t>14 April 2026</w:t>
            </w:r>
          </w:p>
        </w:tc>
      </w:tr>
      <w:tr w:rsidR="00AD3606" w:rsidRPr="00C0458D" w14:paraId="68B7D91B" w14:textId="77777777" w:rsidTr="00954C49">
        <w:trPr>
          <w:cantSplit/>
          <w:trHeight w:val="23"/>
        </w:trPr>
        <w:tc>
          <w:tcPr>
            <w:tcW w:w="3969" w:type="dxa"/>
            <w:vMerge/>
          </w:tcPr>
          <w:p w14:paraId="3C3193B4"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54FC28D8"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68CA6842" w14:textId="77777777" w:rsidTr="00954C49">
        <w:trPr>
          <w:cantSplit/>
          <w:trHeight w:val="23"/>
        </w:trPr>
        <w:tc>
          <w:tcPr>
            <w:tcW w:w="3969" w:type="dxa"/>
          </w:tcPr>
          <w:p w14:paraId="7010DD90" w14:textId="77777777" w:rsidR="00472BAD" w:rsidRPr="00C0458D" w:rsidRDefault="00472BAD" w:rsidP="00954C49">
            <w:pPr>
              <w:tabs>
                <w:tab w:val="left" w:pos="851"/>
              </w:tabs>
              <w:spacing w:line="240" w:lineRule="atLeast"/>
              <w:rPr>
                <w:b/>
              </w:rPr>
            </w:pPr>
          </w:p>
        </w:tc>
        <w:tc>
          <w:tcPr>
            <w:tcW w:w="5245" w:type="dxa"/>
          </w:tcPr>
          <w:p w14:paraId="5210C7B6" w14:textId="77777777" w:rsidR="00472BAD" w:rsidRPr="00C0458D" w:rsidRDefault="00472BAD" w:rsidP="00954C49">
            <w:pPr>
              <w:tabs>
                <w:tab w:val="left" w:pos="851"/>
              </w:tabs>
              <w:spacing w:before="0" w:line="240" w:lineRule="atLeast"/>
              <w:jc w:val="right"/>
              <w:rPr>
                <w:b/>
              </w:rPr>
            </w:pPr>
          </w:p>
        </w:tc>
      </w:tr>
      <w:tr w:rsidR="00AD3606" w:rsidRPr="00C0458D" w14:paraId="219D842D" w14:textId="77777777" w:rsidTr="00954C49">
        <w:trPr>
          <w:cantSplit/>
        </w:trPr>
        <w:tc>
          <w:tcPr>
            <w:tcW w:w="9214" w:type="dxa"/>
            <w:gridSpan w:val="2"/>
            <w:tcMar>
              <w:left w:w="0" w:type="dxa"/>
            </w:tcMar>
          </w:tcPr>
          <w:p w14:paraId="380E8F55" w14:textId="490EEA16" w:rsidR="00AD3606" w:rsidRPr="00CF4FAD" w:rsidRDefault="00CF4FAD" w:rsidP="00CF4FAD">
            <w:pPr>
              <w:pStyle w:val="Source"/>
              <w:framePr w:hSpace="0" w:wrap="auto" w:vAnchor="margin" w:hAnchor="text" w:xAlign="left" w:yAlign="inline"/>
            </w:pPr>
            <w:bookmarkStart w:id="8" w:name="dsource" w:colFirst="0" w:colLast="0"/>
            <w:bookmarkEnd w:id="7"/>
            <w:r w:rsidRPr="00CF4FAD">
              <w:t>Contribution by Iran (Islamic Republic of)</w:t>
            </w:r>
          </w:p>
        </w:tc>
      </w:tr>
      <w:tr w:rsidR="00AD3606" w:rsidRPr="00C0458D" w14:paraId="011FEA70" w14:textId="77777777" w:rsidTr="00954C49">
        <w:trPr>
          <w:cantSplit/>
        </w:trPr>
        <w:tc>
          <w:tcPr>
            <w:tcW w:w="9214" w:type="dxa"/>
            <w:gridSpan w:val="2"/>
            <w:tcMar>
              <w:left w:w="0" w:type="dxa"/>
            </w:tcMar>
          </w:tcPr>
          <w:p w14:paraId="32E47316" w14:textId="2CB76DC9" w:rsidR="00AD3606" w:rsidRPr="00176F47" w:rsidRDefault="00C50B0D" w:rsidP="00CF4FAD">
            <w:pPr>
              <w:pStyle w:val="Subtitle"/>
              <w:framePr w:hSpace="0" w:wrap="auto" w:xAlign="left" w:yAlign="inline"/>
            </w:pPr>
            <w:bookmarkStart w:id="9" w:name="dtitle1" w:colFirst="0" w:colLast="0"/>
            <w:bookmarkEnd w:id="8"/>
            <w:r w:rsidRPr="00CF4FAD">
              <w:t>PROPOSAL FOR THE ADOPTION OF A NEW ITU COUNCIL RESOLUTION ON ASSISTANCE AND SUPPORT TO THE ISLAMIC REPUBLIC OF IRAN FOR RECONSTRUCTING ITS BROADCASTING AND TELECOMMUNICATION/ICT SECTORS SEVERELY DAMAGED BY ACTS OF AGGRESSION</w:t>
            </w:r>
          </w:p>
        </w:tc>
      </w:tr>
      <w:tr w:rsidR="00AD3606" w:rsidRPr="00C0458D" w14:paraId="3EF6AADF" w14:textId="77777777" w:rsidTr="00954C49">
        <w:trPr>
          <w:cantSplit/>
        </w:trPr>
        <w:tc>
          <w:tcPr>
            <w:tcW w:w="9214" w:type="dxa"/>
            <w:gridSpan w:val="2"/>
            <w:tcBorders>
              <w:top w:val="single" w:sz="4" w:space="0" w:color="auto"/>
              <w:bottom w:val="single" w:sz="4" w:space="0" w:color="auto"/>
            </w:tcBorders>
            <w:tcMar>
              <w:left w:w="0" w:type="dxa"/>
            </w:tcMar>
          </w:tcPr>
          <w:p w14:paraId="40717D31" w14:textId="77777777" w:rsidR="00AD3606" w:rsidRPr="00A7169E" w:rsidRDefault="00F16BAB" w:rsidP="00954C49">
            <w:pPr>
              <w:spacing w:before="160"/>
              <w:rPr>
                <w:b/>
                <w:bCs/>
                <w:sz w:val="26"/>
                <w:szCs w:val="26"/>
              </w:rPr>
            </w:pPr>
            <w:r w:rsidRPr="00A7169E">
              <w:rPr>
                <w:b/>
                <w:bCs/>
                <w:sz w:val="26"/>
                <w:szCs w:val="26"/>
              </w:rPr>
              <w:t>Purpose</w:t>
            </w:r>
          </w:p>
          <w:p w14:paraId="5CDC849C" w14:textId="38C83D7E" w:rsidR="00AD3606" w:rsidRPr="00A7169E" w:rsidRDefault="003B0409" w:rsidP="003B0409">
            <w:pPr>
              <w:jc w:val="both"/>
            </w:pPr>
            <w:r w:rsidRPr="00A7169E">
              <w:t xml:space="preserve">The Administration of the Islamic Republic of Iran submits this proposal for consideration and adoption of an ITU Council resolution to </w:t>
            </w:r>
            <w:proofErr w:type="gramStart"/>
            <w:r w:rsidRPr="00A7169E">
              <w:t>provide assistance</w:t>
            </w:r>
            <w:proofErr w:type="gramEnd"/>
            <w:r w:rsidRPr="00A7169E">
              <w:t xml:space="preserve"> and support for the Islamic Republic of Iran in the reconstruction of its broadcasting and telecommunication/ICT sectors, which have sustained extensive damage due to acts of aggression.</w:t>
            </w:r>
          </w:p>
          <w:p w14:paraId="12D848BD" w14:textId="77777777" w:rsidR="00AD3606" w:rsidRPr="00A7169E" w:rsidRDefault="00AD3606" w:rsidP="00954C49">
            <w:pPr>
              <w:spacing w:before="160"/>
              <w:rPr>
                <w:b/>
                <w:bCs/>
                <w:sz w:val="26"/>
                <w:szCs w:val="26"/>
              </w:rPr>
            </w:pPr>
            <w:r w:rsidRPr="00A7169E">
              <w:rPr>
                <w:b/>
                <w:bCs/>
                <w:sz w:val="26"/>
                <w:szCs w:val="26"/>
              </w:rPr>
              <w:t>Action required</w:t>
            </w:r>
            <w:r w:rsidR="00F16BAB" w:rsidRPr="00A7169E">
              <w:rPr>
                <w:b/>
                <w:bCs/>
                <w:sz w:val="26"/>
                <w:szCs w:val="26"/>
              </w:rPr>
              <w:t xml:space="preserve"> by the Council</w:t>
            </w:r>
          </w:p>
          <w:p w14:paraId="0E6B3C00" w14:textId="738EDD54" w:rsidR="00722551" w:rsidRPr="00A7169E" w:rsidRDefault="00A420E4" w:rsidP="00954C49">
            <w:r w:rsidRPr="00A7169E">
              <w:t xml:space="preserve">The Council is invited to </w:t>
            </w:r>
            <w:r w:rsidRPr="00A7169E">
              <w:rPr>
                <w:b/>
                <w:bCs/>
              </w:rPr>
              <w:t>consider</w:t>
            </w:r>
            <w:r w:rsidRPr="00A7169E">
              <w:t xml:space="preserve"> and </w:t>
            </w:r>
            <w:r w:rsidRPr="00A7169E">
              <w:rPr>
                <w:b/>
                <w:bCs/>
              </w:rPr>
              <w:t>adopt</w:t>
            </w:r>
            <w:r w:rsidRPr="00A7169E">
              <w:t xml:space="preserve"> the proposed ITU Council Resolution.</w:t>
            </w:r>
          </w:p>
          <w:p w14:paraId="7D27B918" w14:textId="77777777" w:rsidR="00C0458D" w:rsidRPr="00A7169E" w:rsidRDefault="00C0458D" w:rsidP="00954C49">
            <w:r w:rsidRPr="00A7169E">
              <w:t>_______________</w:t>
            </w:r>
          </w:p>
          <w:p w14:paraId="77F4D64F" w14:textId="77777777" w:rsidR="00AD3606" w:rsidRPr="00A7169E" w:rsidRDefault="00AD3606" w:rsidP="00954C49">
            <w:pPr>
              <w:spacing w:before="160"/>
              <w:rPr>
                <w:b/>
                <w:bCs/>
                <w:sz w:val="26"/>
                <w:szCs w:val="26"/>
              </w:rPr>
            </w:pPr>
            <w:r w:rsidRPr="00A7169E">
              <w:rPr>
                <w:b/>
                <w:bCs/>
                <w:sz w:val="26"/>
                <w:szCs w:val="26"/>
              </w:rPr>
              <w:t>References</w:t>
            </w:r>
          </w:p>
          <w:p w14:paraId="06CE9A00" w14:textId="3C6BDF72" w:rsidR="00AD3606" w:rsidRPr="00A7169E" w:rsidRDefault="00B119F1" w:rsidP="00954C49">
            <w:pPr>
              <w:spacing w:after="160"/>
              <w:rPr>
                <w:i/>
                <w:iCs/>
                <w:sz w:val="22"/>
                <w:szCs w:val="22"/>
              </w:rPr>
            </w:pPr>
            <w:r w:rsidRPr="00A7169E">
              <w:rPr>
                <w:i/>
                <w:iCs/>
                <w:sz w:val="22"/>
                <w:szCs w:val="22"/>
              </w:rPr>
              <w:t xml:space="preserve">Council Document </w:t>
            </w:r>
            <w:hyperlink r:id="rId8" w:history="1">
              <w:r w:rsidRPr="00A7169E">
                <w:rPr>
                  <w:rStyle w:val="Hyperlink"/>
                  <w:i/>
                  <w:iCs/>
                  <w:sz w:val="22"/>
                  <w:szCs w:val="22"/>
                </w:rPr>
                <w:t>C26/35</w:t>
              </w:r>
            </w:hyperlink>
          </w:p>
        </w:tc>
      </w:tr>
    </w:tbl>
    <w:p w14:paraId="180601AF"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97B53CB"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14818CA5" w14:textId="645BA88F" w:rsidR="003B0409" w:rsidRPr="003B0409" w:rsidRDefault="003B0409" w:rsidP="001A1863">
      <w:pPr>
        <w:pStyle w:val="Headingb"/>
      </w:pPr>
      <w:r w:rsidRPr="00A7169E">
        <w:lastRenderedPageBreak/>
        <w:t>Introduction</w:t>
      </w:r>
    </w:p>
    <w:p w14:paraId="0353C981" w14:textId="5D189E66" w:rsidR="003B0409" w:rsidRPr="001262B7" w:rsidRDefault="003B0409" w:rsidP="001A1863">
      <w:pPr>
        <w:jc w:val="both"/>
      </w:pPr>
      <w:r w:rsidRPr="001262B7">
        <w:t xml:space="preserve">The Administration of the Islamic Republic of Iran submits this proposal for consideration and adoption of an ITU Council resolution to </w:t>
      </w:r>
      <w:proofErr w:type="gramStart"/>
      <w:r w:rsidRPr="001262B7">
        <w:t>provide assistance</w:t>
      </w:r>
      <w:proofErr w:type="gramEnd"/>
      <w:r w:rsidRPr="001262B7">
        <w:t xml:space="preserve"> and support for the Islamic Republic of Iran in the reconstruction of its broadcasting and telecommunication/ICT sectors, which have sustained extensive damage due to acts of aggression.</w:t>
      </w:r>
    </w:p>
    <w:p w14:paraId="4066126F" w14:textId="77777777" w:rsidR="003B0409" w:rsidRPr="001262B7" w:rsidRDefault="003B0409" w:rsidP="001A1863">
      <w:pPr>
        <w:jc w:val="both"/>
        <w:rPr>
          <w:rtl/>
        </w:rPr>
      </w:pPr>
      <w:r w:rsidRPr="001262B7">
        <w:rPr>
          <w:lang w:val="en-US"/>
        </w:rPr>
        <w:t>Broadcast public networks play a critical role in delivering civil safety information to populations during both normal and crisis conditions. In normal situations, public broadcast services inform the public about weather alerts, health advisories, natural disasters, and other safety-related updates. During wartime or severe emergencies, their importance becomes even greater; they provide authoritative instructions on evacuation, sheltering, infrastructure disruptions, and national security alerts, helping to prevent panic and coordinate civilian responses.</w:t>
      </w:r>
    </w:p>
    <w:p w14:paraId="26DE0B7D" w14:textId="77777777" w:rsidR="003B0409" w:rsidRPr="001262B7" w:rsidRDefault="003B0409" w:rsidP="001A1863">
      <w:pPr>
        <w:jc w:val="both"/>
        <w:rPr>
          <w:rtl/>
        </w:rPr>
      </w:pPr>
      <w:r w:rsidRPr="001262B7">
        <w:rPr>
          <w:lang w:val="en-US"/>
        </w:rPr>
        <w:t>The preservation of public broadcasting and telecommunication/ICT networks should be regarded as a fundamental principle for human societies. Any hostile action directed against such public communication infrastructure may constitute a serious violation of international humanitarian norms, particularly when it disrupts the delivery of essential safety and emergency information to civilians.</w:t>
      </w:r>
    </w:p>
    <w:p w14:paraId="2F6B78C0" w14:textId="77777777" w:rsidR="003B0409" w:rsidRPr="001262B7" w:rsidRDefault="003B0409" w:rsidP="001A1863">
      <w:pPr>
        <w:jc w:val="both"/>
        <w:rPr>
          <w:rtl/>
        </w:rPr>
      </w:pPr>
      <w:r w:rsidRPr="001262B7">
        <w:t>Beginning on 28 February 2026, the severe and unprovoked military attacks, initiated by the aggressive actions of the Israeli regime and the United States of America, have caused widespread damage to civilian broadcasting and telecommunications facilities. These incidents have destroyed critical transmission assets and disrupted nationwide access to essential information services, resulting in casualties among broadcast and media personnel.</w:t>
      </w:r>
    </w:p>
    <w:p w14:paraId="49043C62" w14:textId="77777777" w:rsidR="003B0409" w:rsidRPr="001262B7" w:rsidRDefault="003B0409" w:rsidP="001A1863">
      <w:pPr>
        <w:jc w:val="both"/>
      </w:pPr>
      <w:r w:rsidRPr="001262B7">
        <w:t>As supporting information for this proposal, the Islamic Republic of Iran formally reports the following major incidents that have affected its national broadcasting infrastructure.</w:t>
      </w:r>
    </w:p>
    <w:p w14:paraId="428D6540" w14:textId="77777777" w:rsidR="003B0409" w:rsidRPr="001262B7" w:rsidRDefault="003B0409" w:rsidP="001A1863">
      <w:pPr>
        <w:pStyle w:val="Headingb"/>
        <w:rPr>
          <w:lang w:val="en"/>
        </w:rPr>
      </w:pPr>
      <w:r w:rsidRPr="001262B7">
        <w:rPr>
          <w:lang w:val="en"/>
        </w:rPr>
        <w:t>Damage to Satellite Broadcasting Earth Stations</w:t>
      </w:r>
    </w:p>
    <w:p w14:paraId="4572266F" w14:textId="77777777" w:rsidR="003B0409" w:rsidRPr="001262B7" w:rsidRDefault="003B0409" w:rsidP="003B0409">
      <w:pPr>
        <w:spacing w:after="120"/>
        <w:jc w:val="both"/>
        <w:rPr>
          <w:lang w:val="en-US"/>
        </w:rPr>
      </w:pPr>
      <w:r w:rsidRPr="001262B7">
        <w:rPr>
          <w:lang w:val="en-US"/>
        </w:rPr>
        <w:t xml:space="preserve">Multiple satellite earth stations serving as feeder links for broadcasting have been </w:t>
      </w:r>
      <w:proofErr w:type="gramStart"/>
      <w:r w:rsidRPr="001262B7">
        <w:rPr>
          <w:lang w:val="en-US"/>
        </w:rPr>
        <w:t>completely destroyed</w:t>
      </w:r>
      <w:proofErr w:type="gramEnd"/>
      <w:r w:rsidRPr="001262B7">
        <w:rPr>
          <w:lang w:val="en-US"/>
        </w:rPr>
        <w:t>. These facilities include high-diameter antennas measuring 4.5 m, 9 m, 11 m, and 13 m, along with their corresponding RF chains, baseband systems, monitoring platforms, power systems, and the Operations and Maintenance facility responsible for managing and supervising earth station functions.</w:t>
      </w:r>
    </w:p>
    <w:p w14:paraId="47395687" w14:textId="77777777" w:rsidR="003B0409" w:rsidRPr="001262B7" w:rsidRDefault="003B0409" w:rsidP="003B0409">
      <w:pPr>
        <w:spacing w:after="120"/>
        <w:jc w:val="both"/>
        <w:rPr>
          <w:lang w:val="en"/>
        </w:rPr>
      </w:pPr>
      <w:r w:rsidRPr="001262B7">
        <w:rPr>
          <w:lang w:val="en-US"/>
        </w:rPr>
        <w:t>A preliminary assessment conducted prior to the preparation of this document indicates that over 30 earth station complexes have been destroyed and rendered inoperable. The cost of restoring the technical equipment for these stations has been assessed to exceed 45 million USD, not including the reconstruction of buildings, civil works, and supporting infrastructure, which will require a separate and more detailed evaluation.</w:t>
      </w:r>
    </w:p>
    <w:p w14:paraId="7DB94996" w14:textId="77777777" w:rsidR="003B0409" w:rsidRPr="001262B7" w:rsidRDefault="003B0409" w:rsidP="001A1863">
      <w:pPr>
        <w:pStyle w:val="Headingb"/>
        <w:rPr>
          <w:lang w:val="en"/>
        </w:rPr>
      </w:pPr>
      <w:r w:rsidRPr="001262B7">
        <w:rPr>
          <w:lang w:val="en"/>
        </w:rPr>
        <w:t>Damage to Terrestrial Broadcasting Networks (AM, FM, TV) and Associated Telecommunication &amp; Backhaul Links</w:t>
      </w:r>
    </w:p>
    <w:p w14:paraId="484909CF" w14:textId="77777777" w:rsidR="003B0409" w:rsidRPr="001262B7" w:rsidRDefault="003B0409" w:rsidP="00C251A1">
      <w:pPr>
        <w:jc w:val="both"/>
        <w:rPr>
          <w:lang w:val="en"/>
        </w:rPr>
      </w:pPr>
      <w:r w:rsidRPr="001262B7">
        <w:t>The nationwide terrestrial broadcasting infrastructure has also been heavily targeted. This includes AM radio stations with transmitting powers of up to 400 kW, as well as FM radio and VHF/UHF digital television stations with transmitting powers of up to 10 kW.</w:t>
      </w:r>
    </w:p>
    <w:p w14:paraId="350A3007" w14:textId="77777777" w:rsidR="003B0409" w:rsidRPr="001262B7" w:rsidRDefault="003B0409" w:rsidP="00C251A1">
      <w:pPr>
        <w:jc w:val="both"/>
        <w:rPr>
          <w:lang w:val="en"/>
        </w:rPr>
      </w:pPr>
      <w:r w:rsidRPr="001262B7">
        <w:t xml:space="preserve">Assessments completed prior to the preparation of this document indicate that over 31 terrestrial broadcast stations have sustained extensive damage, resulting in the loss of service </w:t>
      </w:r>
      <w:r w:rsidRPr="001262B7">
        <w:lastRenderedPageBreak/>
        <w:t>for more than 15 million people who have been deprived of access to timely public information and essential emergency broadcasting services.</w:t>
      </w:r>
    </w:p>
    <w:p w14:paraId="62E1509C" w14:textId="77777777" w:rsidR="003B0409" w:rsidRPr="001262B7" w:rsidRDefault="003B0409" w:rsidP="00C251A1">
      <w:pPr>
        <w:jc w:val="both"/>
      </w:pPr>
      <w:r w:rsidRPr="001262B7">
        <w:t xml:space="preserve">In addition to the damage to AM, FM, and VHF/UHF transmission facilities, assessments have identified destruction affecting the backhaul networks that support these terrestrial stations. This includes microwave backhaul links as well as </w:t>
      </w:r>
      <w:proofErr w:type="spellStart"/>
      <w:r w:rsidRPr="001262B7">
        <w:t>fiber</w:t>
      </w:r>
      <w:proofErr w:type="spellEnd"/>
      <w:r w:rsidRPr="001262B7">
        <w:t xml:space="preserve">-optic links used for program contribution and distribution. More than 20 microwave link systems have been rendered inoperable. Damage to these backhaul and feeder systems has further disrupted the connectivity needed to restore broadcast services across the affected regions. </w:t>
      </w:r>
    </w:p>
    <w:p w14:paraId="78DE693A" w14:textId="77777777" w:rsidR="003B0409" w:rsidRPr="001262B7" w:rsidRDefault="003B0409" w:rsidP="00C251A1">
      <w:pPr>
        <w:jc w:val="both"/>
        <w:rPr>
          <w:lang w:val="en"/>
        </w:rPr>
      </w:pPr>
      <w:r w:rsidRPr="001262B7">
        <w:t>The cost of replacing the technical equipment for these terrestrial facilities has been assessed at over 30 million USD, excluding the cost of buildings and structural components, which are not part of this initial assessment.</w:t>
      </w:r>
    </w:p>
    <w:p w14:paraId="0777E03E" w14:textId="2A0ADADD" w:rsidR="003B0409" w:rsidRPr="001262B7" w:rsidRDefault="003B0409" w:rsidP="00C251A1">
      <w:pPr>
        <w:pStyle w:val="Headingb"/>
        <w:rPr>
          <w:lang w:val="en"/>
        </w:rPr>
      </w:pPr>
      <w:r w:rsidRPr="001262B7">
        <w:rPr>
          <w:lang w:val="en"/>
        </w:rPr>
        <w:t>Damage to National ICT Infrastructure</w:t>
      </w:r>
    </w:p>
    <w:p w14:paraId="1CE25BE7" w14:textId="77777777" w:rsidR="003B0409" w:rsidRPr="001262B7" w:rsidRDefault="003B0409" w:rsidP="00C251A1">
      <w:pPr>
        <w:jc w:val="both"/>
      </w:pPr>
      <w:r w:rsidRPr="001262B7">
        <w:t xml:space="preserve">This aggression resulted in damage to the national telecommunications infrastructure, telecommunication networks, and ICT monitoring </w:t>
      </w:r>
      <w:proofErr w:type="spellStart"/>
      <w:r w:rsidRPr="001262B7">
        <w:t>centers</w:t>
      </w:r>
      <w:proofErr w:type="spellEnd"/>
      <w:r w:rsidRPr="001262B7">
        <w:t xml:space="preserve"> in our country. This attack, along with cyber-attacks, deliberately targeted the country's ICT infrastructure, which serves as the principal means of communication and the most vital platform for informing and protecting people's lives.</w:t>
      </w:r>
    </w:p>
    <w:p w14:paraId="32EC7B4B" w14:textId="77777777" w:rsidR="003B0409" w:rsidRPr="001262B7" w:rsidRDefault="003B0409" w:rsidP="00C251A1">
      <w:pPr>
        <w:jc w:val="both"/>
      </w:pPr>
      <w:r w:rsidRPr="001262B7">
        <w:t>The costs of replacing the technical equipment for these facilities, as well as the costs of buildings and structural components, are currently under assessment.</w:t>
      </w:r>
    </w:p>
    <w:p w14:paraId="5DB04BEC" w14:textId="77777777" w:rsidR="003B0409" w:rsidRPr="001262B7" w:rsidRDefault="003B0409" w:rsidP="00C251A1">
      <w:pPr>
        <w:pStyle w:val="Headingb"/>
        <w:rPr>
          <w:lang w:val="en"/>
        </w:rPr>
      </w:pPr>
      <w:r w:rsidRPr="001262B7">
        <w:rPr>
          <w:lang w:val="en"/>
        </w:rPr>
        <w:t>Prior Acts of Aggression Against Broadcasting Infrastructure</w:t>
      </w:r>
    </w:p>
    <w:p w14:paraId="4F5D7E5E" w14:textId="77777777" w:rsidR="003B0409" w:rsidRPr="001262B7" w:rsidRDefault="003B0409" w:rsidP="00C251A1">
      <w:pPr>
        <w:jc w:val="both"/>
        <w:rPr>
          <w:lang w:val="en-US"/>
        </w:rPr>
      </w:pPr>
      <w:r w:rsidRPr="001262B7">
        <w:t xml:space="preserve">Islamic Republic of Iran wishes to bring to the Council’s attention the prior acts of aggression in June 2025 that have impacted its vital broadcasting infrastructure. During this earlier event, the headquarters of the national broadcasting organization—a large complex housing extensive Information and Communication Technology (ICT) infrastructure, critical newsrooms, and production studios—all essential for public information, emergency communications, and the continuity of services—was subjected to devastating attacks. This incident, which tragically resulted in the loss of media personnel Nima </w:t>
      </w:r>
      <w:proofErr w:type="spellStart"/>
      <w:r w:rsidRPr="001262B7">
        <w:t>Rajabpour</w:t>
      </w:r>
      <w:proofErr w:type="spellEnd"/>
      <w:r w:rsidRPr="001262B7">
        <w:t xml:space="preserve"> and Masoumeh Azimi, was condemned by the Director-General of UNESCO. It shares technical characteristics with the more recent attacks and highlights a pattern of deliberate disruption aimed at Iran’s broadcasting and telecommunication capabilities. It is important to note that during the aggression, the headquarters of the national broadcasting organization was again targeted, resulting in extensive destruction.</w:t>
      </w:r>
    </w:p>
    <w:p w14:paraId="50C5A9A0" w14:textId="77777777" w:rsidR="003B0409" w:rsidRPr="001262B7" w:rsidRDefault="003B0409" w:rsidP="00C251A1">
      <w:pPr>
        <w:pStyle w:val="Headingb"/>
        <w:rPr>
          <w:lang w:val="en-US"/>
        </w:rPr>
      </w:pPr>
      <w:r w:rsidRPr="001262B7">
        <w:rPr>
          <w:lang w:val="en-US"/>
        </w:rPr>
        <w:t>Disruptions to Broadcasting Services</w:t>
      </w:r>
    </w:p>
    <w:p w14:paraId="4A0931EC" w14:textId="77777777" w:rsidR="003B0409" w:rsidRPr="001262B7" w:rsidRDefault="003B0409" w:rsidP="00C251A1">
      <w:pPr>
        <w:jc w:val="both"/>
        <w:rPr>
          <w:lang w:val="en"/>
        </w:rPr>
      </w:pPr>
      <w:r w:rsidRPr="001262B7">
        <w:t xml:space="preserve">Following the armed attacks, Islamic Republic of Iran has experienced severe disruptions to its satellite and medium wave (MW) broadcasting services due to deliberate frequency interference. In some instances, these attacks involved hybrid RF-cyber interference aimed at replacing sensitive video and audio content. Our experiences as one of the victims of satellite interference, even predating the current military conflict, indicate that resolving such interference heavily depends on two factors: first, the willingness of the satellite operator to share geolocated information, and second, the cooperation of the notifying administration of the satellite assignment to report the event in the ITU’s Satellite Interference Reporting and Resolution System (SIRRS). Iran’s varied experiences and the repeated lack of success in identifying, countering, and resolving these interferences suggest that the efficacy of both </w:t>
      </w:r>
      <w:r w:rsidRPr="001262B7">
        <w:lastRenderedPageBreak/>
        <w:t>processes is susceptible to non-technical and political factors. In a recent case, Iran was compelled to request the suspension of its leased satellite transponder to prevent the dissemination of sensitive content, which in turn led to the cessation of its own authorized broadcasts and deprived millions of citizens of critical information, especially during armed conflict. This situation poses a grave threat not only to Iran but also to the integrity of global satellite services, demonstrating how such disruptions can undermine access to essential information worldwide. This underscores the urgent necessity for a new ITU framework to effectively address satellite interference, particularly emerging threats involving the insertion of unauthorized video content over broadcast signals.</w:t>
      </w:r>
    </w:p>
    <w:p w14:paraId="5DCCF98F" w14:textId="3D734C87" w:rsidR="003B0409" w:rsidRPr="001262B7" w:rsidRDefault="003B0409" w:rsidP="00C251A1">
      <w:pPr>
        <w:jc w:val="both"/>
        <w:rPr>
          <w:lang w:val="en"/>
        </w:rPr>
      </w:pPr>
      <w:r w:rsidRPr="001262B7">
        <w:t>Furthermore, unauthorized medium wave (MW) radio emissions originating from neighbouring territories have been detected, aimed at providing broadcasting services within Islamic Re</w:t>
      </w:r>
      <w:r>
        <w:t>pu</w:t>
      </w:r>
      <w:r w:rsidRPr="001262B7">
        <w:t>blic of Iran with the explicit intention of creating societal instability. Our experience with submitting the interference report forms (Appendix 9 and 10) to the bureau indicates that there has been no effective operational action taken to eliminate these unauthorized MW emissions.</w:t>
      </w:r>
    </w:p>
    <w:p w14:paraId="1B8EC016" w14:textId="2259CF5F" w:rsidR="003B0409" w:rsidRPr="001262B7" w:rsidRDefault="003B0409" w:rsidP="00C251A1">
      <w:pPr>
        <w:jc w:val="both"/>
        <w:rPr>
          <w:lang w:val="en"/>
        </w:rPr>
      </w:pPr>
      <w:proofErr w:type="gramStart"/>
      <w:r w:rsidRPr="001262B7">
        <w:t>All of</w:t>
      </w:r>
      <w:proofErr w:type="gramEnd"/>
      <w:r w:rsidRPr="001262B7">
        <w:t xml:space="preserve"> the above illicit actions, including previous and recent military aggression against broadcasting and related telecommunications infrastructure, deliberate interference with satellite broadcasting, and the provision of unauthorized services within Iran's territory from neighbouring countries, represent a grave contravention of the principles of safety and continuity promoted by the Union. These actions also violate Iran’s sovereign right to manage its telecommunications services within its territory. The resulting adverse impact on the population’s access to essential communication services, human security, and public welfare has been significant.</w:t>
      </w:r>
    </w:p>
    <w:p w14:paraId="4E6BDD5D" w14:textId="239E3911" w:rsidR="003B0409" w:rsidRDefault="003B0409" w:rsidP="00C251A1">
      <w:pPr>
        <w:jc w:val="both"/>
      </w:pPr>
      <w:r w:rsidRPr="001262B7">
        <w:t>Consequently, the adoption of this resolution is deemed crucial for addressing the immediate, medium-term, and long-term reconstruction needs arising from such aggression, enhancing the resilience of the affected systems, and promoting digital recovery and sustainable development</w:t>
      </w:r>
      <w:r>
        <w:t>.</w:t>
      </w:r>
    </w:p>
    <w:p w14:paraId="443C4BAF" w14:textId="58305CD4" w:rsidR="003B0409" w:rsidRDefault="003B0409">
      <w:pPr>
        <w:tabs>
          <w:tab w:val="clear" w:pos="567"/>
          <w:tab w:val="clear" w:pos="1134"/>
          <w:tab w:val="clear" w:pos="1701"/>
          <w:tab w:val="clear" w:pos="2268"/>
          <w:tab w:val="clear" w:pos="2835"/>
        </w:tabs>
        <w:overflowPunct/>
        <w:autoSpaceDE/>
        <w:autoSpaceDN/>
        <w:adjustRightInd/>
        <w:spacing w:before="0"/>
        <w:textAlignment w:val="auto"/>
        <w:rPr>
          <w:b/>
          <w:sz w:val="28"/>
        </w:rPr>
      </w:pPr>
      <w:r>
        <w:br w:type="page"/>
      </w:r>
    </w:p>
    <w:p w14:paraId="41B87852" w14:textId="49BC6C4C" w:rsidR="00A420E4" w:rsidRDefault="00A420E4" w:rsidP="00A420E4">
      <w:pPr>
        <w:pStyle w:val="ResNo"/>
      </w:pPr>
      <w:r>
        <w:lastRenderedPageBreak/>
        <w:t xml:space="preserve">DRAFT </w:t>
      </w:r>
      <w:r w:rsidR="003B0409">
        <w:t xml:space="preserve">NEW </w:t>
      </w:r>
      <w:r>
        <w:t xml:space="preserve">RESOLUTION </w:t>
      </w:r>
      <w:r w:rsidR="003B0409">
        <w:t>[…]</w:t>
      </w:r>
    </w:p>
    <w:p w14:paraId="5CECC837" w14:textId="4DDF7E44" w:rsidR="00A420E4" w:rsidRDefault="00A420E4" w:rsidP="00A420E4">
      <w:pPr>
        <w:pStyle w:val="Restitle"/>
      </w:pPr>
      <w:r>
        <w:t xml:space="preserve">Assistance and support to Islamic republic of Iran for reconstructing its broadcasting and telecommunications/ICT sectors severely damaged </w:t>
      </w:r>
      <w:r>
        <w:br/>
        <w:t>by acts of aggression</w:t>
      </w:r>
    </w:p>
    <w:p w14:paraId="128E38EB" w14:textId="77777777" w:rsidR="00A420E4" w:rsidRDefault="00A420E4" w:rsidP="00A420E4">
      <w:pPr>
        <w:pStyle w:val="Normalaftertitle"/>
      </w:pPr>
      <w:r>
        <w:t>The ITU Council,</w:t>
      </w:r>
    </w:p>
    <w:p w14:paraId="752A4FCF" w14:textId="7A2B6197" w:rsidR="00A420E4" w:rsidRDefault="00A420E4" w:rsidP="00A420E4">
      <w:pPr>
        <w:pStyle w:val="Call"/>
      </w:pPr>
      <w:r>
        <w:t>recalling</w:t>
      </w:r>
    </w:p>
    <w:p w14:paraId="7344B121" w14:textId="11734422" w:rsidR="00A420E4" w:rsidRDefault="00A420E4" w:rsidP="00481073">
      <w:pPr>
        <w:jc w:val="both"/>
      </w:pPr>
      <w:r w:rsidRPr="00A420E4">
        <w:rPr>
          <w:i/>
          <w:iCs/>
        </w:rPr>
        <w:t>a)</w:t>
      </w:r>
      <w:r>
        <w:tab/>
        <w:t>the principles and objectives of the UN Charter and the Universal Declaration of Human Rights, which prohibit the use of force against any State's sovereignty and territorial integrity;</w:t>
      </w:r>
    </w:p>
    <w:p w14:paraId="2D4C45C9" w14:textId="1CFB3F61" w:rsidR="00A420E4" w:rsidRDefault="00A420E4" w:rsidP="00481073">
      <w:pPr>
        <w:jc w:val="both"/>
      </w:pPr>
      <w:r w:rsidRPr="00A420E4">
        <w:rPr>
          <w:i/>
          <w:iCs/>
        </w:rPr>
        <w:t>b)</w:t>
      </w:r>
      <w:r>
        <w:tab/>
        <w:t xml:space="preserve">the ITU's purposes as outlined in its Constitution and Convention; </w:t>
      </w:r>
    </w:p>
    <w:p w14:paraId="621E012A" w14:textId="42D891D2" w:rsidR="00A420E4" w:rsidRDefault="00A420E4" w:rsidP="00481073">
      <w:pPr>
        <w:jc w:val="both"/>
      </w:pPr>
      <w:r w:rsidRPr="00A420E4">
        <w:rPr>
          <w:i/>
          <w:iCs/>
        </w:rPr>
        <w:t>c)</w:t>
      </w:r>
      <w:r>
        <w:tab/>
        <w:t>the Union's responsibilities to enhance telecommunication services;</w:t>
      </w:r>
    </w:p>
    <w:p w14:paraId="341F9D99" w14:textId="6BC5E753" w:rsidR="00A420E4" w:rsidRDefault="00A420E4" w:rsidP="00481073">
      <w:pPr>
        <w:jc w:val="both"/>
      </w:pPr>
      <w:r w:rsidRPr="00A420E4">
        <w:rPr>
          <w:i/>
          <w:iCs/>
        </w:rPr>
        <w:t>d)</w:t>
      </w:r>
      <w:r>
        <w:tab/>
        <w:t xml:space="preserve">Resolution 34 </w:t>
      </w:r>
      <w:r w:rsidR="00AF401C" w:rsidRPr="00AF401C">
        <w:t xml:space="preserve">(Rev. Dubai, 2018) </w:t>
      </w:r>
      <w:r w:rsidR="00AF401C">
        <w:t xml:space="preserve">of </w:t>
      </w:r>
      <w:r w:rsidR="00E1562A">
        <w:t xml:space="preserve">the </w:t>
      </w:r>
      <w:r w:rsidR="00AF401C">
        <w:t xml:space="preserve">Plenipotentiary Conference </w:t>
      </w:r>
      <w:r>
        <w:t xml:space="preserve">on </w:t>
      </w:r>
      <w:r w:rsidR="00AF401C">
        <w:t xml:space="preserve">assistance </w:t>
      </w:r>
      <w:r>
        <w:t>and support to countries in special need for rebuilding their telecommunication sector,</w:t>
      </w:r>
    </w:p>
    <w:p w14:paraId="3BEDBB4B" w14:textId="06ACCF09" w:rsidR="00A420E4" w:rsidRDefault="00A420E4" w:rsidP="00A420E4">
      <w:pPr>
        <w:pStyle w:val="Call"/>
      </w:pPr>
      <w:r>
        <w:t>recalling further</w:t>
      </w:r>
    </w:p>
    <w:p w14:paraId="2A36F561" w14:textId="45DA6DD4" w:rsidR="00A420E4" w:rsidRDefault="00A420E4" w:rsidP="00481073">
      <w:pPr>
        <w:jc w:val="both"/>
      </w:pPr>
      <w:r w:rsidRPr="00A420E4">
        <w:rPr>
          <w:i/>
          <w:iCs/>
        </w:rPr>
        <w:t>a)</w:t>
      </w:r>
      <w:r>
        <w:tab/>
        <w:t xml:space="preserve">the relevant international frameworks include the Geneva Conventions and Additional Protocol I (Articles 48, 51, 52, 57, 79), Resolutions 2131 and 3314 </w:t>
      </w:r>
      <w:r w:rsidR="0025642B">
        <w:t xml:space="preserve">of the </w:t>
      </w:r>
      <w:r w:rsidR="0025642B" w:rsidRPr="0025642B">
        <w:t xml:space="preserve">United Nations General Assembly </w:t>
      </w:r>
      <w:r>
        <w:t xml:space="preserve">on aggression, and Resolutions 1738 and 2222 </w:t>
      </w:r>
      <w:r w:rsidR="0025642B">
        <w:t xml:space="preserve">of the </w:t>
      </w:r>
      <w:r w:rsidR="0025642B" w:rsidRPr="0025642B">
        <w:t xml:space="preserve">United Nations Security Council </w:t>
      </w:r>
      <w:r>
        <w:t xml:space="preserve">regarding media protection. Alongside human rights standards from the </w:t>
      </w:r>
      <w:r w:rsidR="0025642B" w:rsidRPr="0025642B">
        <w:t xml:space="preserve">International Covenant on Civil and Political Rights </w:t>
      </w:r>
      <w:r>
        <w:t>(Art</w:t>
      </w:r>
      <w:r w:rsidR="0025642B">
        <w:t>icles</w:t>
      </w:r>
      <w:r>
        <w:t xml:space="preserve"> 6</w:t>
      </w:r>
      <w:r w:rsidR="0025642B">
        <w:t xml:space="preserve"> and</w:t>
      </w:r>
      <w:r>
        <w:t xml:space="preserve"> 19) and </w:t>
      </w:r>
      <w:r w:rsidR="0025642B" w:rsidRPr="0025642B">
        <w:t xml:space="preserve">Universal Declaration of Human Rights </w:t>
      </w:r>
      <w:r>
        <w:t>(Art</w:t>
      </w:r>
      <w:r w:rsidR="0025642B">
        <w:t>icle</w:t>
      </w:r>
      <w:r>
        <w:t xml:space="preserve"> 19), and </w:t>
      </w:r>
      <w:r w:rsidR="0035148F" w:rsidRPr="0035148F">
        <w:t xml:space="preserve">International Law Commission </w:t>
      </w:r>
      <w:r>
        <w:t>Articles on State Responsibility (</w:t>
      </w:r>
      <w:r w:rsidR="0025642B">
        <w:t>Articles </w:t>
      </w:r>
      <w:r>
        <w:t>31</w:t>
      </w:r>
      <w:r w:rsidR="0025642B">
        <w:t xml:space="preserve"> and</w:t>
      </w:r>
      <w:r>
        <w:t xml:space="preserve"> 34), as well as the foundational principles of the International Telecommunication Union for communication infrastructure;</w:t>
      </w:r>
    </w:p>
    <w:p w14:paraId="19704882" w14:textId="4BC8F089" w:rsidR="00A420E4" w:rsidRDefault="00A420E4" w:rsidP="00481073">
      <w:pPr>
        <w:jc w:val="both"/>
      </w:pPr>
      <w:r w:rsidRPr="00481073">
        <w:rPr>
          <w:i/>
          <w:iCs/>
        </w:rPr>
        <w:t>b)</w:t>
      </w:r>
      <w:r>
        <w:tab/>
        <w:t>Resolution 136 (</w:t>
      </w:r>
      <w:r w:rsidR="00AF401C" w:rsidRPr="00AF401C">
        <w:t>Rev. Bucharest, 2022)</w:t>
      </w:r>
      <w:r>
        <w:t xml:space="preserve"> </w:t>
      </w:r>
      <w:r w:rsidR="00E1562A">
        <w:t xml:space="preserve">of the Plenipotentiary Conference </w:t>
      </w:r>
      <w:r>
        <w:t>on secure communications for public safety;</w:t>
      </w:r>
    </w:p>
    <w:p w14:paraId="039A5489" w14:textId="76C08325" w:rsidR="00A420E4" w:rsidRDefault="00A420E4" w:rsidP="00481073">
      <w:pPr>
        <w:jc w:val="both"/>
      </w:pPr>
      <w:r w:rsidRPr="00481073">
        <w:rPr>
          <w:i/>
          <w:iCs/>
        </w:rPr>
        <w:t>c)</w:t>
      </w:r>
      <w:r>
        <w:tab/>
        <w:t xml:space="preserve">Resolution 25 (Rev. Bucharest, 2022) </w:t>
      </w:r>
      <w:r w:rsidR="00E1562A">
        <w:t xml:space="preserve">of the Plenipotentiary Conference </w:t>
      </w:r>
      <w:r>
        <w:t>on strengthening the ITU regional presence;</w:t>
      </w:r>
    </w:p>
    <w:p w14:paraId="52A9ACD0" w14:textId="53AD79F9" w:rsidR="00A420E4" w:rsidRDefault="00A420E4" w:rsidP="00D16BC7">
      <w:r w:rsidRPr="00481073">
        <w:rPr>
          <w:i/>
          <w:iCs/>
        </w:rPr>
        <w:t>d)</w:t>
      </w:r>
      <w:r w:rsidR="00481073">
        <w:tab/>
      </w:r>
      <w:r>
        <w:t xml:space="preserve">Resolution 88 (Kigali, 2022) </w:t>
      </w:r>
      <w:r w:rsidR="00D16BC7">
        <w:t xml:space="preserve">of the World Telecommunication Development Conference </w:t>
      </w:r>
      <w:r>
        <w:t>on the ITU Partner2Connect Digital Coalition;</w:t>
      </w:r>
    </w:p>
    <w:p w14:paraId="5257855F" w14:textId="412D2058" w:rsidR="00A420E4" w:rsidRDefault="00A420E4" w:rsidP="00481073">
      <w:pPr>
        <w:jc w:val="both"/>
      </w:pPr>
      <w:r w:rsidRPr="00481073">
        <w:rPr>
          <w:i/>
          <w:iCs/>
        </w:rPr>
        <w:t>e)</w:t>
      </w:r>
      <w:r w:rsidR="00481073">
        <w:tab/>
      </w:r>
      <w:r>
        <w:t xml:space="preserve">the obligation to protect media personnel during armed conflict, and condemning the deaths of media personnel Nima </w:t>
      </w:r>
      <w:proofErr w:type="spellStart"/>
      <w:r>
        <w:t>Rajabpour</w:t>
      </w:r>
      <w:proofErr w:type="spellEnd"/>
      <w:r>
        <w:t xml:space="preserve"> and Masoumeh Azimi on 17 June 2025; </w:t>
      </w:r>
    </w:p>
    <w:p w14:paraId="02A4773D" w14:textId="2FEB0604" w:rsidR="00A420E4" w:rsidRDefault="00A420E4" w:rsidP="00481073">
      <w:pPr>
        <w:jc w:val="both"/>
      </w:pPr>
      <w:r w:rsidRPr="00481073">
        <w:rPr>
          <w:i/>
          <w:iCs/>
        </w:rPr>
        <w:t>f)</w:t>
      </w:r>
      <w:r w:rsidR="00481073">
        <w:tab/>
      </w:r>
      <w:r>
        <w:t>that attacks on civilian broadcasting and ICT facilities constitute violations of international humanitarian law and international human rights law</w:t>
      </w:r>
      <w:r w:rsidR="00D16BC7">
        <w:t>,</w:t>
      </w:r>
    </w:p>
    <w:p w14:paraId="7A7F1DF2" w14:textId="7B8BF43A" w:rsidR="00A420E4" w:rsidRDefault="00A420E4" w:rsidP="00A420E4">
      <w:pPr>
        <w:pStyle w:val="Call"/>
      </w:pPr>
      <w:r>
        <w:t>reiterating the ITU commitment</w:t>
      </w:r>
    </w:p>
    <w:p w14:paraId="79ACD55C" w14:textId="06B5F940" w:rsidR="00A420E4" w:rsidRDefault="00A420E4" w:rsidP="00481073">
      <w:pPr>
        <w:jc w:val="both"/>
      </w:pPr>
      <w:r>
        <w:t>to “promote the adoption of measures for ensuring the safety of life through the cooperation of telecommunication services”</w:t>
      </w:r>
      <w:r w:rsidR="00481073">
        <w:t>,</w:t>
      </w:r>
    </w:p>
    <w:p w14:paraId="76821258" w14:textId="32E54162" w:rsidR="00A420E4" w:rsidRDefault="00481073" w:rsidP="00A420E4">
      <w:pPr>
        <w:pStyle w:val="Call"/>
      </w:pPr>
      <w:r>
        <w:t xml:space="preserve">recognizing </w:t>
      </w:r>
    </w:p>
    <w:p w14:paraId="7706B7C5" w14:textId="06988D8C" w:rsidR="00A420E4" w:rsidRDefault="00A420E4" w:rsidP="00481073">
      <w:pPr>
        <w:jc w:val="both"/>
      </w:pPr>
      <w:r w:rsidRPr="00D16BC7">
        <w:rPr>
          <w:i/>
          <w:iCs/>
        </w:rPr>
        <w:t>a)</w:t>
      </w:r>
      <w:r w:rsidR="00481073">
        <w:tab/>
        <w:t xml:space="preserve">that </w:t>
      </w:r>
      <w:r>
        <w:t>unlawful armed attacks against the Islamic Republic of Iran since 28 February 2026 have severely impacted the broadcasting and telecommunications/ICT sector;</w:t>
      </w:r>
    </w:p>
    <w:p w14:paraId="57C4FFDE" w14:textId="34B3DEA9" w:rsidR="00A420E4" w:rsidRDefault="00A420E4" w:rsidP="00481073">
      <w:pPr>
        <w:jc w:val="both"/>
      </w:pPr>
      <w:r w:rsidRPr="00D16BC7">
        <w:rPr>
          <w:i/>
          <w:iCs/>
        </w:rPr>
        <w:lastRenderedPageBreak/>
        <w:t>b)</w:t>
      </w:r>
      <w:r w:rsidR="00481073">
        <w:tab/>
        <w:t xml:space="preserve">that </w:t>
      </w:r>
      <w:r>
        <w:t>national information flows and emergency communication services have been significantly disrupted;</w:t>
      </w:r>
    </w:p>
    <w:p w14:paraId="3B98D8DE" w14:textId="11F629B4" w:rsidR="00A420E4" w:rsidRDefault="00A420E4" w:rsidP="00481073">
      <w:pPr>
        <w:jc w:val="both"/>
      </w:pPr>
      <w:r w:rsidRPr="00D16BC7">
        <w:rPr>
          <w:i/>
          <w:iCs/>
        </w:rPr>
        <w:t>c)</w:t>
      </w:r>
      <w:r w:rsidR="00481073">
        <w:tab/>
        <w:t>that</w:t>
      </w:r>
      <w:r>
        <w:t xml:space="preserve"> deliberate interference and cyberattacks have caused extensive damage to critical infrastructure;</w:t>
      </w:r>
    </w:p>
    <w:p w14:paraId="71C481BB" w14:textId="66529AFF" w:rsidR="00A420E4" w:rsidRDefault="00A420E4" w:rsidP="00481073">
      <w:pPr>
        <w:jc w:val="both"/>
      </w:pPr>
      <w:r w:rsidRPr="00D16BC7">
        <w:rPr>
          <w:i/>
          <w:iCs/>
        </w:rPr>
        <w:t>d)</w:t>
      </w:r>
      <w:r w:rsidR="00481073">
        <w:tab/>
        <w:t>that</w:t>
      </w:r>
      <w:r>
        <w:t xml:space="preserve"> urgent international support is required to facilitate recovery efforts; </w:t>
      </w:r>
    </w:p>
    <w:p w14:paraId="1AB1CEE8" w14:textId="4CA3D0F2" w:rsidR="00A420E4" w:rsidRDefault="00A420E4" w:rsidP="00481073">
      <w:pPr>
        <w:jc w:val="both"/>
      </w:pPr>
      <w:r w:rsidRPr="00D16BC7">
        <w:rPr>
          <w:i/>
          <w:iCs/>
        </w:rPr>
        <w:t>e)</w:t>
      </w:r>
      <w:r w:rsidR="00481073">
        <w:tab/>
        <w:t xml:space="preserve">that </w:t>
      </w:r>
      <w:r>
        <w:t>coordinated, long-term technical assistance from bilateral, regional, and international organizations is essential to restore and modernize critical capabilities</w:t>
      </w:r>
      <w:r w:rsidR="00D16BC7">
        <w:t>,</w:t>
      </w:r>
    </w:p>
    <w:p w14:paraId="325B6A61" w14:textId="52A6A2D1" w:rsidR="00A420E4" w:rsidRDefault="00481073" w:rsidP="00A420E4">
      <w:pPr>
        <w:pStyle w:val="Call"/>
      </w:pPr>
      <w:r>
        <w:t xml:space="preserve">resolves </w:t>
      </w:r>
      <w:r w:rsidR="00A420E4">
        <w:t>to instruct the Directors of the three Bureaux</w:t>
      </w:r>
    </w:p>
    <w:p w14:paraId="780CEBBE" w14:textId="72F9A030" w:rsidR="00A420E4" w:rsidRDefault="00A420E4" w:rsidP="00481073">
      <w:pPr>
        <w:jc w:val="both"/>
      </w:pPr>
      <w:r>
        <w:t>1</w:t>
      </w:r>
      <w:r w:rsidR="00481073">
        <w:tab/>
      </w:r>
      <w:r>
        <w:t>to collaborate with the Islamic Republic of Iran to assess and address damage to broadcasting and ICT infrastructure, ensuring ongoing evaluations until full restoration is achieved;</w:t>
      </w:r>
    </w:p>
    <w:p w14:paraId="22BCD66E" w14:textId="0E8002AE" w:rsidR="00A420E4" w:rsidRDefault="00A420E4" w:rsidP="00481073">
      <w:pPr>
        <w:jc w:val="both"/>
      </w:pPr>
      <w:r>
        <w:t>2</w:t>
      </w:r>
      <w:r w:rsidR="00481073">
        <w:tab/>
      </w:r>
      <w:r>
        <w:t>to prepare proposals for reconstruction and modernization of Iran's broadcasting and ICT systems, focusing on sustainable digital recovery;</w:t>
      </w:r>
    </w:p>
    <w:p w14:paraId="417AFDEC" w14:textId="453DAE19" w:rsidR="00A420E4" w:rsidRDefault="00A420E4" w:rsidP="00481073">
      <w:pPr>
        <w:jc w:val="both"/>
      </w:pPr>
      <w:r>
        <w:t>3</w:t>
      </w:r>
      <w:r w:rsidR="00481073">
        <w:tab/>
      </w:r>
      <w:r>
        <w:t>to mobilize resources through the internal budget, ICT Development Fund, Partner2Connect Coalition, and voluntary contributions from Member States to support implementation of these initiatives;</w:t>
      </w:r>
    </w:p>
    <w:p w14:paraId="266C16E9" w14:textId="60CE5E3C" w:rsidR="00A420E4" w:rsidRDefault="00A420E4" w:rsidP="00481073">
      <w:pPr>
        <w:jc w:val="both"/>
      </w:pPr>
      <w:r>
        <w:t>4</w:t>
      </w:r>
      <w:r w:rsidR="00481073">
        <w:tab/>
      </w:r>
      <w:r>
        <w:t xml:space="preserve">to </w:t>
      </w:r>
      <w:proofErr w:type="gramStart"/>
      <w:r>
        <w:t>provide assistance to</w:t>
      </w:r>
      <w:proofErr w:type="gramEnd"/>
      <w:r>
        <w:t xml:space="preserve"> detect RF cyber-satellite interference and develop regulatory frameworks to enhance satellite broadcast network resilience</w:t>
      </w:r>
      <w:r w:rsidR="00481073">
        <w:t>,</w:t>
      </w:r>
    </w:p>
    <w:p w14:paraId="1BB7A9C2" w14:textId="3296A027" w:rsidR="00A420E4" w:rsidRDefault="00481073" w:rsidP="00A420E4">
      <w:pPr>
        <w:pStyle w:val="Call"/>
      </w:pPr>
      <w:r>
        <w:t xml:space="preserve">instructs </w:t>
      </w:r>
      <w:r w:rsidR="00A420E4">
        <w:t>the Secretary General</w:t>
      </w:r>
    </w:p>
    <w:p w14:paraId="6FF84B65" w14:textId="18C39346" w:rsidR="00A420E4" w:rsidRDefault="00A420E4" w:rsidP="00481073">
      <w:pPr>
        <w:jc w:val="both"/>
      </w:pPr>
      <w:r>
        <w:t>1</w:t>
      </w:r>
      <w:r w:rsidR="00481073">
        <w:tab/>
      </w:r>
      <w:r>
        <w:t xml:space="preserve">to coordinate the activities carried out by the three Sectors of the Union in accordance with </w:t>
      </w:r>
      <w:r w:rsidRPr="003D394C">
        <w:rPr>
          <w:i/>
          <w:iCs/>
        </w:rPr>
        <w:t>resolves</w:t>
      </w:r>
      <w:r>
        <w:t xml:space="preserve"> above, to ensure that the Union's action in favour of Iran is as effective as possible;</w:t>
      </w:r>
    </w:p>
    <w:p w14:paraId="23714C51" w14:textId="08D172F5" w:rsidR="00A420E4" w:rsidRDefault="00A420E4" w:rsidP="00481073">
      <w:pPr>
        <w:jc w:val="both"/>
      </w:pPr>
      <w:r>
        <w:t>2</w:t>
      </w:r>
      <w:r w:rsidR="00481073">
        <w:tab/>
      </w:r>
      <w:r>
        <w:t xml:space="preserve">to provide a report on the matter to the 2026 Plenipotentiary </w:t>
      </w:r>
      <w:r w:rsidR="00DE220E">
        <w:t xml:space="preserve">Conference </w:t>
      </w:r>
      <w:r>
        <w:t>and to the Council meeting in 2027, and future meetings and conferences as appropriate,</w:t>
      </w:r>
    </w:p>
    <w:p w14:paraId="4C89852F" w14:textId="576E1A17" w:rsidR="00A420E4" w:rsidRDefault="00DE220E" w:rsidP="00A420E4">
      <w:pPr>
        <w:pStyle w:val="Call"/>
      </w:pPr>
      <w:r>
        <w:t xml:space="preserve">invites </w:t>
      </w:r>
      <w:r w:rsidR="00A420E4">
        <w:t>Member States</w:t>
      </w:r>
    </w:p>
    <w:p w14:paraId="52C73A09" w14:textId="22475D8F" w:rsidR="00A420E4" w:rsidRDefault="00A420E4" w:rsidP="00481073">
      <w:pPr>
        <w:jc w:val="both"/>
      </w:pPr>
      <w:r>
        <w:t>1</w:t>
      </w:r>
      <w:r w:rsidR="00481073">
        <w:tab/>
      </w:r>
      <w:r w:rsidR="00DE220E">
        <w:t xml:space="preserve">to </w:t>
      </w:r>
      <w:r>
        <w:t>voluntarily provide technical expertise, equipment, capacity building, or financial resources to support this Resolution;</w:t>
      </w:r>
    </w:p>
    <w:p w14:paraId="4B4A5595" w14:textId="3CBBD454" w:rsidR="00A514A4" w:rsidRPr="007A3FCD" w:rsidRDefault="00A420E4" w:rsidP="00481073">
      <w:pPr>
        <w:jc w:val="both"/>
      </w:pPr>
      <w:r>
        <w:t>2</w:t>
      </w:r>
      <w:r w:rsidR="00481073">
        <w:tab/>
      </w:r>
      <w:r>
        <w:t>to share experience and good practices in protecting broadcasting and telecommunication/ICT infrastructure during armed conflicts or external hostilities.</w:t>
      </w:r>
    </w:p>
    <w:p w14:paraId="7DC20FDD" w14:textId="77777777" w:rsidR="007A3FCD" w:rsidRPr="007A3FCD" w:rsidRDefault="007A3FCD" w:rsidP="0032202E">
      <w:pPr>
        <w:pStyle w:val="Reasons"/>
        <w:rPr>
          <w:rFonts w:asciiTheme="minorHAnsi" w:hAnsiTheme="minorHAnsi" w:cstheme="minorHAnsi"/>
        </w:rPr>
      </w:pPr>
    </w:p>
    <w:p w14:paraId="18E79037" w14:textId="77777777" w:rsidR="007A3FCD" w:rsidRPr="00C0458D" w:rsidRDefault="007A3FCD" w:rsidP="007A3FCD">
      <w:pPr>
        <w:jc w:val="center"/>
      </w:pPr>
      <w:r>
        <w:t>______________</w:t>
      </w:r>
    </w:p>
    <w:sectPr w:rsidR="007A3FCD" w:rsidRPr="00C0458D" w:rsidSect="00AD3606">
      <w:footerReference w:type="default" r:id="rId9"/>
      <w:headerReference w:type="first" r:id="rId10"/>
      <w:footerReference w:type="first" r:id="rId1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290A3" w14:textId="77777777" w:rsidR="0072677A" w:rsidRDefault="0072677A">
      <w:r>
        <w:separator/>
      </w:r>
    </w:p>
  </w:endnote>
  <w:endnote w:type="continuationSeparator" w:id="0">
    <w:p w14:paraId="29D7D353" w14:textId="77777777" w:rsidR="0072677A" w:rsidRDefault="0072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689B027A" w14:textId="77777777" w:rsidTr="0042469C">
      <w:trPr>
        <w:jc w:val="center"/>
      </w:trPr>
      <w:tc>
        <w:tcPr>
          <w:tcW w:w="1803" w:type="dxa"/>
          <w:vAlign w:val="center"/>
        </w:tcPr>
        <w:p w14:paraId="4D3E4DF4" w14:textId="77777777" w:rsidR="00EE49E8" w:rsidRDefault="00C6520B" w:rsidP="00EE49E8">
          <w:pPr>
            <w:pStyle w:val="Header"/>
            <w:jc w:val="left"/>
            <w:rPr>
              <w:noProof/>
            </w:rPr>
          </w:pPr>
          <w:r>
            <w:rPr>
              <w:noProof/>
            </w:rPr>
            <w:t>gDoc #</w:t>
          </w:r>
        </w:p>
      </w:tc>
      <w:tc>
        <w:tcPr>
          <w:tcW w:w="8261" w:type="dxa"/>
        </w:tcPr>
        <w:p w14:paraId="6A415D09" w14:textId="5DEB92FB"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DD4A09">
            <w:rPr>
              <w:bCs/>
            </w:rPr>
            <w:t>86</w:t>
          </w:r>
          <w:r w:rsidRPr="00623AE3">
            <w:rPr>
              <w:bCs/>
            </w:rPr>
            <w:t>-E</w:t>
          </w:r>
          <w:r>
            <w:rPr>
              <w:bCs/>
            </w:rPr>
            <w:tab/>
          </w:r>
          <w:r>
            <w:fldChar w:fldCharType="begin"/>
          </w:r>
          <w:r>
            <w:instrText>PAGE</w:instrText>
          </w:r>
          <w:r>
            <w:fldChar w:fldCharType="separate"/>
          </w:r>
          <w:r>
            <w:t>1</w:t>
          </w:r>
          <w:r>
            <w:rPr>
              <w:noProof/>
            </w:rPr>
            <w:fldChar w:fldCharType="end"/>
          </w:r>
        </w:p>
      </w:tc>
    </w:tr>
  </w:tbl>
  <w:p w14:paraId="1DBAE4DA"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38A7EA2B" w14:textId="77777777" w:rsidTr="006B77F1">
      <w:trPr>
        <w:jc w:val="center"/>
      </w:trPr>
      <w:tc>
        <w:tcPr>
          <w:tcW w:w="1803" w:type="dxa"/>
          <w:vAlign w:val="center"/>
        </w:tcPr>
        <w:p w14:paraId="06F821FA" w14:textId="77777777" w:rsidR="00EE49E8" w:rsidRPr="006B77F1" w:rsidRDefault="00DE532B" w:rsidP="00EE49E8">
          <w:pPr>
            <w:pStyle w:val="Header"/>
            <w:jc w:val="left"/>
            <w:rPr>
              <w:noProof/>
            </w:rPr>
          </w:pPr>
          <w:hyperlink r:id="rId1" w:history="1">
            <w:proofErr w:type="spellStart"/>
            <w:r>
              <w:rPr>
                <w:rStyle w:val="Hyperlink"/>
                <w:u w:val="none"/>
              </w:rPr>
              <w:t>council.itu.int</w:t>
            </w:r>
            <w:proofErr w:type="spellEnd"/>
            <w:r>
              <w:rPr>
                <w:rStyle w:val="Hyperlink"/>
                <w:u w:val="none"/>
              </w:rPr>
              <w:t>/2026</w:t>
            </w:r>
          </w:hyperlink>
        </w:p>
      </w:tc>
      <w:tc>
        <w:tcPr>
          <w:tcW w:w="8261" w:type="dxa"/>
        </w:tcPr>
        <w:p w14:paraId="783C341B" w14:textId="71CB4858"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DD4A09">
            <w:rPr>
              <w:bCs/>
            </w:rPr>
            <w:t>86</w:t>
          </w:r>
          <w:r w:rsidRPr="00623AE3">
            <w:rPr>
              <w:bCs/>
            </w:rPr>
            <w:t>-E</w:t>
          </w:r>
          <w:r>
            <w:rPr>
              <w:bCs/>
            </w:rPr>
            <w:tab/>
          </w:r>
          <w:r>
            <w:fldChar w:fldCharType="begin"/>
          </w:r>
          <w:r>
            <w:instrText>PAGE</w:instrText>
          </w:r>
          <w:r>
            <w:fldChar w:fldCharType="separate"/>
          </w:r>
          <w:r>
            <w:t>1</w:t>
          </w:r>
          <w:r>
            <w:rPr>
              <w:noProof/>
            </w:rPr>
            <w:fldChar w:fldCharType="end"/>
          </w:r>
        </w:p>
      </w:tc>
    </w:tr>
  </w:tbl>
  <w:p w14:paraId="1CCF3EED"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AC89F" w14:textId="77777777" w:rsidR="0072677A" w:rsidRDefault="0072677A">
      <w:r>
        <w:t>____________________</w:t>
      </w:r>
    </w:p>
  </w:footnote>
  <w:footnote w:type="continuationSeparator" w:id="0">
    <w:p w14:paraId="5CF5B3E1" w14:textId="77777777" w:rsidR="0072677A" w:rsidRDefault="00726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A962"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7A"/>
    <w:rsid w:val="000210D4"/>
    <w:rsid w:val="00026D82"/>
    <w:rsid w:val="0006007D"/>
    <w:rsid w:val="00063016"/>
    <w:rsid w:val="00066795"/>
    <w:rsid w:val="00076AF6"/>
    <w:rsid w:val="00085CF2"/>
    <w:rsid w:val="000B1705"/>
    <w:rsid w:val="000D75B2"/>
    <w:rsid w:val="000E372C"/>
    <w:rsid w:val="000F5DDB"/>
    <w:rsid w:val="001121F5"/>
    <w:rsid w:val="001400DC"/>
    <w:rsid w:val="00140CE1"/>
    <w:rsid w:val="0015189A"/>
    <w:rsid w:val="0017539C"/>
    <w:rsid w:val="00175AC2"/>
    <w:rsid w:val="0017609F"/>
    <w:rsid w:val="00176F47"/>
    <w:rsid w:val="001A1863"/>
    <w:rsid w:val="001A3154"/>
    <w:rsid w:val="001A7D1D"/>
    <w:rsid w:val="001B51DD"/>
    <w:rsid w:val="001C628E"/>
    <w:rsid w:val="001E0F7B"/>
    <w:rsid w:val="001F5569"/>
    <w:rsid w:val="0020487B"/>
    <w:rsid w:val="002119FD"/>
    <w:rsid w:val="002130E0"/>
    <w:rsid w:val="00221F46"/>
    <w:rsid w:val="0025642B"/>
    <w:rsid w:val="00257A7E"/>
    <w:rsid w:val="00264425"/>
    <w:rsid w:val="00265875"/>
    <w:rsid w:val="0027303B"/>
    <w:rsid w:val="00277DEA"/>
    <w:rsid w:val="0028109B"/>
    <w:rsid w:val="002916B4"/>
    <w:rsid w:val="002A0615"/>
    <w:rsid w:val="002A133E"/>
    <w:rsid w:val="002A2188"/>
    <w:rsid w:val="002B1F58"/>
    <w:rsid w:val="002C1C7A"/>
    <w:rsid w:val="002C3F32"/>
    <w:rsid w:val="002C54E2"/>
    <w:rsid w:val="0030160F"/>
    <w:rsid w:val="00317064"/>
    <w:rsid w:val="00320223"/>
    <w:rsid w:val="00322D0D"/>
    <w:rsid w:val="0035148F"/>
    <w:rsid w:val="00361465"/>
    <w:rsid w:val="003877F5"/>
    <w:rsid w:val="003936D3"/>
    <w:rsid w:val="003942D4"/>
    <w:rsid w:val="003958A8"/>
    <w:rsid w:val="003B0409"/>
    <w:rsid w:val="003B29C2"/>
    <w:rsid w:val="003B4FAF"/>
    <w:rsid w:val="003C2533"/>
    <w:rsid w:val="003D394C"/>
    <w:rsid w:val="003D5A7F"/>
    <w:rsid w:val="003F0228"/>
    <w:rsid w:val="0040435A"/>
    <w:rsid w:val="00416A24"/>
    <w:rsid w:val="00431D9E"/>
    <w:rsid w:val="00433CE8"/>
    <w:rsid w:val="00434A5C"/>
    <w:rsid w:val="00453079"/>
    <w:rsid w:val="004544D9"/>
    <w:rsid w:val="00465C35"/>
    <w:rsid w:val="00472BAD"/>
    <w:rsid w:val="00481073"/>
    <w:rsid w:val="00484009"/>
    <w:rsid w:val="00490E72"/>
    <w:rsid w:val="00491157"/>
    <w:rsid w:val="00491BA9"/>
    <w:rsid w:val="004921C8"/>
    <w:rsid w:val="0049369C"/>
    <w:rsid w:val="00495615"/>
    <w:rsid w:val="00495B0B"/>
    <w:rsid w:val="004A1B8B"/>
    <w:rsid w:val="004D1851"/>
    <w:rsid w:val="004D599D"/>
    <w:rsid w:val="004E2EA5"/>
    <w:rsid w:val="004E3AEB"/>
    <w:rsid w:val="0050223C"/>
    <w:rsid w:val="00512087"/>
    <w:rsid w:val="005243FF"/>
    <w:rsid w:val="00564FBC"/>
    <w:rsid w:val="005800BC"/>
    <w:rsid w:val="00582442"/>
    <w:rsid w:val="005F3269"/>
    <w:rsid w:val="0061071E"/>
    <w:rsid w:val="00623AE3"/>
    <w:rsid w:val="0064737F"/>
    <w:rsid w:val="006535F1"/>
    <w:rsid w:val="0065557D"/>
    <w:rsid w:val="00660D50"/>
    <w:rsid w:val="00662984"/>
    <w:rsid w:val="006716BB"/>
    <w:rsid w:val="006A2F4B"/>
    <w:rsid w:val="006B1859"/>
    <w:rsid w:val="006B6680"/>
    <w:rsid w:val="006B6DCC"/>
    <w:rsid w:val="006B77F1"/>
    <w:rsid w:val="00702DEF"/>
    <w:rsid w:val="00706861"/>
    <w:rsid w:val="00722551"/>
    <w:rsid w:val="0072677A"/>
    <w:rsid w:val="0075051B"/>
    <w:rsid w:val="00765C89"/>
    <w:rsid w:val="0077110E"/>
    <w:rsid w:val="00793188"/>
    <w:rsid w:val="00794D34"/>
    <w:rsid w:val="007A3FCD"/>
    <w:rsid w:val="007B19CF"/>
    <w:rsid w:val="007D01AF"/>
    <w:rsid w:val="00813E5E"/>
    <w:rsid w:val="0083581B"/>
    <w:rsid w:val="0084546D"/>
    <w:rsid w:val="00863874"/>
    <w:rsid w:val="00864AFF"/>
    <w:rsid w:val="00865925"/>
    <w:rsid w:val="008B4A6A"/>
    <w:rsid w:val="008C7E27"/>
    <w:rsid w:val="008F7448"/>
    <w:rsid w:val="0090147A"/>
    <w:rsid w:val="009173EF"/>
    <w:rsid w:val="00932906"/>
    <w:rsid w:val="00954C49"/>
    <w:rsid w:val="00961B0B"/>
    <w:rsid w:val="00962D33"/>
    <w:rsid w:val="009842A1"/>
    <w:rsid w:val="009A76A8"/>
    <w:rsid w:val="009B38C3"/>
    <w:rsid w:val="009E17BD"/>
    <w:rsid w:val="009E485A"/>
    <w:rsid w:val="00A04CEC"/>
    <w:rsid w:val="00A109AF"/>
    <w:rsid w:val="00A24614"/>
    <w:rsid w:val="00A27F92"/>
    <w:rsid w:val="00A32257"/>
    <w:rsid w:val="00A36D20"/>
    <w:rsid w:val="00A420E4"/>
    <w:rsid w:val="00A514A4"/>
    <w:rsid w:val="00A55622"/>
    <w:rsid w:val="00A7169E"/>
    <w:rsid w:val="00A83502"/>
    <w:rsid w:val="00A94BAB"/>
    <w:rsid w:val="00AD15B3"/>
    <w:rsid w:val="00AD3606"/>
    <w:rsid w:val="00AD4A3D"/>
    <w:rsid w:val="00AF401C"/>
    <w:rsid w:val="00AF6E49"/>
    <w:rsid w:val="00B04A67"/>
    <w:rsid w:val="00B0583C"/>
    <w:rsid w:val="00B119F1"/>
    <w:rsid w:val="00B40A81"/>
    <w:rsid w:val="00B44910"/>
    <w:rsid w:val="00B72267"/>
    <w:rsid w:val="00B76EB6"/>
    <w:rsid w:val="00B7737B"/>
    <w:rsid w:val="00B824C8"/>
    <w:rsid w:val="00B84B9D"/>
    <w:rsid w:val="00B9131F"/>
    <w:rsid w:val="00BB0646"/>
    <w:rsid w:val="00BC251A"/>
    <w:rsid w:val="00BC4A20"/>
    <w:rsid w:val="00BD032B"/>
    <w:rsid w:val="00BE01C6"/>
    <w:rsid w:val="00BE2640"/>
    <w:rsid w:val="00BF1FDE"/>
    <w:rsid w:val="00C01189"/>
    <w:rsid w:val="00C0458D"/>
    <w:rsid w:val="00C251A1"/>
    <w:rsid w:val="00C374DE"/>
    <w:rsid w:val="00C47AD4"/>
    <w:rsid w:val="00C50B0D"/>
    <w:rsid w:val="00C52D81"/>
    <w:rsid w:val="00C55198"/>
    <w:rsid w:val="00C5605F"/>
    <w:rsid w:val="00C6520B"/>
    <w:rsid w:val="00CA6393"/>
    <w:rsid w:val="00CA7995"/>
    <w:rsid w:val="00CB18FF"/>
    <w:rsid w:val="00CD0C08"/>
    <w:rsid w:val="00CE03FB"/>
    <w:rsid w:val="00CE433C"/>
    <w:rsid w:val="00CF0161"/>
    <w:rsid w:val="00CF33F3"/>
    <w:rsid w:val="00CF4A2B"/>
    <w:rsid w:val="00CF4FAD"/>
    <w:rsid w:val="00D024CA"/>
    <w:rsid w:val="00D046DB"/>
    <w:rsid w:val="00D06183"/>
    <w:rsid w:val="00D16BC7"/>
    <w:rsid w:val="00D22C42"/>
    <w:rsid w:val="00D65041"/>
    <w:rsid w:val="00D71D5A"/>
    <w:rsid w:val="00DB1936"/>
    <w:rsid w:val="00DB384B"/>
    <w:rsid w:val="00DD4A09"/>
    <w:rsid w:val="00DE220E"/>
    <w:rsid w:val="00DE532B"/>
    <w:rsid w:val="00DF0189"/>
    <w:rsid w:val="00E06FD5"/>
    <w:rsid w:val="00E10E80"/>
    <w:rsid w:val="00E124F0"/>
    <w:rsid w:val="00E1562A"/>
    <w:rsid w:val="00E227F3"/>
    <w:rsid w:val="00E545C6"/>
    <w:rsid w:val="00E60F04"/>
    <w:rsid w:val="00E65B24"/>
    <w:rsid w:val="00E854E4"/>
    <w:rsid w:val="00E86DBF"/>
    <w:rsid w:val="00E969AF"/>
    <w:rsid w:val="00EB0D6F"/>
    <w:rsid w:val="00EB2232"/>
    <w:rsid w:val="00EC5337"/>
    <w:rsid w:val="00EE49E8"/>
    <w:rsid w:val="00F16BAB"/>
    <w:rsid w:val="00F2150A"/>
    <w:rsid w:val="00F231D8"/>
    <w:rsid w:val="00F44C00"/>
    <w:rsid w:val="00F45D2C"/>
    <w:rsid w:val="00F46C5F"/>
    <w:rsid w:val="00F632C0"/>
    <w:rsid w:val="00F641E1"/>
    <w:rsid w:val="00F94A63"/>
    <w:rsid w:val="00FA1C28"/>
    <w:rsid w:val="00FB1279"/>
    <w:rsid w:val="00FB6B76"/>
    <w:rsid w:val="00FB759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9D074"/>
  <w15:docId w15:val="{C7ED5973-C02D-4863-B39E-679D238C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CF4FAD"/>
    <w:pPr>
      <w:framePr w:hSpace="181" w:wrap="around" w:vAnchor="page" w:hAnchor="page" w:x="1589" w:y="2314"/>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text" w:x="1821" w:y="2317"/>
      <w:spacing w:before="120" w:after="12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35/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PE_Council26.dotx</Template>
  <TotalTime>32</TotalTime>
  <Pages>6</Pages>
  <Words>1960</Words>
  <Characters>12398</Characters>
  <Application>Microsoft Office Word</Application>
  <DocSecurity>0</DocSecurity>
  <Lines>210</Lines>
  <Paragraphs>83</Paragraphs>
  <ScaleCrop>false</ScaleCrop>
  <HeadingPairs>
    <vt:vector size="2" baseType="variant">
      <vt:variant>
        <vt:lpstr>Title</vt:lpstr>
      </vt:variant>
      <vt:variant>
        <vt:i4>1</vt:i4>
      </vt:variant>
    </vt:vector>
  </HeadingPairs>
  <TitlesOfParts>
    <vt:vector size="1" baseType="lpstr">
      <vt:lpstr/>
    </vt:vector>
  </TitlesOfParts>
  <Manager>General Secretariat</Manager>
  <Company>International Telecommunication Union (ITU)</Company>
  <LinksUpToDate>false</LinksUpToDate>
  <CharactersWithSpaces>14275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the adoption of a new ITU Council Resolution on assistance and support to the Islamic Republic of Iran for reconstructing its broadcasting and telecommunication/ICT sectors severely damaged by acts of aggression</dc:title>
  <dc:subject>ITU Council 2026</dc:subject>
  <cp:keywords>C26; C2026; Council 2026; PP26</cp:keywords>
  <dc:description/>
  <cp:lastPrinted>2000-07-18T13:30:00Z</cp:lastPrinted>
  <dcterms:created xsi:type="dcterms:W3CDTF">2026-04-23T14:24:00Z</dcterms:created>
  <dcterms:modified xsi:type="dcterms:W3CDTF">2026-04-23T15:05:00Z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