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1702"/>
        <w:tblW w:w="9214" w:type="dxa"/>
        <w:tblLayout w:type="fixed"/>
        <w:tblLook w:val="0000" w:firstRow="0" w:lastRow="0" w:firstColumn="0" w:lastColumn="0" w:noHBand="0" w:noVBand="0"/>
      </w:tblPr>
      <w:tblGrid>
        <w:gridCol w:w="3969"/>
        <w:gridCol w:w="5245"/>
      </w:tblGrid>
      <w:tr w:rsidR="00FE57F6" w:rsidRPr="00084F38" w14:paraId="4D8CA3CB" w14:textId="77777777" w:rsidTr="003344DC">
        <w:trPr>
          <w:cantSplit/>
          <w:trHeight w:val="23"/>
        </w:trPr>
        <w:tc>
          <w:tcPr>
            <w:tcW w:w="3969" w:type="dxa"/>
            <w:vMerge w:val="restart"/>
            <w:tcMar>
              <w:left w:w="0" w:type="dxa"/>
            </w:tcMar>
          </w:tcPr>
          <w:p w14:paraId="6B9EBE6F" w14:textId="358410C6" w:rsidR="00FE57F6" w:rsidRPr="00084F38" w:rsidRDefault="00CC1FAF" w:rsidP="003344DC">
            <w:pPr>
              <w:tabs>
                <w:tab w:val="left" w:pos="851"/>
              </w:tabs>
              <w:spacing w:before="0" w:line="240" w:lineRule="atLeast"/>
              <w:rPr>
                <w:b/>
                <w:lang w:val="es-ES"/>
              </w:rPr>
            </w:pPr>
            <w:bookmarkStart w:id="0" w:name="_Hlk133421839"/>
            <w:r w:rsidRPr="00084F38">
              <w:rPr>
                <w:b/>
                <w:lang w:val="es-ES"/>
              </w:rPr>
              <w:t>Punto del o</w:t>
            </w:r>
            <w:r w:rsidR="00BB6FD8" w:rsidRPr="00084F38">
              <w:rPr>
                <w:b/>
                <w:lang w:val="es-ES"/>
              </w:rPr>
              <w:t>rden del día</w:t>
            </w:r>
            <w:r w:rsidR="00FE57F6" w:rsidRPr="00084F38">
              <w:rPr>
                <w:b/>
                <w:lang w:val="es-ES"/>
              </w:rPr>
              <w:t xml:space="preserve">: </w:t>
            </w:r>
            <w:r w:rsidR="00BD3875" w:rsidRPr="00084F38">
              <w:rPr>
                <w:b/>
                <w:lang w:val="es-ES"/>
              </w:rPr>
              <w:t>PL-2</w:t>
            </w:r>
          </w:p>
        </w:tc>
        <w:tc>
          <w:tcPr>
            <w:tcW w:w="5245" w:type="dxa"/>
          </w:tcPr>
          <w:p w14:paraId="43FC9FD6" w14:textId="2E651C28" w:rsidR="00FE57F6" w:rsidRPr="00084F38" w:rsidRDefault="00FE57F6" w:rsidP="003344DC">
            <w:pPr>
              <w:tabs>
                <w:tab w:val="left" w:pos="851"/>
              </w:tabs>
              <w:spacing w:before="0" w:line="240" w:lineRule="atLeast"/>
              <w:jc w:val="right"/>
              <w:rPr>
                <w:b/>
                <w:lang w:val="es-ES"/>
              </w:rPr>
            </w:pPr>
            <w:r w:rsidRPr="00084F38">
              <w:rPr>
                <w:b/>
                <w:lang w:val="es-ES"/>
              </w:rPr>
              <w:t>Document</w:t>
            </w:r>
            <w:r w:rsidR="00F24B71" w:rsidRPr="00084F38">
              <w:rPr>
                <w:b/>
                <w:lang w:val="es-ES"/>
              </w:rPr>
              <w:t>o</w:t>
            </w:r>
            <w:r w:rsidRPr="00084F38">
              <w:rPr>
                <w:b/>
                <w:lang w:val="es-ES"/>
              </w:rPr>
              <w:t xml:space="preserve"> C2</w:t>
            </w:r>
            <w:r w:rsidR="00F85E5C" w:rsidRPr="00084F38">
              <w:rPr>
                <w:b/>
                <w:lang w:val="es-ES"/>
              </w:rPr>
              <w:t>6</w:t>
            </w:r>
            <w:r w:rsidRPr="00084F38">
              <w:rPr>
                <w:b/>
                <w:lang w:val="es-ES"/>
              </w:rPr>
              <w:t>/</w:t>
            </w:r>
            <w:r w:rsidR="00BD3875" w:rsidRPr="00084F38">
              <w:rPr>
                <w:b/>
                <w:lang w:val="es-ES"/>
              </w:rPr>
              <w:t>85</w:t>
            </w:r>
            <w:r w:rsidRPr="00084F38">
              <w:rPr>
                <w:b/>
                <w:lang w:val="es-ES"/>
              </w:rPr>
              <w:t>-</w:t>
            </w:r>
            <w:r w:rsidR="00F24B71" w:rsidRPr="00084F38">
              <w:rPr>
                <w:b/>
                <w:lang w:val="es-ES"/>
              </w:rPr>
              <w:t>S</w:t>
            </w:r>
          </w:p>
        </w:tc>
      </w:tr>
      <w:tr w:rsidR="00FE57F6" w:rsidRPr="00084F38" w14:paraId="4832EF50" w14:textId="77777777" w:rsidTr="003344DC">
        <w:trPr>
          <w:cantSplit/>
        </w:trPr>
        <w:tc>
          <w:tcPr>
            <w:tcW w:w="3969" w:type="dxa"/>
            <w:vMerge/>
          </w:tcPr>
          <w:p w14:paraId="27746E6D" w14:textId="77777777" w:rsidR="00FE57F6" w:rsidRPr="00084F38" w:rsidRDefault="00FE57F6" w:rsidP="003344DC">
            <w:pPr>
              <w:tabs>
                <w:tab w:val="left" w:pos="851"/>
              </w:tabs>
              <w:spacing w:line="240" w:lineRule="atLeast"/>
              <w:rPr>
                <w:b/>
                <w:lang w:val="es-ES"/>
              </w:rPr>
            </w:pPr>
          </w:p>
        </w:tc>
        <w:tc>
          <w:tcPr>
            <w:tcW w:w="5245" w:type="dxa"/>
          </w:tcPr>
          <w:p w14:paraId="38BD109B" w14:textId="0DC2DAD5" w:rsidR="00FE57F6" w:rsidRPr="00084F38" w:rsidRDefault="00BD3875" w:rsidP="003344DC">
            <w:pPr>
              <w:tabs>
                <w:tab w:val="left" w:pos="851"/>
              </w:tabs>
              <w:spacing w:before="0"/>
              <w:jc w:val="right"/>
              <w:rPr>
                <w:b/>
                <w:lang w:val="es-ES"/>
              </w:rPr>
            </w:pPr>
            <w:r w:rsidRPr="00084F38">
              <w:rPr>
                <w:b/>
                <w:lang w:val="es-ES"/>
              </w:rPr>
              <w:t>14 de abril de 2026</w:t>
            </w:r>
          </w:p>
        </w:tc>
      </w:tr>
      <w:tr w:rsidR="00FE57F6" w:rsidRPr="00084F38" w14:paraId="40260E8E" w14:textId="77777777" w:rsidTr="003344DC">
        <w:trPr>
          <w:cantSplit/>
          <w:trHeight w:val="23"/>
        </w:trPr>
        <w:tc>
          <w:tcPr>
            <w:tcW w:w="3969" w:type="dxa"/>
            <w:vMerge/>
          </w:tcPr>
          <w:p w14:paraId="6513A434" w14:textId="77777777" w:rsidR="00FE57F6" w:rsidRPr="00084F38" w:rsidRDefault="00FE57F6" w:rsidP="003344DC">
            <w:pPr>
              <w:tabs>
                <w:tab w:val="left" w:pos="851"/>
              </w:tabs>
              <w:spacing w:line="240" w:lineRule="atLeast"/>
              <w:rPr>
                <w:b/>
                <w:lang w:val="es-ES"/>
              </w:rPr>
            </w:pPr>
          </w:p>
        </w:tc>
        <w:tc>
          <w:tcPr>
            <w:tcW w:w="5245" w:type="dxa"/>
          </w:tcPr>
          <w:p w14:paraId="3D8F5E6B" w14:textId="77777777" w:rsidR="00FE57F6" w:rsidRPr="00084F38" w:rsidRDefault="00F24B71" w:rsidP="003344DC">
            <w:pPr>
              <w:tabs>
                <w:tab w:val="left" w:pos="851"/>
              </w:tabs>
              <w:spacing w:before="0" w:line="240" w:lineRule="atLeast"/>
              <w:jc w:val="right"/>
              <w:rPr>
                <w:b/>
                <w:bCs/>
                <w:lang w:val="es-ES"/>
              </w:rPr>
            </w:pPr>
            <w:r w:rsidRPr="00084F38">
              <w:rPr>
                <w:rFonts w:cstheme="minorHAnsi"/>
                <w:b/>
                <w:bCs/>
                <w:lang w:val="es-ES"/>
              </w:rPr>
              <w:t>Original: inglés</w:t>
            </w:r>
          </w:p>
        </w:tc>
      </w:tr>
      <w:tr w:rsidR="00FE57F6" w:rsidRPr="00042359" w14:paraId="5FD9CFF0" w14:textId="77777777" w:rsidTr="003344DC">
        <w:trPr>
          <w:cantSplit/>
        </w:trPr>
        <w:tc>
          <w:tcPr>
            <w:tcW w:w="9214" w:type="dxa"/>
            <w:gridSpan w:val="2"/>
            <w:tcMar>
              <w:left w:w="0" w:type="dxa"/>
            </w:tcMar>
          </w:tcPr>
          <w:p w14:paraId="53A44437" w14:textId="15163492" w:rsidR="00FE57F6" w:rsidRPr="00BB1213" w:rsidRDefault="00BD3875" w:rsidP="003344DC">
            <w:pPr>
              <w:pStyle w:val="Source"/>
              <w:framePr w:hSpace="0" w:wrap="auto" w:vAnchor="margin" w:hAnchor="text" w:xAlign="left" w:yAlign="inline"/>
              <w:spacing w:before="360"/>
              <w:jc w:val="both"/>
              <w:rPr>
                <w:spacing w:val="-3"/>
                <w:sz w:val="30"/>
                <w:szCs w:val="30"/>
              </w:rPr>
            </w:pPr>
            <w:r w:rsidRPr="00BB1213">
              <w:rPr>
                <w:spacing w:val="-3"/>
                <w:sz w:val="30"/>
                <w:szCs w:val="30"/>
              </w:rPr>
              <w:t xml:space="preserve">Contribución de </w:t>
            </w:r>
            <w:proofErr w:type="spellStart"/>
            <w:r w:rsidRPr="00BB1213">
              <w:rPr>
                <w:spacing w:val="-3"/>
                <w:sz w:val="30"/>
                <w:szCs w:val="30"/>
              </w:rPr>
              <w:t>Papua</w:t>
            </w:r>
            <w:proofErr w:type="spellEnd"/>
            <w:r w:rsidRPr="00BB1213">
              <w:rPr>
                <w:spacing w:val="-3"/>
                <w:sz w:val="30"/>
                <w:szCs w:val="30"/>
              </w:rPr>
              <w:t xml:space="preserve"> Nueva Guinea, Australia, </w:t>
            </w:r>
            <w:proofErr w:type="spellStart"/>
            <w:r w:rsidRPr="00BB1213">
              <w:rPr>
                <w:spacing w:val="-3"/>
                <w:sz w:val="30"/>
                <w:szCs w:val="30"/>
              </w:rPr>
              <w:t>Fiji</w:t>
            </w:r>
            <w:proofErr w:type="spellEnd"/>
            <w:r w:rsidRPr="00BB1213">
              <w:rPr>
                <w:spacing w:val="-3"/>
                <w:sz w:val="30"/>
                <w:szCs w:val="30"/>
              </w:rPr>
              <w:t xml:space="preserve"> (República de), Kiribati (República de), Islas Marshall (República de las), Micronesia (Estados Federados de), Nauru (República de), Nueva Zelandia, Palau (República de), Islas Salomón, Samoa (Estado Independiente de), Tonga (Reino de), Tuvalu y Vanuatu</w:t>
            </w:r>
          </w:p>
        </w:tc>
      </w:tr>
      <w:tr w:rsidR="00FE57F6" w:rsidRPr="00042359" w14:paraId="401E5EBE" w14:textId="77777777" w:rsidTr="003344DC">
        <w:trPr>
          <w:cantSplit/>
        </w:trPr>
        <w:tc>
          <w:tcPr>
            <w:tcW w:w="9214" w:type="dxa"/>
            <w:gridSpan w:val="2"/>
            <w:tcMar>
              <w:left w:w="0" w:type="dxa"/>
            </w:tcMar>
          </w:tcPr>
          <w:p w14:paraId="420B21D9" w14:textId="49CDA981" w:rsidR="00FE57F6" w:rsidRPr="00084F38" w:rsidRDefault="00924CC1" w:rsidP="003344DC">
            <w:pPr>
              <w:pStyle w:val="Subtitle"/>
              <w:framePr w:hSpace="0" w:wrap="auto" w:hAnchor="text" w:xAlign="left" w:yAlign="inline"/>
              <w:spacing w:after="120"/>
              <w:rPr>
                <w:lang w:val="es-ES"/>
              </w:rPr>
            </w:pPr>
            <w:r w:rsidRPr="00084F38">
              <w:rPr>
                <w:color w:val="000000"/>
                <w:lang w:val="es-ES"/>
              </w:rPr>
              <w:t xml:space="preserve">PROPUESTA PARA LA CREACIÓN DE UNA OFICINA ZONAL </w:t>
            </w:r>
            <w:r w:rsidR="00A053D8">
              <w:rPr>
                <w:color w:val="000000"/>
                <w:lang w:val="es-ES"/>
              </w:rPr>
              <w:br/>
            </w:r>
            <w:r w:rsidRPr="00084F38">
              <w:rPr>
                <w:color w:val="000000"/>
                <w:lang w:val="es-ES"/>
              </w:rPr>
              <w:t>DE LA UIT EN EL PACÍFICO</w:t>
            </w:r>
          </w:p>
        </w:tc>
      </w:tr>
      <w:tr w:rsidR="00FE57F6" w:rsidRPr="00042359" w14:paraId="59F87692" w14:textId="77777777" w:rsidTr="003344DC">
        <w:trPr>
          <w:cantSplit/>
        </w:trPr>
        <w:tc>
          <w:tcPr>
            <w:tcW w:w="9214" w:type="dxa"/>
            <w:gridSpan w:val="2"/>
            <w:tcBorders>
              <w:top w:val="single" w:sz="4" w:space="0" w:color="auto"/>
              <w:bottom w:val="single" w:sz="4" w:space="0" w:color="auto"/>
            </w:tcBorders>
            <w:tcMar>
              <w:left w:w="0" w:type="dxa"/>
            </w:tcMar>
          </w:tcPr>
          <w:p w14:paraId="682581DA" w14:textId="77777777" w:rsidR="00FE57F6" w:rsidRPr="00084F38" w:rsidRDefault="00F24B71" w:rsidP="003344DC">
            <w:pPr>
              <w:spacing w:before="100"/>
              <w:rPr>
                <w:b/>
                <w:bCs/>
                <w:sz w:val="26"/>
                <w:szCs w:val="26"/>
                <w:lang w:val="es-ES"/>
              </w:rPr>
            </w:pPr>
            <w:r w:rsidRPr="00084F38">
              <w:rPr>
                <w:b/>
                <w:bCs/>
                <w:sz w:val="26"/>
                <w:szCs w:val="26"/>
                <w:lang w:val="es-ES"/>
              </w:rPr>
              <w:t>Finalidad</w:t>
            </w:r>
          </w:p>
          <w:p w14:paraId="4F76F05D" w14:textId="77777777" w:rsidR="00BD3875" w:rsidRPr="00084F38" w:rsidRDefault="00BD3875" w:rsidP="003344DC">
            <w:pPr>
              <w:spacing w:before="60"/>
              <w:jc w:val="both"/>
              <w:rPr>
                <w:szCs w:val="24"/>
                <w:lang w:val="es-ES"/>
              </w:rPr>
            </w:pPr>
            <w:r w:rsidRPr="00084F38">
              <w:rPr>
                <w:color w:val="000000"/>
                <w:lang w:val="es-ES"/>
              </w:rPr>
              <w:t>Esta contribución tiene por objeto invitar al Consejo a examinar la posibilidad de elaborar un plan de creación detallado para una Oficina Zonal de la UIT en el Pacífico. La creación de una Oficina Zonal de la UIT en el Pacífico fortalecería la presencia regional de la Unión y el apoyo a los pequeños Estados insulares en desarrollo del Pacífico (PEIDP) por conducto de la presencia de la UIT en el terreno y la ejecución de programas y servicios, según el análisis situacional y la evaluación de las necesidades llevados a cabo en 2025.</w:t>
            </w:r>
          </w:p>
          <w:p w14:paraId="01F37871" w14:textId="4872B1A1" w:rsidR="00FE57F6" w:rsidRPr="00955FCD" w:rsidRDefault="00BD3875" w:rsidP="003344DC">
            <w:pPr>
              <w:spacing w:before="60"/>
              <w:jc w:val="both"/>
              <w:rPr>
                <w:lang w:val="es-ES"/>
              </w:rPr>
            </w:pPr>
            <w:r w:rsidRPr="00955FCD">
              <w:rPr>
                <w:color w:val="000000"/>
                <w:lang w:val="es-ES"/>
              </w:rPr>
              <w:t xml:space="preserve">Esta propuesta está en consonancia con la Resolución 25 de la PP (Rev. Bucarest, 2022), las Resoluciones 16 (Rev. Bakú, 2025) y 94 (Bakú, 2025) de la CMDT pertinentes, los debates del Consejo sobre los criterios para crear nuevas oficinas zonales (Documento </w:t>
            </w:r>
            <w:hyperlink r:id="rId6" w:history="1">
              <w:proofErr w:type="spellStart"/>
              <w:r w:rsidRPr="00955FCD">
                <w:rPr>
                  <w:rStyle w:val="Hyperlink"/>
                  <w:szCs w:val="24"/>
                  <w:lang w:val="es-ES"/>
                </w:rPr>
                <w:t>C24</w:t>
              </w:r>
              <w:proofErr w:type="spellEnd"/>
              <w:r w:rsidRPr="00955FCD">
                <w:rPr>
                  <w:rStyle w:val="Hyperlink"/>
                  <w:szCs w:val="24"/>
                  <w:lang w:val="es-ES"/>
                </w:rPr>
                <w:t>/66</w:t>
              </w:r>
            </w:hyperlink>
            <w:r w:rsidRPr="00955FCD">
              <w:rPr>
                <w:color w:val="000000"/>
                <w:lang w:val="es-ES"/>
              </w:rPr>
              <w:t>), la Iniciativa Regional 1 para Asia-Pacífico, el examen de la presencia regional realizado por PwC (Documento</w:t>
            </w:r>
            <w:r w:rsidR="00955FCD" w:rsidRPr="00955FCD">
              <w:rPr>
                <w:color w:val="000000"/>
                <w:lang w:val="es-ES"/>
              </w:rPr>
              <w:t> </w:t>
            </w:r>
            <w:proofErr w:type="spellStart"/>
            <w:r w:rsidRPr="00955FCD">
              <w:fldChar w:fldCharType="begin"/>
            </w:r>
            <w:r w:rsidRPr="00955FCD">
              <w:rPr>
                <w:lang w:val="es-ES"/>
              </w:rPr>
              <w:instrText>HYPERLINK "https://www.itu.int/md/S20-CL-C-0074/es"</w:instrText>
            </w:r>
            <w:r w:rsidRPr="00955FCD">
              <w:fldChar w:fldCharType="separate"/>
            </w:r>
            <w:r w:rsidRPr="00955FCD">
              <w:rPr>
                <w:rStyle w:val="Hyperlink"/>
                <w:szCs w:val="24"/>
                <w:lang w:val="es-ES"/>
              </w:rPr>
              <w:t>C20</w:t>
            </w:r>
            <w:proofErr w:type="spellEnd"/>
            <w:r w:rsidRPr="00955FCD">
              <w:rPr>
                <w:rStyle w:val="Hyperlink"/>
                <w:szCs w:val="24"/>
                <w:lang w:val="es-ES"/>
              </w:rPr>
              <w:t>/74</w:t>
            </w:r>
            <w:r w:rsidRPr="00955FCD">
              <w:fldChar w:fldCharType="end"/>
            </w:r>
            <w:r w:rsidRPr="00955FCD">
              <w:rPr>
                <w:color w:val="000000"/>
                <w:lang w:val="es-ES"/>
              </w:rPr>
              <w:t>) y precedentes como la creación de la Oficina Zonal de la UIT en la India en 2023.</w:t>
            </w:r>
          </w:p>
          <w:p w14:paraId="74603E45" w14:textId="77777777" w:rsidR="00FE57F6" w:rsidRPr="00084F38" w:rsidRDefault="00F24B71" w:rsidP="003344DC">
            <w:pPr>
              <w:spacing w:before="100"/>
              <w:rPr>
                <w:b/>
                <w:bCs/>
                <w:sz w:val="26"/>
                <w:szCs w:val="26"/>
                <w:lang w:val="es-ES"/>
              </w:rPr>
            </w:pPr>
            <w:r w:rsidRPr="00084F38">
              <w:rPr>
                <w:b/>
                <w:bCs/>
                <w:sz w:val="26"/>
                <w:szCs w:val="26"/>
                <w:lang w:val="es-ES"/>
              </w:rPr>
              <w:t xml:space="preserve">Acción solicitada </w:t>
            </w:r>
            <w:r w:rsidR="00677A97" w:rsidRPr="00084F38">
              <w:rPr>
                <w:b/>
                <w:bCs/>
                <w:sz w:val="26"/>
                <w:szCs w:val="26"/>
                <w:lang w:val="es-ES"/>
              </w:rPr>
              <w:t>al</w:t>
            </w:r>
            <w:r w:rsidRPr="00084F38">
              <w:rPr>
                <w:b/>
                <w:bCs/>
                <w:sz w:val="26"/>
                <w:szCs w:val="26"/>
                <w:lang w:val="es-ES"/>
              </w:rPr>
              <w:t xml:space="preserve"> Consejo</w:t>
            </w:r>
          </w:p>
          <w:p w14:paraId="7C6A9805" w14:textId="77777777" w:rsidR="00BD3875" w:rsidRPr="00084F38" w:rsidRDefault="00BD3875" w:rsidP="003344DC">
            <w:pPr>
              <w:spacing w:before="80"/>
              <w:rPr>
                <w:szCs w:val="24"/>
                <w:lang w:val="es-ES"/>
              </w:rPr>
            </w:pPr>
            <w:r w:rsidRPr="00084F38">
              <w:rPr>
                <w:color w:val="000000"/>
                <w:lang w:val="es-ES"/>
              </w:rPr>
              <w:t>Se invita al Consejo a:</w:t>
            </w:r>
          </w:p>
          <w:p w14:paraId="2056E92F" w14:textId="77777777" w:rsidR="00BD3875" w:rsidRPr="00084F38" w:rsidRDefault="00BD3875" w:rsidP="003344DC">
            <w:pPr>
              <w:pStyle w:val="enumlev1"/>
              <w:spacing w:before="40"/>
              <w:jc w:val="both"/>
              <w:rPr>
                <w:szCs w:val="24"/>
                <w:lang w:val="es-ES"/>
              </w:rPr>
            </w:pPr>
            <w:r w:rsidRPr="00084F38">
              <w:rPr>
                <w:color w:val="000000"/>
                <w:lang w:val="es-ES"/>
              </w:rPr>
              <w:t>1</w:t>
            </w:r>
            <w:r w:rsidRPr="00084F38">
              <w:rPr>
                <w:color w:val="000000"/>
                <w:lang w:val="es-ES"/>
              </w:rPr>
              <w:tab/>
            </w:r>
            <w:r w:rsidRPr="00084F38">
              <w:rPr>
                <w:b/>
                <w:bCs/>
                <w:color w:val="000000"/>
                <w:lang w:val="es-ES"/>
              </w:rPr>
              <w:t xml:space="preserve">aprobar </w:t>
            </w:r>
            <w:r w:rsidRPr="00084F38">
              <w:rPr>
                <w:color w:val="000000"/>
                <w:lang w:val="es-ES"/>
              </w:rPr>
              <w:t>la elaboración de un plan de creación detallado para una Oficina Zonal de la UIT en el Pacífico, que incluirá requisitos en materia de recursos y personal, guiándose por los criterios establecidos por el Consejo en 2025 y basándose en precedentes como la creación de la Oficina Zonal en la India;</w:t>
            </w:r>
          </w:p>
          <w:p w14:paraId="413C832C" w14:textId="77777777" w:rsidR="00BD3875" w:rsidRPr="00084F38" w:rsidRDefault="00BD3875" w:rsidP="003344DC">
            <w:pPr>
              <w:pStyle w:val="enumlev1"/>
              <w:spacing w:before="40"/>
              <w:jc w:val="both"/>
              <w:rPr>
                <w:szCs w:val="24"/>
                <w:lang w:val="es-ES"/>
              </w:rPr>
            </w:pPr>
            <w:r w:rsidRPr="00084F38">
              <w:rPr>
                <w:color w:val="000000"/>
                <w:lang w:val="es-ES"/>
              </w:rPr>
              <w:t>2</w:t>
            </w:r>
            <w:r w:rsidRPr="00084F38">
              <w:rPr>
                <w:color w:val="000000"/>
                <w:lang w:val="es-ES"/>
              </w:rPr>
              <w:tab/>
            </w:r>
            <w:r w:rsidRPr="00084F38">
              <w:rPr>
                <w:b/>
                <w:bCs/>
                <w:color w:val="000000"/>
                <w:lang w:val="es-ES"/>
              </w:rPr>
              <w:t xml:space="preserve">pedir </w:t>
            </w:r>
            <w:r w:rsidRPr="00084F38">
              <w:rPr>
                <w:color w:val="000000"/>
                <w:lang w:val="es-ES"/>
              </w:rPr>
              <w:t>a la Secretaría que proporcione este informe a la Conferencia de Plenipotenciarios en 2026 para su consideración y posible aprobación y al Consejo de 2027 a fin de apoyar los avances hacia la creación de una Oficina Zonal de la UIT en el Pacífico;</w:t>
            </w:r>
          </w:p>
          <w:p w14:paraId="2B41D841" w14:textId="4980F352" w:rsidR="00F92BED" w:rsidRPr="00084F38" w:rsidRDefault="00BD3875" w:rsidP="003344DC">
            <w:pPr>
              <w:spacing w:before="40"/>
              <w:rPr>
                <w:szCs w:val="24"/>
                <w:lang w:val="es-ES"/>
              </w:rPr>
            </w:pPr>
            <w:r w:rsidRPr="00084F38">
              <w:rPr>
                <w:color w:val="000000"/>
                <w:lang w:val="es-ES"/>
              </w:rPr>
              <w:t>3</w:t>
            </w:r>
            <w:r w:rsidRPr="00084F38">
              <w:rPr>
                <w:color w:val="000000"/>
                <w:lang w:val="es-ES"/>
              </w:rPr>
              <w:tab/>
            </w:r>
            <w:r w:rsidRPr="00084F38">
              <w:rPr>
                <w:b/>
                <w:bCs/>
                <w:color w:val="000000"/>
                <w:lang w:val="es-ES"/>
              </w:rPr>
              <w:t>tomar nota</w:t>
            </w:r>
            <w:r w:rsidRPr="00084F38">
              <w:rPr>
                <w:color w:val="000000"/>
                <w:lang w:val="es-ES"/>
              </w:rPr>
              <w:t xml:space="preserve"> de los puntos señalados en las Consideraciones.</w:t>
            </w:r>
          </w:p>
          <w:p w14:paraId="387A14CE" w14:textId="77777777" w:rsidR="00FE57F6" w:rsidRPr="00084F38" w:rsidRDefault="00FE57F6" w:rsidP="003344DC">
            <w:pPr>
              <w:spacing w:before="0"/>
              <w:rPr>
                <w:caps/>
                <w:sz w:val="22"/>
                <w:lang w:val="es-ES"/>
              </w:rPr>
            </w:pPr>
            <w:r w:rsidRPr="00084F38">
              <w:rPr>
                <w:sz w:val="22"/>
                <w:lang w:val="es-ES"/>
              </w:rPr>
              <w:t>__________________</w:t>
            </w:r>
          </w:p>
          <w:p w14:paraId="3E7CE8E5" w14:textId="2A752CCC" w:rsidR="00FE57F6" w:rsidRPr="00084F38" w:rsidRDefault="00F24B71" w:rsidP="003344DC">
            <w:pPr>
              <w:rPr>
                <w:b/>
                <w:bCs/>
                <w:sz w:val="26"/>
                <w:szCs w:val="26"/>
                <w:lang w:val="es-ES"/>
              </w:rPr>
            </w:pPr>
            <w:r w:rsidRPr="00084F38">
              <w:rPr>
                <w:b/>
                <w:bCs/>
                <w:sz w:val="26"/>
                <w:szCs w:val="26"/>
                <w:lang w:val="es-ES"/>
              </w:rPr>
              <w:t>Referencia</w:t>
            </w:r>
            <w:r w:rsidR="00F92BED" w:rsidRPr="00084F38">
              <w:rPr>
                <w:b/>
                <w:bCs/>
                <w:sz w:val="26"/>
                <w:szCs w:val="26"/>
                <w:lang w:val="es-ES"/>
              </w:rPr>
              <w:t>s</w:t>
            </w:r>
          </w:p>
          <w:p w14:paraId="58FF6CA9" w14:textId="55B99D4D" w:rsidR="00FE57F6" w:rsidRPr="00955FCD" w:rsidRDefault="00BD3875" w:rsidP="003344DC">
            <w:pPr>
              <w:spacing w:before="40" w:after="80"/>
              <w:ind w:right="-113"/>
              <w:rPr>
                <w:i/>
                <w:iCs/>
                <w:spacing w:val="-2"/>
                <w:sz w:val="22"/>
                <w:szCs w:val="22"/>
                <w:lang w:val="es-ES"/>
              </w:rPr>
            </w:pPr>
            <w:r w:rsidRPr="00955FCD">
              <w:rPr>
                <w:i/>
                <w:iCs/>
                <w:spacing w:val="-2"/>
                <w:sz w:val="22"/>
                <w:szCs w:val="22"/>
                <w:lang w:val="es-ES"/>
              </w:rPr>
              <w:t xml:space="preserve">Resoluciones </w:t>
            </w:r>
            <w:hyperlink r:id="rId7" w:history="1">
              <w:r w:rsidRPr="00955FCD">
                <w:rPr>
                  <w:rStyle w:val="Hyperlink"/>
                  <w:rFonts w:eastAsia="Times New Roman" w:cs="Times New Roman"/>
                  <w:i/>
                  <w:iCs/>
                  <w:spacing w:val="-2"/>
                  <w:sz w:val="22"/>
                  <w:lang w:val="es-ES"/>
                </w:rPr>
                <w:t>25 (Rev. Bucarest, 2022)</w:t>
              </w:r>
            </w:hyperlink>
            <w:r w:rsidRPr="00955FCD">
              <w:rPr>
                <w:i/>
                <w:iCs/>
                <w:spacing w:val="-2"/>
                <w:sz w:val="22"/>
                <w:szCs w:val="22"/>
                <w:lang w:val="es-ES"/>
              </w:rPr>
              <w:t xml:space="preserve"> y </w:t>
            </w:r>
            <w:hyperlink r:id="rId8" w:history="1">
              <w:r w:rsidRPr="00955FCD">
                <w:rPr>
                  <w:rStyle w:val="Hyperlink"/>
                  <w:rFonts w:eastAsia="Times New Roman" w:cs="Times New Roman"/>
                  <w:i/>
                  <w:iCs/>
                  <w:spacing w:val="-2"/>
                  <w:sz w:val="22"/>
                  <w:lang w:val="es-ES"/>
                </w:rPr>
                <w:t>158 (Rev. Busán, 2014)</w:t>
              </w:r>
            </w:hyperlink>
            <w:r w:rsidRPr="00955FCD">
              <w:rPr>
                <w:i/>
                <w:iCs/>
                <w:spacing w:val="-2"/>
                <w:sz w:val="22"/>
                <w:szCs w:val="22"/>
                <w:lang w:val="es-ES"/>
              </w:rPr>
              <w:t xml:space="preserve"> de la Conferencia de Plenipotenciarios; Informe de PwC sobre la presencia regional de la UIT (Documento </w:t>
            </w:r>
            <w:hyperlink r:id="rId9" w:history="1">
              <w:proofErr w:type="spellStart"/>
              <w:r w:rsidRPr="00955FCD">
                <w:rPr>
                  <w:rStyle w:val="Hyperlink"/>
                  <w:rFonts w:eastAsia="Times New Roman" w:cs="Times New Roman"/>
                  <w:i/>
                  <w:iCs/>
                  <w:spacing w:val="-2"/>
                  <w:sz w:val="22"/>
                  <w:lang w:val="es-ES"/>
                </w:rPr>
                <w:t>C20</w:t>
              </w:r>
              <w:proofErr w:type="spellEnd"/>
              <w:r w:rsidRPr="00955FCD">
                <w:rPr>
                  <w:rStyle w:val="Hyperlink"/>
                  <w:rFonts w:eastAsia="Times New Roman" w:cs="Times New Roman"/>
                  <w:i/>
                  <w:iCs/>
                  <w:spacing w:val="-2"/>
                  <w:sz w:val="22"/>
                  <w:lang w:val="es-ES"/>
                </w:rPr>
                <w:t>/74</w:t>
              </w:r>
            </w:hyperlink>
            <w:r w:rsidRPr="00955FCD">
              <w:rPr>
                <w:i/>
                <w:iCs/>
                <w:spacing w:val="-2"/>
                <w:sz w:val="22"/>
                <w:szCs w:val="22"/>
                <w:lang w:val="es-ES"/>
              </w:rPr>
              <w:t>); Anexo 1 del Documento</w:t>
            </w:r>
            <w:r w:rsidR="00955FCD" w:rsidRPr="00955FCD">
              <w:rPr>
                <w:i/>
                <w:iCs/>
                <w:spacing w:val="-2"/>
                <w:sz w:val="22"/>
                <w:szCs w:val="22"/>
                <w:lang w:val="es-ES"/>
              </w:rPr>
              <w:t> </w:t>
            </w:r>
            <w:proofErr w:type="spellStart"/>
            <w:r w:rsidRPr="00955FCD">
              <w:rPr>
                <w:spacing w:val="-2"/>
              </w:rPr>
              <w:fldChar w:fldCharType="begin"/>
            </w:r>
            <w:r w:rsidRPr="00955FCD">
              <w:rPr>
                <w:spacing w:val="-2"/>
                <w:lang w:val="es-ES"/>
              </w:rPr>
              <w:instrText>HYPERLINK "https://www.itu.int/dms_pub/itu-d/md/26/tdag33/c/D26-TDAG33-C-0002!N1-A1!MSW-S.docx"</w:instrText>
            </w:r>
            <w:r w:rsidRPr="00955FCD">
              <w:rPr>
                <w:spacing w:val="-2"/>
              </w:rPr>
            </w:r>
            <w:r w:rsidRPr="00955FCD">
              <w:rPr>
                <w:spacing w:val="-2"/>
              </w:rPr>
              <w:fldChar w:fldCharType="separate"/>
            </w:r>
            <w:r w:rsidRPr="00955FCD">
              <w:rPr>
                <w:rStyle w:val="Hyperlink"/>
                <w:rFonts w:eastAsia="Times New Roman" w:cs="Times New Roman"/>
                <w:i/>
                <w:iCs/>
                <w:spacing w:val="-2"/>
                <w:sz w:val="22"/>
                <w:lang w:val="es-ES"/>
              </w:rPr>
              <w:t>TDAG</w:t>
            </w:r>
            <w:proofErr w:type="spellEnd"/>
            <w:r w:rsidRPr="00955FCD">
              <w:rPr>
                <w:rStyle w:val="Hyperlink"/>
                <w:rFonts w:eastAsia="Times New Roman" w:cs="Times New Roman"/>
                <w:i/>
                <w:iCs/>
                <w:spacing w:val="-2"/>
                <w:sz w:val="22"/>
                <w:lang w:val="es-ES"/>
              </w:rPr>
              <w:t>-26/2(</w:t>
            </w:r>
            <w:proofErr w:type="spellStart"/>
            <w:r w:rsidRPr="00955FCD">
              <w:rPr>
                <w:rStyle w:val="Hyperlink"/>
                <w:rFonts w:eastAsia="Times New Roman" w:cs="Times New Roman"/>
                <w:i/>
                <w:iCs/>
                <w:spacing w:val="-2"/>
                <w:sz w:val="22"/>
                <w:lang w:val="es-ES"/>
              </w:rPr>
              <w:t>Add.1</w:t>
            </w:r>
            <w:proofErr w:type="spellEnd"/>
            <w:r w:rsidRPr="00955FCD">
              <w:rPr>
                <w:rStyle w:val="Hyperlink"/>
                <w:rFonts w:eastAsia="Times New Roman" w:cs="Times New Roman"/>
                <w:i/>
                <w:iCs/>
                <w:spacing w:val="-2"/>
                <w:sz w:val="22"/>
                <w:lang w:val="es-ES"/>
              </w:rPr>
              <w:t>)</w:t>
            </w:r>
            <w:r w:rsidRPr="00955FCD">
              <w:rPr>
                <w:spacing w:val="-2"/>
              </w:rPr>
              <w:fldChar w:fldCharType="end"/>
            </w:r>
            <w:r w:rsidRPr="00955FCD">
              <w:rPr>
                <w:i/>
                <w:iCs/>
                <w:spacing w:val="-2"/>
                <w:sz w:val="22"/>
                <w:szCs w:val="22"/>
                <w:lang w:val="es-ES"/>
              </w:rPr>
              <w:t xml:space="preserve">; Resoluciones </w:t>
            </w:r>
            <w:hyperlink r:id="rId10" w:history="1">
              <w:r w:rsidRPr="00955FCD">
                <w:rPr>
                  <w:rStyle w:val="Hyperlink"/>
                  <w:rFonts w:eastAsia="Times New Roman" w:cs="Times New Roman"/>
                  <w:i/>
                  <w:iCs/>
                  <w:spacing w:val="-2"/>
                  <w:sz w:val="22"/>
                  <w:lang w:val="es-ES"/>
                </w:rPr>
                <w:t>94 (Bakú, 2025), 16 (Rev. Bakú, 2025) y 17 (Rev. Bakú, 2025)</w:t>
              </w:r>
            </w:hyperlink>
            <w:r w:rsidRPr="00955FCD">
              <w:rPr>
                <w:i/>
                <w:iCs/>
                <w:spacing w:val="-2"/>
                <w:sz w:val="22"/>
                <w:szCs w:val="22"/>
                <w:lang w:val="es-ES"/>
              </w:rPr>
              <w:t xml:space="preserve"> de la Conferencia Mundial de Desarrollo de las Telecomunicaciones, Iniciativa Regional 1 para Asia y el Pacífico (Rev. Bakú, 2025), Documentos </w:t>
            </w:r>
            <w:hyperlink r:id="rId11" w:history="1">
              <w:proofErr w:type="spellStart"/>
              <w:r w:rsidRPr="00955FCD">
                <w:rPr>
                  <w:rStyle w:val="Hyperlink"/>
                  <w:rFonts w:eastAsia="Times New Roman" w:cs="Times New Roman"/>
                  <w:i/>
                  <w:iCs/>
                  <w:spacing w:val="-2"/>
                  <w:sz w:val="22"/>
                  <w:lang w:val="es-ES"/>
                </w:rPr>
                <w:t>C26</w:t>
              </w:r>
              <w:proofErr w:type="spellEnd"/>
              <w:r w:rsidRPr="00955FCD">
                <w:rPr>
                  <w:rStyle w:val="Hyperlink"/>
                  <w:rFonts w:eastAsia="Times New Roman" w:cs="Times New Roman"/>
                  <w:i/>
                  <w:iCs/>
                  <w:spacing w:val="-2"/>
                  <w:sz w:val="22"/>
                  <w:lang w:val="es-ES"/>
                </w:rPr>
                <w:t>/42</w:t>
              </w:r>
            </w:hyperlink>
            <w:r w:rsidRPr="00955FCD">
              <w:rPr>
                <w:i/>
                <w:iCs/>
                <w:spacing w:val="-2"/>
                <w:sz w:val="22"/>
                <w:szCs w:val="22"/>
                <w:lang w:val="es-ES"/>
              </w:rPr>
              <w:t xml:space="preserve">, </w:t>
            </w:r>
            <w:hyperlink r:id="rId12" w:history="1">
              <w:proofErr w:type="spellStart"/>
              <w:r w:rsidRPr="00955FCD">
                <w:rPr>
                  <w:rStyle w:val="Hyperlink"/>
                  <w:rFonts w:eastAsia="Times New Roman" w:cs="Times New Roman"/>
                  <w:i/>
                  <w:iCs/>
                  <w:spacing w:val="-2"/>
                  <w:sz w:val="22"/>
                  <w:lang w:val="es-ES"/>
                </w:rPr>
                <w:t>C26</w:t>
              </w:r>
              <w:proofErr w:type="spellEnd"/>
              <w:r w:rsidRPr="00955FCD">
                <w:rPr>
                  <w:rStyle w:val="Hyperlink"/>
                  <w:rFonts w:eastAsia="Times New Roman" w:cs="Times New Roman"/>
                  <w:i/>
                  <w:iCs/>
                  <w:spacing w:val="-2"/>
                  <w:sz w:val="22"/>
                  <w:lang w:val="es-ES"/>
                </w:rPr>
                <w:t>/24</w:t>
              </w:r>
            </w:hyperlink>
            <w:r w:rsidRPr="00955FCD">
              <w:rPr>
                <w:i/>
                <w:iCs/>
                <w:spacing w:val="-2"/>
                <w:sz w:val="22"/>
                <w:szCs w:val="22"/>
                <w:lang w:val="es-ES"/>
              </w:rPr>
              <w:t xml:space="preserve"> y </w:t>
            </w:r>
            <w:hyperlink r:id="rId13" w:history="1">
              <w:proofErr w:type="spellStart"/>
              <w:r w:rsidRPr="00955FCD">
                <w:rPr>
                  <w:rStyle w:val="Hyperlink"/>
                  <w:rFonts w:eastAsia="Times New Roman" w:cs="Times New Roman"/>
                  <w:i/>
                  <w:iCs/>
                  <w:spacing w:val="-2"/>
                  <w:sz w:val="22"/>
                  <w:lang w:val="es-ES"/>
                </w:rPr>
                <w:t>C24</w:t>
              </w:r>
              <w:proofErr w:type="spellEnd"/>
              <w:r w:rsidRPr="00955FCD">
                <w:rPr>
                  <w:rStyle w:val="Hyperlink"/>
                  <w:rFonts w:eastAsia="Times New Roman" w:cs="Times New Roman"/>
                  <w:i/>
                  <w:iCs/>
                  <w:spacing w:val="-2"/>
                  <w:sz w:val="22"/>
                  <w:lang w:val="es-ES"/>
                </w:rPr>
                <w:t>/66</w:t>
              </w:r>
            </w:hyperlink>
            <w:r w:rsidR="00924CC1" w:rsidRPr="00955FCD">
              <w:rPr>
                <w:i/>
                <w:iCs/>
                <w:spacing w:val="-2"/>
                <w:sz w:val="22"/>
                <w:szCs w:val="22"/>
                <w:lang w:val="es-ES"/>
              </w:rPr>
              <w:t xml:space="preserve"> </w:t>
            </w:r>
            <w:r w:rsidR="00924CC1" w:rsidRPr="00955FCD">
              <w:rPr>
                <w:i/>
                <w:iCs/>
                <w:spacing w:val="-2"/>
                <w:sz w:val="22"/>
                <w:szCs w:val="22"/>
                <w:lang w:val="es-ES"/>
              </w:rPr>
              <w:t>del Consejo</w:t>
            </w:r>
            <w:r w:rsidRPr="00955FCD">
              <w:rPr>
                <w:i/>
                <w:iCs/>
                <w:spacing w:val="-2"/>
                <w:sz w:val="22"/>
                <w:szCs w:val="22"/>
                <w:lang w:val="es-ES"/>
              </w:rPr>
              <w:t>.</w:t>
            </w:r>
          </w:p>
        </w:tc>
      </w:tr>
      <w:bookmarkEnd w:id="0"/>
    </w:tbl>
    <w:p w14:paraId="3C4A1986" w14:textId="77777777" w:rsidR="001559F5" w:rsidRPr="00A053D8" w:rsidRDefault="001559F5">
      <w:pPr>
        <w:tabs>
          <w:tab w:val="clear" w:pos="567"/>
          <w:tab w:val="clear" w:pos="1134"/>
          <w:tab w:val="clear" w:pos="1701"/>
          <w:tab w:val="clear" w:pos="2268"/>
          <w:tab w:val="clear" w:pos="2835"/>
        </w:tabs>
        <w:overflowPunct/>
        <w:autoSpaceDE/>
        <w:autoSpaceDN/>
        <w:adjustRightInd/>
        <w:spacing w:before="0"/>
        <w:textAlignment w:val="auto"/>
        <w:rPr>
          <w:sz w:val="10"/>
          <w:szCs w:val="10"/>
          <w:lang w:val="es-ES"/>
        </w:rPr>
      </w:pPr>
      <w:r w:rsidRPr="00A053D8">
        <w:rPr>
          <w:sz w:val="10"/>
          <w:szCs w:val="10"/>
          <w:lang w:val="es-ES"/>
        </w:rPr>
        <w:br w:type="page"/>
      </w:r>
    </w:p>
    <w:p w14:paraId="287FF06D" w14:textId="77777777" w:rsidR="00BD3875" w:rsidRPr="00084F38" w:rsidRDefault="00BD3875" w:rsidP="00BD3875">
      <w:pPr>
        <w:pStyle w:val="Heading1"/>
        <w:rPr>
          <w:lang w:val="es-ES"/>
        </w:rPr>
      </w:pPr>
      <w:r w:rsidRPr="00084F38">
        <w:rPr>
          <w:lang w:val="es-ES"/>
        </w:rPr>
        <w:lastRenderedPageBreak/>
        <w:t>1</w:t>
      </w:r>
      <w:r w:rsidRPr="00084F38">
        <w:rPr>
          <w:lang w:val="es-ES"/>
        </w:rPr>
        <w:tab/>
        <w:t>Resumen</w:t>
      </w:r>
    </w:p>
    <w:p w14:paraId="4F37418A" w14:textId="300B68E2" w:rsidR="00BD3875" w:rsidRPr="00084F38" w:rsidRDefault="00BD3875" w:rsidP="00955FCD">
      <w:pPr>
        <w:jc w:val="both"/>
        <w:rPr>
          <w:lang w:val="es-ES"/>
        </w:rPr>
      </w:pPr>
      <w:r w:rsidRPr="00084F38">
        <w:rPr>
          <w:lang w:val="es-ES"/>
        </w:rPr>
        <w:t xml:space="preserve">En esta contribución se invita al Consejo a examinar la posibilidad de crear una Oficina Zonal de la UIT en el Pacífico. Sobre la base de la Resolución </w:t>
      </w:r>
      <w:hyperlink r:id="rId14" w:history="1">
        <w:r w:rsidRPr="00955FCD">
          <w:rPr>
            <w:rStyle w:val="Hyperlink"/>
            <w:lang w:val="es-ES"/>
          </w:rPr>
          <w:t>25 (Rev. Bucarest, 2022</w:t>
        </w:r>
        <w:r w:rsidRPr="00955FCD">
          <w:rPr>
            <w:rStyle w:val="Hyperlink"/>
            <w:rFonts w:eastAsia="Times New Roman" w:cs="Times New Roman"/>
            <w:szCs w:val="20"/>
            <w:lang w:val="es-ES"/>
          </w:rPr>
          <w:t>)</w:t>
        </w:r>
      </w:hyperlink>
      <w:r w:rsidRPr="00084F38">
        <w:rPr>
          <w:lang w:val="es-ES"/>
        </w:rPr>
        <w:t xml:space="preserve"> de la PP, el informe de PwC sobre la presencia regional de la UIT (Documento </w:t>
      </w:r>
      <w:hyperlink r:id="rId15" w:history="1">
        <w:proofErr w:type="spellStart"/>
        <w:r w:rsidRPr="00084F38">
          <w:rPr>
            <w:rStyle w:val="Hyperlink"/>
            <w:spacing w:val="-2"/>
            <w:lang w:val="es-ES"/>
          </w:rPr>
          <w:t>C20</w:t>
        </w:r>
        <w:proofErr w:type="spellEnd"/>
        <w:r w:rsidRPr="00084F38">
          <w:rPr>
            <w:rStyle w:val="Hyperlink"/>
            <w:spacing w:val="-2"/>
            <w:lang w:val="es-ES"/>
          </w:rPr>
          <w:t>/74</w:t>
        </w:r>
      </w:hyperlink>
      <w:r w:rsidRPr="00084F38">
        <w:rPr>
          <w:lang w:val="es-ES"/>
        </w:rPr>
        <w:t xml:space="preserve">), las Resoluciones </w:t>
      </w:r>
      <w:hyperlink r:id="rId16" w:history="1">
        <w:r w:rsidRPr="00084F38">
          <w:rPr>
            <w:rStyle w:val="Hyperlink"/>
            <w:spacing w:val="-2"/>
            <w:lang w:val="es-ES"/>
          </w:rPr>
          <w:t>16 (Rev. Bakú, 2025), 17 (Rev. Bakú, 2025) y 94 (Bakú, 2025)</w:t>
        </w:r>
      </w:hyperlink>
      <w:r w:rsidRPr="00084F38">
        <w:rPr>
          <w:lang w:val="es-ES"/>
        </w:rPr>
        <w:t xml:space="preserve"> de la CMDT, la Iniciativa Regional 1 de la Oficina Regional para Asia y el Pacífico, los debates en curso sobre la presencia regional de la UIT (Documento </w:t>
      </w:r>
      <w:hyperlink r:id="rId17" w:history="1">
        <w:proofErr w:type="spellStart"/>
        <w:r w:rsidRPr="00084F38">
          <w:rPr>
            <w:rStyle w:val="Hyperlink"/>
            <w:spacing w:val="-2"/>
            <w:lang w:val="es-ES"/>
          </w:rPr>
          <w:t>C26</w:t>
        </w:r>
        <w:proofErr w:type="spellEnd"/>
        <w:r w:rsidRPr="00084F38">
          <w:rPr>
            <w:rStyle w:val="Hyperlink"/>
            <w:spacing w:val="-2"/>
            <w:lang w:val="es-ES"/>
          </w:rPr>
          <w:t>/24</w:t>
        </w:r>
      </w:hyperlink>
      <w:r w:rsidRPr="00084F38">
        <w:rPr>
          <w:lang w:val="es-ES"/>
        </w:rPr>
        <w:t xml:space="preserve">) y los anteriores debates del Consejo sobre los criterios para crear nuevas oficinas regionales y zonales de la UIT (Documento </w:t>
      </w:r>
      <w:hyperlink r:id="rId18" w:history="1">
        <w:proofErr w:type="spellStart"/>
        <w:r w:rsidRPr="00084F38">
          <w:rPr>
            <w:rStyle w:val="Hyperlink"/>
            <w:spacing w:val="-2"/>
            <w:lang w:val="es-ES"/>
          </w:rPr>
          <w:t>C24</w:t>
        </w:r>
        <w:proofErr w:type="spellEnd"/>
        <w:r w:rsidRPr="00084F38">
          <w:rPr>
            <w:rStyle w:val="Hyperlink"/>
            <w:spacing w:val="-2"/>
            <w:lang w:val="es-ES"/>
          </w:rPr>
          <w:t>/66</w:t>
        </w:r>
      </w:hyperlink>
      <w:r w:rsidRPr="00084F38">
        <w:rPr>
          <w:lang w:val="es-ES"/>
        </w:rPr>
        <w:t xml:space="preserve">), la Oficina Regional para Asia y el Pacífico de la UIT llevó a cabo una evaluación de las necesidades y un análisis situacional del Pacífico con el apoyo del Gobierno de Australia. El resumen de la evaluación de las necesidades y el análisis situacional se presentó a la 33.ª sesión del GADT en abril de 2026 (GADT, Anexo 1 al Documento </w:t>
      </w:r>
      <w:hyperlink r:id="rId19" w:history="1">
        <w:proofErr w:type="spellStart"/>
        <w:r w:rsidRPr="00084F38">
          <w:rPr>
            <w:rStyle w:val="Hyperlink"/>
            <w:spacing w:val="-2"/>
            <w:lang w:val="es-ES"/>
          </w:rPr>
          <w:t>TDAG</w:t>
        </w:r>
        <w:proofErr w:type="spellEnd"/>
        <w:r w:rsidRPr="00084F38">
          <w:rPr>
            <w:rStyle w:val="Hyperlink"/>
            <w:spacing w:val="-2"/>
            <w:lang w:val="es-ES"/>
          </w:rPr>
          <w:noBreakHyphen/>
          <w:t>26/2(</w:t>
        </w:r>
        <w:proofErr w:type="spellStart"/>
        <w:r w:rsidRPr="00084F38">
          <w:rPr>
            <w:rStyle w:val="Hyperlink"/>
            <w:spacing w:val="-2"/>
            <w:lang w:val="es-ES"/>
          </w:rPr>
          <w:t>Add.1</w:t>
        </w:r>
        <w:proofErr w:type="spellEnd"/>
        <w:r w:rsidRPr="00084F38">
          <w:rPr>
            <w:rStyle w:val="Hyperlink"/>
            <w:spacing w:val="-2"/>
            <w:lang w:val="es-ES"/>
          </w:rPr>
          <w:t>)</w:t>
        </w:r>
      </w:hyperlink>
      <w:r w:rsidRPr="00084F38">
        <w:rPr>
          <w:lang w:val="es-ES"/>
        </w:rPr>
        <w:t>).</w:t>
      </w:r>
      <w:hyperlink r:id="rId20" w:history="1"/>
      <w:hyperlink r:id="rId21" w:history="1"/>
      <w:hyperlink r:id="rId22" w:history="1"/>
      <w:hyperlink r:id="rId23" w:history="1"/>
    </w:p>
    <w:p w14:paraId="15DA30F7" w14:textId="77777777" w:rsidR="00BD3875" w:rsidRPr="00084F38" w:rsidRDefault="00BD3875" w:rsidP="00955FCD">
      <w:pPr>
        <w:jc w:val="both"/>
        <w:rPr>
          <w:lang w:val="es-ES"/>
        </w:rPr>
      </w:pPr>
      <w:r w:rsidRPr="00084F38">
        <w:rPr>
          <w:lang w:val="es-ES"/>
        </w:rPr>
        <w:t>Teniendo en cuenta los resultados de la evaluación de las necesidades y el análisis situacional, se pide al Consejo que apruebe la elaboración de un plan detallado para la creación de una Oficina Zonal de la UIT en el Pacífico, preparado por la Secretaría, guiándose por los criterios establecidos por el Consejo en 2025 y basándose en precedentes como la creación de la Oficina Zonal en la India. El plan de creación incluiría requisitos en materia de recursos y personal, así como la ubicación propuesta.</w:t>
      </w:r>
    </w:p>
    <w:p w14:paraId="6E95216F" w14:textId="0B19F22D" w:rsidR="00BD3875" w:rsidRPr="00084F38" w:rsidRDefault="00BD3875" w:rsidP="00955FCD">
      <w:pPr>
        <w:jc w:val="both"/>
        <w:rPr>
          <w:lang w:val="es-ES"/>
        </w:rPr>
      </w:pPr>
      <w:r w:rsidRPr="00084F38">
        <w:rPr>
          <w:lang w:val="es-ES"/>
        </w:rPr>
        <w:t>La Secretaría proporcionaría este informe a la Conferencia de Plenipotenciarios en 2026 (PP</w:t>
      </w:r>
      <w:r w:rsidRPr="00084F38">
        <w:rPr>
          <w:lang w:val="es-ES"/>
        </w:rPr>
        <w:noBreakHyphen/>
        <w:t xml:space="preserve">26) para su aprobación y al Consejo de 2027 a fin de apoyar los avances hacia la creación de una </w:t>
      </w:r>
      <w:r w:rsidRPr="00084F38">
        <w:rPr>
          <w:b/>
          <w:bCs/>
          <w:lang w:val="es-ES"/>
        </w:rPr>
        <w:t>Oficina Zonal de la UIT en el Pacífico.</w:t>
      </w:r>
    </w:p>
    <w:p w14:paraId="6A3097E2" w14:textId="77777777" w:rsidR="00BD3875" w:rsidRPr="00084F38" w:rsidRDefault="00BD3875" w:rsidP="003344DC">
      <w:pPr>
        <w:pStyle w:val="Heading1"/>
        <w:rPr>
          <w:lang w:val="es-ES"/>
        </w:rPr>
      </w:pPr>
      <w:r w:rsidRPr="00084F38">
        <w:rPr>
          <w:lang w:val="es-ES"/>
        </w:rPr>
        <w:t>2</w:t>
      </w:r>
      <w:r w:rsidRPr="00084F38">
        <w:rPr>
          <w:lang w:val="es-ES"/>
        </w:rPr>
        <w:tab/>
      </w:r>
      <w:proofErr w:type="spellStart"/>
      <w:r w:rsidRPr="003344DC">
        <w:t>Antecedentes</w:t>
      </w:r>
      <w:proofErr w:type="spellEnd"/>
    </w:p>
    <w:p w14:paraId="653F9CFB" w14:textId="0461EECE" w:rsidR="00BD3875" w:rsidRPr="00084F38" w:rsidRDefault="00BD3875" w:rsidP="00955FCD">
      <w:pPr>
        <w:jc w:val="both"/>
        <w:rPr>
          <w:lang w:val="es-ES"/>
        </w:rPr>
      </w:pPr>
      <w:r w:rsidRPr="00084F38">
        <w:rPr>
          <w:lang w:val="es-ES"/>
        </w:rPr>
        <w:t>Sobre la base de los anteriores debates del Consejo en relación con los criterios para crear nuevas oficinas regionales y zonales de la UIT (Documento C24/66), la Oficina Regional para Asia y el Pacífico de la UIT llevó a cabo una evaluación de las necesidades y un análisis situacional del Pacífico como parte del proyecto titulado "Estudio de viabilidad: Atender las necesidades especiales en materia de telecomunicaciones y TIC de los pequeños Estados insulares en desarrollo del Pacífico (PEIDP)", financiado por el Departamento de Infraestructuras, Transporte, Desarrollo Regional, Comunicaciones, Deporte y Artes (DITRDCSA) de Australia. En el estudio se identificaron las necesidades únicas y urgentes de los PEIDP en materia de TIC y telecomunicaciones y se propuso un conjunto de prioridades programáticas, teniendo en cuenta la amplia cobertura geográfica, las pequeñas economías, las diferencias horarias con Ginebra y Bangkok y otros aspectos más. Se examinaron las conclusiones con los representantes de los PEIDP en febrero de 2025 en Suva (Fiji) y ulteriormente se celebraron varias rondas de actualizaciones del informe antes de su ultimación. El resumen de la evaluación de las necesidades y el análisis situacional se presentó a la sesión del GADT de 2026 como Anexo 1 al Documento 2 del GADT (Anexo 1 al Documento</w:t>
      </w:r>
      <w:r w:rsidR="00955FCD">
        <w:rPr>
          <w:lang w:val="es-ES"/>
        </w:rPr>
        <w:t> </w:t>
      </w:r>
      <w:proofErr w:type="spellStart"/>
      <w:r w:rsidRPr="00084F38">
        <w:rPr>
          <w:lang w:val="es-ES"/>
        </w:rPr>
        <w:t>TDAG</w:t>
      </w:r>
      <w:proofErr w:type="spellEnd"/>
      <w:r w:rsidRPr="00084F38">
        <w:rPr>
          <w:lang w:val="es-ES"/>
        </w:rPr>
        <w:noBreakHyphen/>
        <w:t>26/2(</w:t>
      </w:r>
      <w:proofErr w:type="spellStart"/>
      <w:r w:rsidRPr="00084F38">
        <w:rPr>
          <w:lang w:val="es-ES"/>
        </w:rPr>
        <w:t>Add.1</w:t>
      </w:r>
      <w:proofErr w:type="spellEnd"/>
      <w:r w:rsidRPr="00084F38">
        <w:rPr>
          <w:lang w:val="es-ES"/>
        </w:rPr>
        <w:t>)).</w:t>
      </w:r>
    </w:p>
    <w:p w14:paraId="547627E4" w14:textId="77777777" w:rsidR="00BD3875" w:rsidRPr="00084F38" w:rsidRDefault="00BD3875" w:rsidP="00955FCD">
      <w:pPr>
        <w:jc w:val="both"/>
        <w:rPr>
          <w:lang w:val="es-ES"/>
        </w:rPr>
      </w:pPr>
      <w:r w:rsidRPr="00084F38">
        <w:rPr>
          <w:lang w:val="es-ES"/>
        </w:rPr>
        <w:t xml:space="preserve">En la evaluación de las necesidades y el análisis situacional se determinó que los PEIDP hacían frente a dificultades estructurales y contextuales que seguían obstaculizando su transformación digital. Las deficiencias de las infraestructuras básicas, en particular la baja y desigual penetración de la banda ancha, la dependencia de cables submarinos únicos y el limitado acceso rural limitan la conectividad. La asequibilidad sigue siendo un obstáculo importante, ya que los costes de Internet superan con creces los objetivos mundiales y consumen una parte desproporcionada de la renta familiar en varios países. Los entornos </w:t>
      </w:r>
      <w:r w:rsidRPr="00084F38">
        <w:rPr>
          <w:lang w:val="es-ES"/>
        </w:rPr>
        <w:lastRenderedPageBreak/>
        <w:t>reglamentarios fragmentados y la escasa armonización entre jurisdicciones frenan aún más la inversión privada y complican la cooperación regional.</w:t>
      </w:r>
    </w:p>
    <w:p w14:paraId="53E54672" w14:textId="77777777" w:rsidR="00BD3875" w:rsidRPr="00084F38" w:rsidRDefault="00BD3875" w:rsidP="00955FCD">
      <w:pPr>
        <w:jc w:val="both"/>
        <w:rPr>
          <w:lang w:val="es-ES"/>
        </w:rPr>
      </w:pPr>
      <w:r w:rsidRPr="00084F38">
        <w:rPr>
          <w:lang w:val="es-ES"/>
        </w:rPr>
        <w:t>Las limitaciones de capacidad agravan la brecha digital. La mayoría de los PEIDP carecen de suficientes profesionales cualificados en TIC y presentan una capacidad institucional limitada, lo que afecta al desarrollo y mantenimiento de los servicios digitales. La preparación en materia de ciberseguridad es escasa, los sistemas de gestión de residuos electrónicos están poco desarrollados y la infraestructura digital es muy vulnerable a las perturbaciones relacionadas con el clima. Estos desafíos se ven agravados por los elevados costes de capital, la dependencia financiera del apoyo externo y el progreso desigual en el gobierno digital, donde existe capital humano pero suele carecer de los sistemas facilitadores que posibilitan la prestación efectiva de los servicios.</w:t>
      </w:r>
    </w:p>
    <w:p w14:paraId="1DCC5D7B" w14:textId="77777777" w:rsidR="00BD3875" w:rsidRPr="00084F38" w:rsidRDefault="00BD3875" w:rsidP="00955FCD">
      <w:pPr>
        <w:jc w:val="both"/>
        <w:rPr>
          <w:lang w:val="es-ES"/>
        </w:rPr>
      </w:pPr>
      <w:r w:rsidRPr="00084F38">
        <w:rPr>
          <w:lang w:val="es-ES"/>
        </w:rPr>
        <w:t>A pesar de estas limitaciones, la transformación digital está ampliamente reconocida como un factor habilitador fundamental del desarrollo sostenible. Se han realizado progresos alentadores, la penetración de las tecnologías móviles va en aumento, la utilización de Internet es cada vez mayor y muchos países están elaborando estrategias de TIC, servicios de gobierno digital y marcos de ciberseguridad. Esto corrobora que la transformación digital no solo es fundamental para el crecimiento inclusivo sino también esencial para crear resiliencia y fomentar la integración subregional.</w:t>
      </w:r>
    </w:p>
    <w:p w14:paraId="442AF7E6" w14:textId="77777777" w:rsidR="00BD3875" w:rsidRPr="00084F38" w:rsidRDefault="00BD3875" w:rsidP="00955FCD">
      <w:pPr>
        <w:jc w:val="both"/>
        <w:rPr>
          <w:lang w:val="es-ES"/>
        </w:rPr>
      </w:pPr>
      <w:r w:rsidRPr="00084F38">
        <w:rPr>
          <w:lang w:val="es-ES"/>
        </w:rPr>
        <w:t>Sin embargo, la subregión sigue experimentando una fuerte dependencia del apoyo para el desarrollo. La UIT, que mantiene desde hace mucho tiempo su posición de asociado técnico de confianza, ha desempeñado un papel fundamental por conducto de la orientación política, la creación de capacidad y la promoción de la conectividad inclusiva y resiliente. Así, a medida que las necesidades digitales de los PEIDP se vuelven más complejas debido a los riesgos climáticos, los peligros naturales, las tecnologías incipientes y las crecientes expectativas del público, las partes interesadas reconocen cada vez más el valor de un modelo de ejecución más integrado que esté adaptado a nivel subregional para lograr un mayor impacto.</w:t>
      </w:r>
    </w:p>
    <w:p w14:paraId="3F74FF95" w14:textId="77777777" w:rsidR="00BD3875" w:rsidRPr="00084F38" w:rsidRDefault="00BD3875" w:rsidP="00955FCD">
      <w:pPr>
        <w:jc w:val="both"/>
        <w:rPr>
          <w:lang w:val="es-ES"/>
        </w:rPr>
      </w:pPr>
      <w:r w:rsidRPr="00084F38">
        <w:rPr>
          <w:lang w:val="es-ES"/>
        </w:rPr>
        <w:t>Este sentimiento se refleja en el acuerdo y los resultados del Pacífico, en particular la Declaración de Lagatoi, aprobada por los Ministros de TIC del Pacífico en 2023, en la que se instaba a los socios, incluida la UIT, a afianzar su presencia y profundizar su compromiso en el Pacífico. Esto proporciona un mandato claro para explorar mecanismos de apoyo mejorados y sostenidos en la subregión.</w:t>
      </w:r>
    </w:p>
    <w:p w14:paraId="067DC67B" w14:textId="77777777" w:rsidR="00BD3875" w:rsidRPr="00955FCD" w:rsidRDefault="00BD3875" w:rsidP="00955FCD">
      <w:pPr>
        <w:jc w:val="both"/>
        <w:rPr>
          <w:spacing w:val="-2"/>
          <w:lang w:val="es-ES"/>
        </w:rPr>
      </w:pPr>
      <w:r w:rsidRPr="00955FCD">
        <w:rPr>
          <w:spacing w:val="-2"/>
          <w:lang w:val="es-ES"/>
        </w:rPr>
        <w:t>Debido a su tamaño y sus limitaciones de capacidad, los PEIDP no pueden, por separado, gestionar de manera sostenible los programas complejos de transformación digital. La aplicación de un enfoque subregional y la labor de coordinación y cooperación subregionales constituyen un método más viable y rentable para abordar los desafíos y oportunidades únicos del contexto del Pacífico. Además, la adopción de un enfoque integrado para el Pacífico seguiría claramente la visión de la Declaración de Lagatoi. Dicho enfoque subregional integrado se implementaría mejor con la presencia de la UIT en el Pacífico en las mismas zonas horarias.</w:t>
      </w:r>
    </w:p>
    <w:p w14:paraId="22341DE0" w14:textId="77777777" w:rsidR="00BD3875" w:rsidRPr="00084F38" w:rsidRDefault="00BD3875" w:rsidP="00BD3875">
      <w:pPr>
        <w:pStyle w:val="Heading1"/>
        <w:rPr>
          <w:lang w:val="es-ES"/>
        </w:rPr>
      </w:pPr>
      <w:r w:rsidRPr="00084F38">
        <w:rPr>
          <w:lang w:val="es-ES"/>
        </w:rPr>
        <w:t>3</w:t>
      </w:r>
      <w:r w:rsidRPr="00084F38">
        <w:rPr>
          <w:lang w:val="es-ES"/>
        </w:rPr>
        <w:tab/>
        <w:t>Consideraciones</w:t>
      </w:r>
    </w:p>
    <w:p w14:paraId="446ACEE6" w14:textId="77777777" w:rsidR="00BD3875" w:rsidRPr="00084F38" w:rsidRDefault="00BD3875" w:rsidP="00361449">
      <w:pPr>
        <w:pStyle w:val="Heading2"/>
        <w:rPr>
          <w:lang w:val="es-ES"/>
        </w:rPr>
      </w:pPr>
      <w:r w:rsidRPr="00084F38">
        <w:rPr>
          <w:lang w:val="es-ES"/>
        </w:rPr>
        <w:t>3.1</w:t>
      </w:r>
      <w:r w:rsidRPr="00084F38">
        <w:rPr>
          <w:lang w:val="es-ES"/>
        </w:rPr>
        <w:tab/>
        <w:t>Adecuación a los criterios del Consejo de 2025 respecto de la creación de una nueva Oficina Zonal</w:t>
      </w:r>
    </w:p>
    <w:p w14:paraId="5090340E" w14:textId="77777777" w:rsidR="00BD3875" w:rsidRPr="00084F38" w:rsidRDefault="00BD3875" w:rsidP="003344DC">
      <w:pPr>
        <w:keepNext/>
        <w:jc w:val="both"/>
        <w:rPr>
          <w:spacing w:val="-2"/>
          <w:lang w:val="es-ES"/>
        </w:rPr>
      </w:pPr>
      <w:r w:rsidRPr="00084F38">
        <w:rPr>
          <w:lang w:val="es-ES"/>
        </w:rPr>
        <w:t xml:space="preserve">En la sesión de 2025 del Consejo se aprobaron los criterios para la creación de una nueva Oficina Zonal de la UIT. Teniendo en cuenta los criterios aprobados y los resultados de las </w:t>
      </w:r>
      <w:r w:rsidRPr="00084F38">
        <w:rPr>
          <w:lang w:val="es-ES"/>
        </w:rPr>
        <w:lastRenderedPageBreak/>
        <w:t>consultas y debates continuos, el plan para la creación de la Oficina Zonal del Pacífico podría considerar dos opciones:</w:t>
      </w:r>
    </w:p>
    <w:p w14:paraId="4729E982" w14:textId="7356C55A" w:rsidR="00BD3875" w:rsidRPr="00084F38" w:rsidRDefault="00BD3875" w:rsidP="00955FCD">
      <w:pPr>
        <w:pStyle w:val="enumlev1"/>
        <w:jc w:val="both"/>
        <w:rPr>
          <w:lang w:val="es-ES"/>
        </w:rPr>
      </w:pPr>
      <w:r w:rsidRPr="00084F38">
        <w:rPr>
          <w:lang w:val="es-ES"/>
        </w:rPr>
        <w:t>–</w:t>
      </w:r>
      <w:r w:rsidRPr="00084F38">
        <w:rPr>
          <w:lang w:val="es-ES"/>
        </w:rPr>
        <w:tab/>
        <w:t>Fiji</w:t>
      </w:r>
      <w:r w:rsidR="00361449" w:rsidRPr="00084F38">
        <w:rPr>
          <w:lang w:val="es-ES"/>
        </w:rPr>
        <w:t>,</w:t>
      </w:r>
    </w:p>
    <w:p w14:paraId="2DEFF3B3" w14:textId="77777777" w:rsidR="00BD3875" w:rsidRPr="00084F38" w:rsidRDefault="00BD3875" w:rsidP="00955FCD">
      <w:pPr>
        <w:pStyle w:val="enumlev1"/>
        <w:jc w:val="both"/>
        <w:rPr>
          <w:lang w:val="es-ES"/>
        </w:rPr>
      </w:pPr>
      <w:r w:rsidRPr="00084F38">
        <w:rPr>
          <w:lang w:val="es-ES"/>
        </w:rPr>
        <w:t>–</w:t>
      </w:r>
      <w:r w:rsidRPr="00084F38">
        <w:rPr>
          <w:lang w:val="es-ES"/>
        </w:rPr>
        <w:tab/>
        <w:t>Fiji y/o Samoa, Tonga y Papua Nueva Guinea (utilizando un modelo de plantilla distribuida).</w:t>
      </w:r>
    </w:p>
    <w:p w14:paraId="6964DAD7" w14:textId="77777777" w:rsidR="00BD3875" w:rsidRPr="00084F38" w:rsidRDefault="00BD3875" w:rsidP="00955FCD">
      <w:pPr>
        <w:jc w:val="both"/>
        <w:rPr>
          <w:lang w:val="es-ES"/>
        </w:rPr>
      </w:pPr>
      <w:r w:rsidRPr="00084F38">
        <w:rPr>
          <w:lang w:val="es-ES"/>
        </w:rPr>
        <w:t>Como parte de dicho proyecto, los detalles financieros se están recopilando y analizando en el estudio de viabilidad.</w:t>
      </w:r>
    </w:p>
    <w:p w14:paraId="5D2C4883" w14:textId="77777777" w:rsidR="00BD3875" w:rsidRPr="00084F38" w:rsidRDefault="00BD3875" w:rsidP="00BD3875">
      <w:pPr>
        <w:pStyle w:val="Heading2"/>
        <w:rPr>
          <w:lang w:val="es-ES"/>
        </w:rPr>
      </w:pPr>
      <w:r w:rsidRPr="00084F38">
        <w:rPr>
          <w:lang w:val="es-ES"/>
        </w:rPr>
        <w:t>3.2</w:t>
      </w:r>
      <w:r w:rsidRPr="00084F38">
        <w:rPr>
          <w:lang w:val="es-ES"/>
        </w:rPr>
        <w:tab/>
        <w:t>Importancia estratégica</w:t>
      </w:r>
    </w:p>
    <w:p w14:paraId="06E6C4B3" w14:textId="77777777" w:rsidR="00BD3875" w:rsidRPr="00084F38" w:rsidRDefault="00BD3875" w:rsidP="00955FCD">
      <w:pPr>
        <w:jc w:val="both"/>
        <w:rPr>
          <w:lang w:val="es-ES"/>
        </w:rPr>
      </w:pPr>
      <w:r w:rsidRPr="00084F38">
        <w:rPr>
          <w:lang w:val="es-ES"/>
        </w:rPr>
        <w:t>Sobre la base de la evaluación de necesidades y el análisis situacional, se espera que la creación de una Oficina Zonal en el Pacífico aporte, entre otros, los beneficios señalados a continuación:</w:t>
      </w:r>
    </w:p>
    <w:p w14:paraId="5E14CB36" w14:textId="77777777" w:rsidR="00BD3875" w:rsidRPr="00084F38" w:rsidRDefault="00BD3875" w:rsidP="00955FCD">
      <w:pPr>
        <w:pStyle w:val="enumlev1"/>
        <w:jc w:val="both"/>
        <w:rPr>
          <w:lang w:val="es-ES"/>
        </w:rPr>
      </w:pPr>
      <w:r w:rsidRPr="00084F38">
        <w:rPr>
          <w:lang w:val="es-ES"/>
        </w:rPr>
        <w:t>–</w:t>
      </w:r>
      <w:r w:rsidRPr="00084F38">
        <w:rPr>
          <w:lang w:val="es-ES"/>
        </w:rPr>
        <w:tab/>
        <w:t>acercar la UIT a los PEID a fin de acelerar los esfuerzos de transformación digital y propiciar la cooperación técnica y la colaboración en las mismas zonas horarias;</w:t>
      </w:r>
    </w:p>
    <w:p w14:paraId="5EC4BBB2" w14:textId="77777777" w:rsidR="00BD3875" w:rsidRPr="00084F38" w:rsidRDefault="00BD3875" w:rsidP="00955FCD">
      <w:pPr>
        <w:pStyle w:val="enumlev1"/>
        <w:jc w:val="both"/>
        <w:rPr>
          <w:lang w:val="es-ES"/>
        </w:rPr>
      </w:pPr>
      <w:r w:rsidRPr="00084F38">
        <w:rPr>
          <w:lang w:val="es-ES"/>
        </w:rPr>
        <w:t>–</w:t>
      </w:r>
      <w:r w:rsidRPr="00084F38">
        <w:rPr>
          <w:lang w:val="es-ES"/>
        </w:rPr>
        <w:tab/>
        <w:t>fortalecer la prestación de apoyo específico en áreas críticas y prioritarias de los PEIDP como las telecomunicaciones de emergencia, el desarrollo de infraestructuras y su participación e implicación en la normalización y las radiocomunicaciones;</w:t>
      </w:r>
    </w:p>
    <w:p w14:paraId="3C6176C7" w14:textId="77777777" w:rsidR="00BD3875" w:rsidRPr="00084F38" w:rsidRDefault="00BD3875" w:rsidP="00955FCD">
      <w:pPr>
        <w:pStyle w:val="enumlev1"/>
        <w:jc w:val="both"/>
        <w:rPr>
          <w:lang w:val="es-ES"/>
        </w:rPr>
      </w:pPr>
      <w:r w:rsidRPr="00084F38">
        <w:rPr>
          <w:lang w:val="es-ES"/>
        </w:rPr>
        <w:t>–</w:t>
      </w:r>
      <w:r w:rsidRPr="00084F38">
        <w:rPr>
          <w:lang w:val="es-ES"/>
        </w:rPr>
        <w:tab/>
        <w:t>propiciar una ejecución de proyectos y una coordinación de donantes más eficientes;</w:t>
      </w:r>
    </w:p>
    <w:p w14:paraId="02168557" w14:textId="77777777" w:rsidR="00BD3875" w:rsidRPr="00084F38" w:rsidRDefault="00BD3875" w:rsidP="00955FCD">
      <w:pPr>
        <w:pStyle w:val="enumlev1"/>
        <w:jc w:val="both"/>
        <w:rPr>
          <w:lang w:val="es-ES"/>
        </w:rPr>
      </w:pPr>
      <w:r w:rsidRPr="00084F38">
        <w:rPr>
          <w:lang w:val="es-ES"/>
        </w:rPr>
        <w:t>–</w:t>
      </w:r>
      <w:r w:rsidRPr="00084F38">
        <w:rPr>
          <w:lang w:val="es-ES"/>
        </w:rPr>
        <w:tab/>
        <w:t>mejorar la visibilidad y la adopción de las normas, herramientas y programas de la UIT.</w:t>
      </w:r>
    </w:p>
    <w:p w14:paraId="3506144D" w14:textId="77777777" w:rsidR="00BD3875" w:rsidRPr="00084F38" w:rsidRDefault="00BD3875" w:rsidP="00BD3875">
      <w:pPr>
        <w:pStyle w:val="Heading2"/>
        <w:rPr>
          <w:lang w:val="es-ES"/>
        </w:rPr>
      </w:pPr>
      <w:r w:rsidRPr="00084F38">
        <w:rPr>
          <w:lang w:val="es-ES"/>
        </w:rPr>
        <w:t>3.3</w:t>
      </w:r>
      <w:r w:rsidRPr="00084F38">
        <w:rPr>
          <w:lang w:val="es-ES"/>
        </w:rPr>
        <w:tab/>
        <w:t>Requisitos en materia de personal</w:t>
      </w:r>
    </w:p>
    <w:p w14:paraId="4545A292" w14:textId="77777777" w:rsidR="00BD3875" w:rsidRPr="00084F38" w:rsidRDefault="00BD3875" w:rsidP="00955FCD">
      <w:pPr>
        <w:jc w:val="both"/>
        <w:rPr>
          <w:lang w:val="es-ES"/>
        </w:rPr>
      </w:pPr>
      <w:r w:rsidRPr="00084F38">
        <w:rPr>
          <w:lang w:val="es-ES"/>
        </w:rPr>
        <w:t>Se necesita un complemento de personal mínimo para garantizar que la Oficina pueda llevar a cabo sus actividades de manera eficaz:</w:t>
      </w:r>
    </w:p>
    <w:p w14:paraId="1B7A884B" w14:textId="62DDFC70" w:rsidR="00BD3875" w:rsidRPr="00084F38" w:rsidRDefault="00BD3875" w:rsidP="00955FCD">
      <w:pPr>
        <w:pStyle w:val="enumlev1"/>
        <w:jc w:val="both"/>
        <w:rPr>
          <w:lang w:val="es-ES"/>
        </w:rPr>
      </w:pPr>
      <w:r w:rsidRPr="00084F38">
        <w:rPr>
          <w:lang w:val="es-ES"/>
        </w:rPr>
        <w:t>1</w:t>
      </w:r>
      <w:r w:rsidRPr="00084F38">
        <w:rPr>
          <w:lang w:val="es-ES"/>
        </w:rPr>
        <w:tab/>
        <w:t>Jefe de Oficina Zonal (P5)</w:t>
      </w:r>
      <w:r w:rsidR="00361449" w:rsidRPr="00084F38">
        <w:rPr>
          <w:lang w:val="es-ES"/>
        </w:rPr>
        <w:t>,</w:t>
      </w:r>
    </w:p>
    <w:p w14:paraId="46CB6323" w14:textId="792A4082" w:rsidR="00BD3875" w:rsidRPr="00084F38" w:rsidRDefault="00BD3875" w:rsidP="00955FCD">
      <w:pPr>
        <w:pStyle w:val="enumlev1"/>
        <w:jc w:val="both"/>
        <w:rPr>
          <w:lang w:val="es-ES"/>
        </w:rPr>
      </w:pPr>
      <w:r w:rsidRPr="00084F38">
        <w:rPr>
          <w:lang w:val="es-ES"/>
        </w:rPr>
        <w:t>2</w:t>
      </w:r>
      <w:r w:rsidRPr="00084F38">
        <w:rPr>
          <w:lang w:val="es-ES"/>
        </w:rPr>
        <w:tab/>
        <w:t>Oficial de Programas (P3)</w:t>
      </w:r>
      <w:r w:rsidR="00361449" w:rsidRPr="00084F38">
        <w:rPr>
          <w:lang w:val="es-ES"/>
        </w:rPr>
        <w:t>,</w:t>
      </w:r>
    </w:p>
    <w:p w14:paraId="03A710E8" w14:textId="77777777" w:rsidR="00BD3875" w:rsidRPr="00084F38" w:rsidRDefault="00BD3875" w:rsidP="00955FCD">
      <w:pPr>
        <w:pStyle w:val="enumlev1"/>
        <w:jc w:val="both"/>
        <w:rPr>
          <w:lang w:val="es-ES"/>
        </w:rPr>
      </w:pPr>
      <w:r w:rsidRPr="00084F38">
        <w:rPr>
          <w:lang w:val="es-ES"/>
        </w:rPr>
        <w:t>3</w:t>
      </w:r>
      <w:r w:rsidRPr="00084F38">
        <w:rPr>
          <w:lang w:val="es-ES"/>
        </w:rPr>
        <w:tab/>
        <w:t>Oficial Administrativo/de Operaciones (G5).</w:t>
      </w:r>
    </w:p>
    <w:p w14:paraId="3B4049EE" w14:textId="77777777" w:rsidR="00BD3875" w:rsidRPr="00084F38" w:rsidRDefault="00BD3875" w:rsidP="00955FCD">
      <w:pPr>
        <w:jc w:val="both"/>
        <w:rPr>
          <w:lang w:val="es-ES"/>
        </w:rPr>
      </w:pPr>
      <w:r w:rsidRPr="00084F38">
        <w:rPr>
          <w:lang w:val="es-ES"/>
        </w:rPr>
        <w:t>Este modelo es idéntico al de otras Oficinas Zonales y garantiza la capacidad tanto técnica como administrativa.</w:t>
      </w:r>
    </w:p>
    <w:p w14:paraId="2C610B66" w14:textId="73229B23" w:rsidR="00BD3875" w:rsidRPr="00084F38" w:rsidRDefault="00BD3875" w:rsidP="00955FCD">
      <w:pPr>
        <w:jc w:val="both"/>
        <w:rPr>
          <w:lang w:val="es-ES"/>
        </w:rPr>
      </w:pPr>
      <w:r w:rsidRPr="00084F38">
        <w:rPr>
          <w:lang w:val="es-ES"/>
        </w:rPr>
        <w:t xml:space="preserve">Teniendo en cuenta el superávit de 10,8 millones CHF comunicado en el actual periodo financiero (Documento </w:t>
      </w:r>
      <w:hyperlink r:id="rId24" w:history="1">
        <w:proofErr w:type="spellStart"/>
        <w:r w:rsidRPr="00084F38">
          <w:rPr>
            <w:rStyle w:val="Hyperlink"/>
            <w:lang w:val="es-ES"/>
          </w:rPr>
          <w:t>C26</w:t>
        </w:r>
        <w:proofErr w:type="spellEnd"/>
        <w:r w:rsidRPr="00084F38">
          <w:rPr>
            <w:rStyle w:val="Hyperlink"/>
            <w:lang w:val="es-ES"/>
          </w:rPr>
          <w:t>/42</w:t>
        </w:r>
      </w:hyperlink>
      <w:r w:rsidRPr="00084F38">
        <w:rPr>
          <w:lang w:val="es-ES"/>
        </w:rPr>
        <w:t>) y, con sujeción a la aprobación por la PP-26, la creación de 3</w:t>
      </w:r>
      <w:r w:rsidR="00361449" w:rsidRPr="00084F38">
        <w:rPr>
          <w:lang w:val="es-ES"/>
        </w:rPr>
        <w:t> </w:t>
      </w:r>
      <w:r w:rsidRPr="00084F38">
        <w:rPr>
          <w:lang w:val="es-ES"/>
        </w:rPr>
        <w:t>puestos en la Oficina Zonal podría financiarse a cargo de una parte de los fondos atribuidos a las Iniciativas Regionales conexas (1,3 millones CHF).</w:t>
      </w:r>
      <w:hyperlink r:id="rId25" w:history="1"/>
    </w:p>
    <w:p w14:paraId="21FF1D07" w14:textId="77777777" w:rsidR="00BD3875" w:rsidRPr="00084F38" w:rsidRDefault="00BD3875" w:rsidP="00BD3875">
      <w:pPr>
        <w:pStyle w:val="Reasons"/>
        <w:rPr>
          <w:rFonts w:asciiTheme="minorHAnsi" w:hAnsiTheme="minorHAnsi" w:cstheme="minorHAnsi"/>
          <w:lang w:val="es-ES"/>
        </w:rPr>
      </w:pPr>
    </w:p>
    <w:p w14:paraId="53094845" w14:textId="77777777" w:rsidR="00BD3875" w:rsidRPr="00084F38" w:rsidRDefault="00BD3875" w:rsidP="00BD3875">
      <w:pPr>
        <w:jc w:val="center"/>
        <w:rPr>
          <w:lang w:val="es-ES"/>
        </w:rPr>
      </w:pPr>
      <w:r w:rsidRPr="00084F38">
        <w:rPr>
          <w:lang w:val="es-ES"/>
        </w:rPr>
        <w:t>______________</w:t>
      </w:r>
    </w:p>
    <w:sectPr w:rsidR="00BD3875" w:rsidRPr="00084F38" w:rsidSect="00A053D8">
      <w:footerReference w:type="default" r:id="rId26"/>
      <w:headerReference w:type="first" r:id="rId27"/>
      <w:footerReference w:type="first" r:id="rId28"/>
      <w:pgSz w:w="11907" w:h="16834"/>
      <w:pgMar w:top="1077" w:right="1418" w:bottom="1077" w:left="1418" w:header="454" w:footer="39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82E3B" w14:textId="77777777" w:rsidR="00BD3875" w:rsidRDefault="00BD3875">
      <w:r>
        <w:separator/>
      </w:r>
    </w:p>
  </w:endnote>
  <w:endnote w:type="continuationSeparator" w:id="0">
    <w:p w14:paraId="5D2860F4" w14:textId="77777777" w:rsidR="00BD3875" w:rsidRDefault="00BD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4C57FEA3" w14:textId="77777777" w:rsidTr="00E31DCE">
      <w:trPr>
        <w:jc w:val="center"/>
      </w:trPr>
      <w:tc>
        <w:tcPr>
          <w:tcW w:w="1803" w:type="dxa"/>
          <w:vAlign w:val="center"/>
        </w:tcPr>
        <w:p w14:paraId="694D5538" w14:textId="345E9143" w:rsidR="003273A4" w:rsidRDefault="00BD3875" w:rsidP="003273A4">
          <w:pPr>
            <w:pStyle w:val="Header"/>
            <w:jc w:val="left"/>
            <w:rPr>
              <w:noProof/>
            </w:rPr>
          </w:pPr>
          <w:r>
            <w:rPr>
              <w:noProof/>
            </w:rPr>
            <w:t>2600918</w:t>
          </w:r>
        </w:p>
      </w:tc>
      <w:tc>
        <w:tcPr>
          <w:tcW w:w="8261" w:type="dxa"/>
        </w:tcPr>
        <w:p w14:paraId="56CB325D" w14:textId="58FECDAA"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BD3875">
            <w:rPr>
              <w:bCs/>
            </w:rPr>
            <w:t>85</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6D09FC9"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4EA22581" w14:textId="77777777" w:rsidTr="00E31DCE">
      <w:trPr>
        <w:jc w:val="center"/>
      </w:trPr>
      <w:tc>
        <w:tcPr>
          <w:tcW w:w="1803" w:type="dxa"/>
          <w:vAlign w:val="center"/>
        </w:tcPr>
        <w:p w14:paraId="6B2D4B3F"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43AC9377" w14:textId="6CCEA0C8"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BD3875">
            <w:rPr>
              <w:bCs/>
            </w:rPr>
            <w:t>85</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D85A792"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2ABF6" w14:textId="77777777" w:rsidR="00BD3875" w:rsidRDefault="00BD3875">
      <w:r>
        <w:t>____________________</w:t>
      </w:r>
    </w:p>
  </w:footnote>
  <w:footnote w:type="continuationSeparator" w:id="0">
    <w:p w14:paraId="0A2F8520" w14:textId="77777777" w:rsidR="00BD3875" w:rsidRDefault="00BD3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0B88" w14:textId="77777777" w:rsidR="001559F5" w:rsidRPr="00B1560D" w:rsidRDefault="00B1560D" w:rsidP="00B1560D">
    <w:pPr>
      <w:pStyle w:val="Header"/>
    </w:pPr>
    <w:r>
      <w:rPr>
        <w:noProof/>
      </w:rPr>
      <w:drawing>
        <wp:inline distT="0" distB="0" distL="0" distR="0" wp14:anchorId="5A36DF68" wp14:editId="06257266">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75"/>
    <w:rsid w:val="000007D1"/>
    <w:rsid w:val="00042359"/>
    <w:rsid w:val="0006007D"/>
    <w:rsid w:val="00084F38"/>
    <w:rsid w:val="00093EEB"/>
    <w:rsid w:val="000B0D00"/>
    <w:rsid w:val="000B50F0"/>
    <w:rsid w:val="000B7C15"/>
    <w:rsid w:val="000D1D0F"/>
    <w:rsid w:val="000E3F07"/>
    <w:rsid w:val="000F5290"/>
    <w:rsid w:val="000F5A95"/>
    <w:rsid w:val="0010165C"/>
    <w:rsid w:val="00146BFB"/>
    <w:rsid w:val="001559F5"/>
    <w:rsid w:val="00157AC4"/>
    <w:rsid w:val="0016169C"/>
    <w:rsid w:val="001958F5"/>
    <w:rsid w:val="001B6E2B"/>
    <w:rsid w:val="001F14A2"/>
    <w:rsid w:val="00277DEA"/>
    <w:rsid w:val="002801AA"/>
    <w:rsid w:val="002946E2"/>
    <w:rsid w:val="002C3F32"/>
    <w:rsid w:val="002C4676"/>
    <w:rsid w:val="002C70B0"/>
    <w:rsid w:val="002F3CC4"/>
    <w:rsid w:val="003032E2"/>
    <w:rsid w:val="0031300A"/>
    <w:rsid w:val="003273A4"/>
    <w:rsid w:val="003344DC"/>
    <w:rsid w:val="0034796E"/>
    <w:rsid w:val="00361449"/>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4546D"/>
    <w:rsid w:val="008F6ABC"/>
    <w:rsid w:val="00913B9C"/>
    <w:rsid w:val="00924CC1"/>
    <w:rsid w:val="00927F93"/>
    <w:rsid w:val="00955FCD"/>
    <w:rsid w:val="00956E77"/>
    <w:rsid w:val="009A338E"/>
    <w:rsid w:val="009A76A8"/>
    <w:rsid w:val="009C5528"/>
    <w:rsid w:val="009F4811"/>
    <w:rsid w:val="00A01F4F"/>
    <w:rsid w:val="00A053D8"/>
    <w:rsid w:val="00A109AF"/>
    <w:rsid w:val="00A94438"/>
    <w:rsid w:val="00AA390C"/>
    <w:rsid w:val="00AD5A4D"/>
    <w:rsid w:val="00AF0EAC"/>
    <w:rsid w:val="00B0200A"/>
    <w:rsid w:val="00B060DF"/>
    <w:rsid w:val="00B1560D"/>
    <w:rsid w:val="00B50457"/>
    <w:rsid w:val="00B574DB"/>
    <w:rsid w:val="00B826C2"/>
    <w:rsid w:val="00B8298E"/>
    <w:rsid w:val="00BB1213"/>
    <w:rsid w:val="00BB6FD8"/>
    <w:rsid w:val="00BD0723"/>
    <w:rsid w:val="00BD2518"/>
    <w:rsid w:val="00BD3875"/>
    <w:rsid w:val="00BF1D1C"/>
    <w:rsid w:val="00C20C59"/>
    <w:rsid w:val="00C2727F"/>
    <w:rsid w:val="00C4421B"/>
    <w:rsid w:val="00C538FC"/>
    <w:rsid w:val="00C55B1F"/>
    <w:rsid w:val="00CC1FAF"/>
    <w:rsid w:val="00CF1A67"/>
    <w:rsid w:val="00D2750E"/>
    <w:rsid w:val="00D375E0"/>
    <w:rsid w:val="00D50A36"/>
    <w:rsid w:val="00D62446"/>
    <w:rsid w:val="00D72C3F"/>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A8B10B"/>
  <w15:docId w15:val="{BCEEE86F-1ECD-4B14-8F27-A76BE161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uiPriority w:val="9"/>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924CC1"/>
    <w:pPr>
      <w:framePr w:hSpace="181" w:wrap="around" w:vAnchor="page" w:hAnchor="page" w:x="1589" w:y="2314"/>
      <w:spacing w:before="840"/>
    </w:pPr>
    <w:rPr>
      <w:rFonts w:cstheme="minorHAnsi"/>
      <w:b/>
      <w:bCs/>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58-S.pdf" TargetMode="External"/><Relationship Id="rId13" Type="http://schemas.openxmlformats.org/officeDocument/2006/relationships/hyperlink" Target="https://www.itu.int/md/S24-CL-C-0066/es" TargetMode="External"/><Relationship Id="rId18" Type="http://schemas.openxmlformats.org/officeDocument/2006/relationships/hyperlink" Target="https://www.itu.int/md/S24-CL-C-0066/es"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itu.int/md/S20-CL-C-0074/en" TargetMode="External"/><Relationship Id="rId7" Type="http://schemas.openxmlformats.org/officeDocument/2006/relationships/hyperlink" Target="https://www.itu.int/en/council/Documents/basic-texts-2023/RES-025-S.pdf" TargetMode="External"/><Relationship Id="rId12" Type="http://schemas.openxmlformats.org/officeDocument/2006/relationships/hyperlink" Target="https://www.itu.int/md/S26-CL-C-0024/es" TargetMode="External"/><Relationship Id="rId17" Type="http://schemas.openxmlformats.org/officeDocument/2006/relationships/hyperlink" Target="https://www.itu.int/md/S26-CL-C-0024/es" TargetMode="External"/><Relationship Id="rId25" Type="http://schemas.openxmlformats.org/officeDocument/2006/relationships/hyperlink" Target="https://www.itu.int/md/S26-CL-C-0042/en" TargetMode="External"/><Relationship Id="rId2" Type="http://schemas.openxmlformats.org/officeDocument/2006/relationships/settings" Target="settings.xml"/><Relationship Id="rId16" Type="http://schemas.openxmlformats.org/officeDocument/2006/relationships/hyperlink" Target="https://www.itu.int/pub/D-TDC-WTDC-2025" TargetMode="External"/><Relationship Id="rId20" Type="http://schemas.openxmlformats.org/officeDocument/2006/relationships/hyperlink" Target="https://www.itu.int/en/council/Documents/basic-texts-2023/RES-025-E.pdf"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tu.int/md/S24-CL-C-0066/es" TargetMode="External"/><Relationship Id="rId11" Type="http://schemas.openxmlformats.org/officeDocument/2006/relationships/hyperlink" Target="https://www.itu.int/md/S26-CL-C-0042/es" TargetMode="External"/><Relationship Id="rId24" Type="http://schemas.openxmlformats.org/officeDocument/2006/relationships/hyperlink" Target="https://www.itu.int/md/S26-CL-C-0042/es" TargetMode="External"/><Relationship Id="rId5" Type="http://schemas.openxmlformats.org/officeDocument/2006/relationships/endnotes" Target="endnotes.xml"/><Relationship Id="rId15" Type="http://schemas.openxmlformats.org/officeDocument/2006/relationships/hyperlink" Target="https://www.itu.int/md/S20-CL-C-0074/es" TargetMode="External"/><Relationship Id="rId23" Type="http://schemas.openxmlformats.org/officeDocument/2006/relationships/hyperlink" Target="https://www.itu.int/md/S24-CL-C-0066/en" TargetMode="External"/><Relationship Id="rId28" Type="http://schemas.openxmlformats.org/officeDocument/2006/relationships/footer" Target="footer2.xml"/><Relationship Id="rId10" Type="http://schemas.openxmlformats.org/officeDocument/2006/relationships/hyperlink" Target="https://www.itu.int/pub/D-TDC-WTDC-2025" TargetMode="External"/><Relationship Id="rId19" Type="http://schemas.openxmlformats.org/officeDocument/2006/relationships/hyperlink" Target="https://www.itu.int/dms_pub/itu-d/md/26/tdag33/c/D26-TDAG33-C-0002!N1-A1!MSW-S.docx" TargetMode="External"/><Relationship Id="rId4" Type="http://schemas.openxmlformats.org/officeDocument/2006/relationships/footnotes" Target="footnotes.xml"/><Relationship Id="rId9" Type="http://schemas.openxmlformats.org/officeDocument/2006/relationships/hyperlink" Target="https://www.itu.int/md/S20-CL-C-0074/es" TargetMode="External"/><Relationship Id="rId14" Type="http://schemas.openxmlformats.org/officeDocument/2006/relationships/hyperlink" Target="https://www.itu.int/en/council/Documents/basic-texts-2023/RES-025-S.pdf" TargetMode="External"/><Relationship Id="rId22" Type="http://schemas.openxmlformats.org/officeDocument/2006/relationships/hyperlink" Target="https://www.itu.int/pub/D-TDC-WTDC-2025"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15</TotalTime>
  <Pages>4</Pages>
  <Words>1869</Words>
  <Characters>11423</Characters>
  <Application>Microsoft Office Word</Application>
  <DocSecurity>0</DocSecurity>
  <Lines>1269</Lines>
  <Paragraphs>781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12511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para la creación de una oficina zonal de la UIT en el Pacífico</dc:title>
  <dc:subject>Consejo 2026 de la UIT</dc:subject>
  <cp:keywords>C26; C2026; Council 2026; PP26</cp:keywords>
  <dc:description/>
  <cp:lastPrinted>2006-03-24T09:51:00Z</cp:lastPrinted>
  <dcterms:created xsi:type="dcterms:W3CDTF">2026-04-20T13:40:00Z</dcterms:created>
  <dcterms:modified xsi:type="dcterms:W3CDTF">2026-04-20T13:53:00Z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