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75030D" w14:paraId="2E3ADD46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D726D10" w14:textId="0B625460" w:rsidR="00796BD3" w:rsidRPr="0075030D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75030D">
              <w:rPr>
                <w:b/>
                <w:lang w:val="ru-RU"/>
              </w:rPr>
              <w:t>Пункт повестки дня:</w:t>
            </w:r>
            <w:r w:rsidR="00D84313" w:rsidRPr="0075030D">
              <w:rPr>
                <w:b/>
                <w:lang w:val="ru-RU"/>
              </w:rPr>
              <w:t xml:space="preserve"> </w:t>
            </w:r>
            <w:r w:rsidR="00D84313" w:rsidRPr="0075030D">
              <w:rPr>
                <w:b/>
                <w:bCs/>
                <w:color w:val="000000"/>
                <w:lang w:val="ru-RU"/>
              </w:rPr>
              <w:t>PL</w:t>
            </w:r>
            <w:r w:rsidR="008701A1">
              <w:rPr>
                <w:b/>
                <w:bCs/>
                <w:color w:val="000000"/>
                <w:lang w:val="ru-RU"/>
              </w:rPr>
              <w:t xml:space="preserve"> </w:t>
            </w:r>
            <w:r w:rsidR="00D84313" w:rsidRPr="0075030D"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5245" w:type="dxa"/>
          </w:tcPr>
          <w:p w14:paraId="19CED129" w14:textId="00B89A46" w:rsidR="00796BD3" w:rsidRPr="0075030D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5030D">
              <w:rPr>
                <w:b/>
                <w:lang w:val="ru-RU"/>
              </w:rPr>
              <w:t xml:space="preserve">Документ </w:t>
            </w:r>
            <w:r w:rsidR="00796BD3" w:rsidRPr="0075030D">
              <w:rPr>
                <w:b/>
                <w:lang w:val="ru-RU"/>
              </w:rPr>
              <w:t>C2</w:t>
            </w:r>
            <w:r w:rsidR="00BE00DD" w:rsidRPr="0075030D">
              <w:rPr>
                <w:b/>
                <w:lang w:val="ru-RU"/>
              </w:rPr>
              <w:t>6</w:t>
            </w:r>
            <w:r w:rsidR="00796BD3" w:rsidRPr="0075030D">
              <w:rPr>
                <w:b/>
                <w:lang w:val="ru-RU"/>
              </w:rPr>
              <w:t>/</w:t>
            </w:r>
            <w:r w:rsidR="00D84313" w:rsidRPr="0075030D">
              <w:rPr>
                <w:b/>
                <w:lang w:val="ru-RU"/>
              </w:rPr>
              <w:t>85</w:t>
            </w:r>
            <w:r w:rsidR="00796BD3" w:rsidRPr="0075030D">
              <w:rPr>
                <w:b/>
                <w:lang w:val="ru-RU"/>
              </w:rPr>
              <w:t>-R</w:t>
            </w:r>
          </w:p>
        </w:tc>
      </w:tr>
      <w:tr w:rsidR="00796BD3" w:rsidRPr="0075030D" w14:paraId="64EA3F23" w14:textId="77777777" w:rsidTr="00D17718">
        <w:trPr>
          <w:cantSplit/>
        </w:trPr>
        <w:tc>
          <w:tcPr>
            <w:tcW w:w="3969" w:type="dxa"/>
            <w:vMerge/>
          </w:tcPr>
          <w:p w14:paraId="234795EE" w14:textId="77777777" w:rsidR="00796BD3" w:rsidRPr="0075030D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C4F9A97" w14:textId="2CE5AF7F" w:rsidR="00796BD3" w:rsidRPr="0075030D" w:rsidRDefault="00D84313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75030D">
              <w:rPr>
                <w:b/>
                <w:lang w:val="ru-RU"/>
              </w:rPr>
              <w:t>14 апреля 2026 г</w:t>
            </w:r>
            <w:r w:rsidR="00876197" w:rsidRPr="0075030D">
              <w:rPr>
                <w:b/>
                <w:lang w:val="ru-RU"/>
              </w:rPr>
              <w:t>ода</w:t>
            </w:r>
          </w:p>
        </w:tc>
      </w:tr>
      <w:tr w:rsidR="00796BD3" w:rsidRPr="0075030D" w14:paraId="0D23EFCC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98508F8" w14:textId="77777777" w:rsidR="00796BD3" w:rsidRPr="0075030D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FB5D11C" w14:textId="77777777" w:rsidR="00796BD3" w:rsidRPr="0075030D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5030D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75030D" w14:paraId="7E39E7B7" w14:textId="77777777" w:rsidTr="00D17718">
        <w:trPr>
          <w:cantSplit/>
          <w:trHeight w:val="23"/>
        </w:trPr>
        <w:tc>
          <w:tcPr>
            <w:tcW w:w="3969" w:type="dxa"/>
          </w:tcPr>
          <w:p w14:paraId="36B329AB" w14:textId="77777777" w:rsidR="00796BD3" w:rsidRPr="0075030D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25266AE" w14:textId="77777777" w:rsidR="00796BD3" w:rsidRPr="0075030D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81461C" w14:paraId="2C6F8B4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E7B54C4" w14:textId="0CBCC802" w:rsidR="00796BD3" w:rsidRPr="0075030D" w:rsidRDefault="00D84313" w:rsidP="00B17508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75030D">
              <w:t>Вклад Папуа-Новой Гвинеи, Австралии, Фиджи (Республики), Кирибати (Республики), Маршалловых Островов (Республики), Федеративных Штатов</w:t>
            </w:r>
            <w:r w:rsidR="008701A1" w:rsidRPr="0075030D">
              <w:t xml:space="preserve"> Микронезии</w:t>
            </w:r>
            <w:r w:rsidRPr="0075030D">
              <w:t>, Науру (Республики), Новой Зеландии, Палау (Республики), Соломоновых Островов, Самоа (Независимого Государства), Тонга (Королевства), Тувалу и Вануату</w:t>
            </w:r>
            <w:r w:rsidR="008701A1">
              <w:t xml:space="preserve"> (Республики)</w:t>
            </w:r>
          </w:p>
        </w:tc>
      </w:tr>
      <w:tr w:rsidR="00796BD3" w:rsidRPr="0081461C" w14:paraId="73B3721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3F768A" w14:textId="12D0B456" w:rsidR="00796BD3" w:rsidRPr="008701A1" w:rsidRDefault="00A71BAA" w:rsidP="00B17508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8701A1">
              <w:rPr>
                <w:sz w:val="32"/>
              </w:rPr>
              <w:t>ПРЕДЛОЖЕНИЕ О СОЗДАНИИ ЗОНАЛЬНОГО ОТДЕЛЕНИЯ МСЭ В ТИХООКЕАНСКОМ РЕГИОНЕ</w:t>
            </w:r>
          </w:p>
        </w:tc>
      </w:tr>
      <w:tr w:rsidR="00796BD3" w:rsidRPr="0081461C" w14:paraId="76DBCA83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62D7E2E" w14:textId="77777777" w:rsidR="00796BD3" w:rsidRPr="0075030D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75030D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6F96CA2A" w14:textId="19351264" w:rsidR="00D84313" w:rsidRPr="0075030D" w:rsidRDefault="00D84313" w:rsidP="00570D6D">
            <w:pPr>
              <w:jc w:val="both"/>
              <w:rPr>
                <w:szCs w:val="24"/>
                <w:lang w:val="ru-RU"/>
              </w:rPr>
            </w:pPr>
            <w:r w:rsidRPr="0075030D">
              <w:rPr>
                <w:lang w:val="ru-RU"/>
              </w:rPr>
              <w:t>Цель настоящего вклада состоит в том, чтобы предложить Совету рассмотреть вопрос о</w:t>
            </w:r>
            <w:r w:rsidR="00B17508" w:rsidRPr="0075030D">
              <w:rPr>
                <w:lang w:val="ru-RU"/>
              </w:rPr>
              <w:t> </w:t>
            </w:r>
            <w:r w:rsidRPr="0075030D">
              <w:rPr>
                <w:lang w:val="ru-RU"/>
              </w:rPr>
              <w:t>разработке подробного плана создания зонального отделения МСЭ в Тихоокеанском регионе. Зональное отделение МСЭ в Тихоокеанском регионе укрепит региональное присутствие МСЭ и</w:t>
            </w:r>
            <w:r w:rsidR="00B17508" w:rsidRPr="0075030D">
              <w:rPr>
                <w:lang w:val="ru-RU"/>
              </w:rPr>
              <w:t> </w:t>
            </w:r>
            <w:r w:rsidRPr="0075030D">
              <w:rPr>
                <w:lang w:val="ru-RU"/>
              </w:rPr>
              <w:t xml:space="preserve">поддержку малых островных развивающихся государств Тихого океана (СИДС Тихоокеанского региона) посредством присутствия МСЭ на местах и предоставления программ и услуг </w:t>
            </w:r>
            <w:r w:rsidR="00876197" w:rsidRPr="0075030D">
              <w:rPr>
                <w:lang w:val="ru-RU"/>
              </w:rPr>
              <w:t>в</w:t>
            </w:r>
            <w:r w:rsidR="00B17508" w:rsidRPr="0075030D">
              <w:rPr>
                <w:lang w:val="ru-RU"/>
              </w:rPr>
              <w:t> </w:t>
            </w:r>
            <w:r w:rsidR="00876197" w:rsidRPr="0075030D">
              <w:rPr>
                <w:lang w:val="ru-RU"/>
              </w:rPr>
              <w:t xml:space="preserve">соответствии с результатами </w:t>
            </w:r>
            <w:r w:rsidRPr="0075030D">
              <w:rPr>
                <w:lang w:val="ru-RU"/>
              </w:rPr>
              <w:t>ситуаци</w:t>
            </w:r>
            <w:r w:rsidR="00876197" w:rsidRPr="0075030D">
              <w:rPr>
                <w:lang w:val="ru-RU"/>
              </w:rPr>
              <w:t xml:space="preserve">онного анализа </w:t>
            </w:r>
            <w:r w:rsidRPr="0075030D">
              <w:rPr>
                <w:lang w:val="ru-RU"/>
              </w:rPr>
              <w:t>и оценки потребностей</w:t>
            </w:r>
            <w:r w:rsidR="00876197" w:rsidRPr="0075030D">
              <w:rPr>
                <w:lang w:val="ru-RU"/>
              </w:rPr>
              <w:t xml:space="preserve">, проведенных </w:t>
            </w:r>
            <w:r w:rsidRPr="0075030D">
              <w:rPr>
                <w:lang w:val="ru-RU"/>
              </w:rPr>
              <w:t>в</w:t>
            </w:r>
            <w:r w:rsidR="00B17508" w:rsidRPr="0075030D">
              <w:rPr>
                <w:lang w:val="ru-RU"/>
              </w:rPr>
              <w:t> </w:t>
            </w:r>
            <w:r w:rsidRPr="0075030D">
              <w:rPr>
                <w:lang w:val="ru-RU"/>
              </w:rPr>
              <w:t>2025</w:t>
            </w:r>
            <w:r w:rsidR="00B17508" w:rsidRPr="0075030D">
              <w:rPr>
                <w:lang w:val="ru-RU"/>
              </w:rPr>
              <w:t> </w:t>
            </w:r>
            <w:r w:rsidRPr="0075030D">
              <w:rPr>
                <w:lang w:val="ru-RU"/>
              </w:rPr>
              <w:t>году.</w:t>
            </w:r>
          </w:p>
          <w:p w14:paraId="5A4E74AA" w14:textId="561A9C9A" w:rsidR="00796BD3" w:rsidRPr="0075030D" w:rsidRDefault="00D84313" w:rsidP="00570D6D">
            <w:pPr>
              <w:jc w:val="both"/>
              <w:rPr>
                <w:lang w:val="ru-RU"/>
              </w:rPr>
            </w:pPr>
            <w:r w:rsidRPr="0075030D">
              <w:rPr>
                <w:lang w:val="ru-RU"/>
              </w:rPr>
              <w:t xml:space="preserve">Настоящее предложение </w:t>
            </w:r>
            <w:r w:rsidR="00A71BAA" w:rsidRPr="0075030D">
              <w:rPr>
                <w:lang w:val="ru-RU"/>
              </w:rPr>
              <w:t>согласуется с положениями</w:t>
            </w:r>
            <w:r w:rsidRPr="0075030D">
              <w:rPr>
                <w:lang w:val="ru-RU"/>
              </w:rPr>
              <w:t xml:space="preserve"> Резолюци</w:t>
            </w:r>
            <w:r w:rsidR="00A71BAA" w:rsidRPr="0075030D">
              <w:rPr>
                <w:lang w:val="ru-RU"/>
              </w:rPr>
              <w:t>и</w:t>
            </w:r>
            <w:r w:rsidRPr="0075030D">
              <w:rPr>
                <w:lang w:val="ru-RU"/>
              </w:rPr>
              <w:t xml:space="preserve"> 25 (Пересм. Бухарест, 2022 г.) ПК, соответствующи</w:t>
            </w:r>
            <w:r w:rsidR="00A71BAA" w:rsidRPr="0075030D">
              <w:rPr>
                <w:lang w:val="ru-RU"/>
              </w:rPr>
              <w:t>х</w:t>
            </w:r>
            <w:r w:rsidRPr="0075030D">
              <w:rPr>
                <w:lang w:val="ru-RU"/>
              </w:rPr>
              <w:t xml:space="preserve"> Резолюци</w:t>
            </w:r>
            <w:r w:rsidR="00A71BAA" w:rsidRPr="0075030D">
              <w:rPr>
                <w:lang w:val="ru-RU"/>
              </w:rPr>
              <w:t>й</w:t>
            </w:r>
            <w:r w:rsidRPr="0075030D">
              <w:rPr>
                <w:lang w:val="ru-RU"/>
              </w:rPr>
              <w:t xml:space="preserve"> 16 (Пересм. Баку, 2025 г.) и 94 (Баку, 2025 г.) ВКРЭ, обсуждени</w:t>
            </w:r>
            <w:r w:rsidR="00A71BAA" w:rsidRPr="0075030D">
              <w:rPr>
                <w:lang w:val="ru-RU"/>
              </w:rPr>
              <w:t>й</w:t>
            </w:r>
            <w:r w:rsidRPr="0075030D">
              <w:rPr>
                <w:lang w:val="ru-RU"/>
              </w:rPr>
              <w:t xml:space="preserve"> в Совете критериев создания новых зональных отделений (Документ </w:t>
            </w:r>
            <w:hyperlink r:id="rId8" w:history="1">
              <w:r w:rsidR="0099061E" w:rsidRPr="0075030D">
                <w:rPr>
                  <w:rStyle w:val="Hyperlink"/>
                  <w:szCs w:val="24"/>
                  <w:lang w:val="ru-RU"/>
                </w:rPr>
                <w:t>C24/66</w:t>
              </w:r>
            </w:hyperlink>
            <w:r w:rsidRPr="0075030D">
              <w:rPr>
                <w:lang w:val="ru-RU"/>
              </w:rPr>
              <w:t xml:space="preserve">), Азиатско-Тихоокеанской региональной инициативой </w:t>
            </w:r>
            <w:r w:rsidR="00A71BAA" w:rsidRPr="0075030D">
              <w:rPr>
                <w:lang w:val="ru-RU"/>
              </w:rPr>
              <w:t>№</w:t>
            </w:r>
            <w:r w:rsidR="00B17508" w:rsidRPr="0075030D">
              <w:rPr>
                <w:lang w:val="ru-RU"/>
              </w:rPr>
              <w:t> </w:t>
            </w:r>
            <w:r w:rsidRPr="0075030D">
              <w:rPr>
                <w:lang w:val="ru-RU"/>
              </w:rPr>
              <w:t xml:space="preserve">1, обзором регионального присутствия, проведенным компанией PwC (Документ </w:t>
            </w:r>
            <w:hyperlink r:id="rId9" w:history="1">
              <w:r w:rsidR="0099061E" w:rsidRPr="0075030D">
                <w:rPr>
                  <w:rStyle w:val="Hyperlink"/>
                  <w:szCs w:val="24"/>
                  <w:lang w:val="ru-RU"/>
                </w:rPr>
                <w:t>C20/74</w:t>
              </w:r>
            </w:hyperlink>
            <w:r w:rsidRPr="0075030D">
              <w:rPr>
                <w:lang w:val="ru-RU"/>
              </w:rPr>
              <w:t>), а также</w:t>
            </w:r>
            <w:r w:rsidR="00A71BAA" w:rsidRPr="0075030D">
              <w:rPr>
                <w:lang w:val="ru-RU"/>
              </w:rPr>
              <w:t>, в частности,</w:t>
            </w:r>
            <w:r w:rsidRPr="0075030D">
              <w:rPr>
                <w:lang w:val="ru-RU"/>
              </w:rPr>
              <w:t xml:space="preserve"> прецедент</w:t>
            </w:r>
            <w:r w:rsidR="00A71BAA" w:rsidRPr="0075030D">
              <w:rPr>
                <w:lang w:val="ru-RU"/>
              </w:rPr>
              <w:t xml:space="preserve">ом создания </w:t>
            </w:r>
            <w:r w:rsidRPr="0075030D">
              <w:rPr>
                <w:lang w:val="ru-RU"/>
              </w:rPr>
              <w:t>зонального отделения МСЭ в Индии в 2023</w:t>
            </w:r>
            <w:r w:rsidR="00B17508" w:rsidRPr="0075030D">
              <w:rPr>
                <w:lang w:val="ru-RU"/>
              </w:rPr>
              <w:t> </w:t>
            </w:r>
            <w:r w:rsidRPr="0075030D">
              <w:rPr>
                <w:lang w:val="ru-RU"/>
              </w:rPr>
              <w:t>году</w:t>
            </w:r>
            <w:r w:rsidR="00A71BAA" w:rsidRPr="0075030D">
              <w:rPr>
                <w:lang w:val="ru-RU"/>
              </w:rPr>
              <w:t>.</w:t>
            </w:r>
          </w:p>
          <w:p w14:paraId="0EDE8251" w14:textId="77777777" w:rsidR="00796BD3" w:rsidRPr="0075030D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75030D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478D4872" w14:textId="77777777" w:rsidR="00D84313" w:rsidRPr="0075030D" w:rsidRDefault="00D84313" w:rsidP="00B17508">
            <w:pPr>
              <w:rPr>
                <w:szCs w:val="24"/>
                <w:lang w:val="ru-RU"/>
              </w:rPr>
            </w:pPr>
            <w:r w:rsidRPr="0075030D">
              <w:rPr>
                <w:lang w:val="ru-RU"/>
              </w:rPr>
              <w:t>Совету предлагается:</w:t>
            </w:r>
          </w:p>
          <w:p w14:paraId="12212618" w14:textId="5B41F859" w:rsidR="00D84313" w:rsidRPr="0075030D" w:rsidRDefault="00D84313" w:rsidP="00570D6D">
            <w:pPr>
              <w:pStyle w:val="enumlev1"/>
              <w:spacing w:after="120"/>
              <w:jc w:val="both"/>
              <w:rPr>
                <w:szCs w:val="24"/>
                <w:lang w:val="ru-RU"/>
              </w:rPr>
            </w:pPr>
            <w:r w:rsidRPr="0075030D">
              <w:rPr>
                <w:lang w:val="ru-RU"/>
              </w:rPr>
              <w:t>1</w:t>
            </w:r>
            <w:r w:rsidRPr="0075030D">
              <w:rPr>
                <w:lang w:val="ru-RU"/>
              </w:rPr>
              <w:tab/>
            </w:r>
            <w:r w:rsidRPr="0075030D">
              <w:rPr>
                <w:b/>
                <w:bCs/>
                <w:lang w:val="ru-RU"/>
              </w:rPr>
              <w:t>утвердить</w:t>
            </w:r>
            <w:r w:rsidRPr="0075030D">
              <w:rPr>
                <w:lang w:val="ru-RU"/>
              </w:rPr>
              <w:t xml:space="preserve"> разработку подробного плана создания Зонального отделения МСЭ в</w:t>
            </w:r>
            <w:r w:rsidR="00B17508" w:rsidRPr="0075030D">
              <w:rPr>
                <w:lang w:val="ru-RU"/>
              </w:rPr>
              <w:t> </w:t>
            </w:r>
            <w:r w:rsidRPr="0075030D">
              <w:rPr>
                <w:lang w:val="ru-RU"/>
              </w:rPr>
              <w:t>Тихоокеанском регионе, который будет включать потребности в ресурсах и кадрах</w:t>
            </w:r>
            <w:r w:rsidR="00BF6EB5" w:rsidRPr="0075030D">
              <w:rPr>
                <w:lang w:val="ru-RU"/>
              </w:rPr>
              <w:t xml:space="preserve"> в</w:t>
            </w:r>
            <w:r w:rsidR="00B17508" w:rsidRPr="0075030D">
              <w:rPr>
                <w:lang w:val="ru-RU"/>
              </w:rPr>
              <w:t> </w:t>
            </w:r>
            <w:r w:rsidR="00BF6EB5" w:rsidRPr="0075030D">
              <w:rPr>
                <w:lang w:val="ru-RU"/>
              </w:rPr>
              <w:t xml:space="preserve">соответствии с </w:t>
            </w:r>
            <w:r w:rsidRPr="0075030D">
              <w:rPr>
                <w:lang w:val="ru-RU"/>
              </w:rPr>
              <w:t>критериями, установленными Советом в 2025 году</w:t>
            </w:r>
            <w:r w:rsidR="00876197" w:rsidRPr="0075030D">
              <w:rPr>
                <w:lang w:val="ru-RU"/>
              </w:rPr>
              <w:t>,</w:t>
            </w:r>
            <w:r w:rsidRPr="0075030D">
              <w:rPr>
                <w:lang w:val="ru-RU"/>
              </w:rPr>
              <w:t xml:space="preserve"> и с учетом таких прецедентов, как создание Зонального отделения в Индии;</w:t>
            </w:r>
          </w:p>
          <w:p w14:paraId="1CBF10AE" w14:textId="2FD58A9E" w:rsidR="00D84313" w:rsidRPr="0075030D" w:rsidRDefault="00D84313" w:rsidP="00570D6D">
            <w:pPr>
              <w:pStyle w:val="enumlev1"/>
              <w:spacing w:after="120"/>
              <w:jc w:val="both"/>
              <w:rPr>
                <w:szCs w:val="24"/>
                <w:lang w:val="ru-RU"/>
              </w:rPr>
            </w:pPr>
            <w:r w:rsidRPr="0075030D">
              <w:rPr>
                <w:lang w:val="ru-RU"/>
              </w:rPr>
              <w:t>2</w:t>
            </w:r>
            <w:r w:rsidRPr="0075030D">
              <w:rPr>
                <w:lang w:val="ru-RU"/>
              </w:rPr>
              <w:tab/>
            </w:r>
            <w:r w:rsidRPr="0075030D">
              <w:rPr>
                <w:b/>
                <w:bCs/>
                <w:lang w:val="ru-RU"/>
              </w:rPr>
              <w:t>просить</w:t>
            </w:r>
            <w:r w:rsidRPr="0075030D">
              <w:rPr>
                <w:lang w:val="ru-RU"/>
              </w:rPr>
              <w:t xml:space="preserve"> </w:t>
            </w:r>
            <w:r w:rsidR="00BF6EB5" w:rsidRPr="0075030D">
              <w:rPr>
                <w:lang w:val="ru-RU"/>
              </w:rPr>
              <w:t>С</w:t>
            </w:r>
            <w:r w:rsidRPr="0075030D">
              <w:rPr>
                <w:lang w:val="ru-RU"/>
              </w:rPr>
              <w:t>екретариат представить этот отчет Полномочной конференции в 2026</w:t>
            </w:r>
            <w:r w:rsidR="00B17508" w:rsidRPr="0075030D">
              <w:rPr>
                <w:lang w:val="ru-RU"/>
              </w:rPr>
              <w:t> </w:t>
            </w:r>
            <w:r w:rsidRPr="0075030D">
              <w:rPr>
                <w:lang w:val="ru-RU"/>
              </w:rPr>
              <w:t>году для рассмотрения и возможного утверждения, а также Совету 2027</w:t>
            </w:r>
            <w:r w:rsidR="00B17508" w:rsidRPr="0075030D">
              <w:rPr>
                <w:lang w:val="ru-RU"/>
              </w:rPr>
              <w:t> </w:t>
            </w:r>
            <w:r w:rsidRPr="0075030D">
              <w:rPr>
                <w:lang w:val="ru-RU"/>
              </w:rPr>
              <w:t>года для</w:t>
            </w:r>
            <w:r w:rsidR="00B17508" w:rsidRPr="0075030D">
              <w:rPr>
                <w:lang w:val="ru-RU"/>
              </w:rPr>
              <w:t> </w:t>
            </w:r>
            <w:r w:rsidRPr="0075030D">
              <w:rPr>
                <w:lang w:val="ru-RU"/>
              </w:rPr>
              <w:t>поддержки прогресса в создании зонального отделения МСЭ в Тихоокеанском регионе;</w:t>
            </w:r>
          </w:p>
          <w:p w14:paraId="093A07C4" w14:textId="68EFB242" w:rsidR="00796BD3" w:rsidRPr="0075030D" w:rsidRDefault="00D84313" w:rsidP="00570D6D">
            <w:pPr>
              <w:pStyle w:val="enumlev1"/>
              <w:spacing w:after="120"/>
              <w:jc w:val="both"/>
              <w:rPr>
                <w:lang w:val="ru-RU"/>
              </w:rPr>
            </w:pPr>
            <w:r w:rsidRPr="0075030D">
              <w:rPr>
                <w:lang w:val="ru-RU"/>
              </w:rPr>
              <w:t>3</w:t>
            </w:r>
            <w:r w:rsidRPr="0075030D">
              <w:rPr>
                <w:lang w:val="ru-RU"/>
              </w:rPr>
              <w:tab/>
            </w:r>
            <w:r w:rsidRPr="0075030D">
              <w:rPr>
                <w:b/>
                <w:bCs/>
                <w:lang w:val="ru-RU"/>
              </w:rPr>
              <w:t>принять к сведению</w:t>
            </w:r>
            <w:r w:rsidRPr="0075030D">
              <w:rPr>
                <w:lang w:val="ru-RU"/>
              </w:rPr>
              <w:t xml:space="preserve"> пункты, изложенные в разделе "Соображения".</w:t>
            </w:r>
          </w:p>
          <w:p w14:paraId="2FCD5C47" w14:textId="77777777" w:rsidR="00796BD3" w:rsidRPr="0075030D" w:rsidRDefault="00796BD3" w:rsidP="00570D6D">
            <w:pPr>
              <w:spacing w:before="360"/>
              <w:rPr>
                <w:caps/>
                <w:sz w:val="20"/>
                <w:szCs w:val="18"/>
                <w:lang w:val="ru-RU"/>
              </w:rPr>
            </w:pPr>
            <w:r w:rsidRPr="0075030D">
              <w:rPr>
                <w:sz w:val="20"/>
                <w:szCs w:val="18"/>
                <w:lang w:val="ru-RU"/>
              </w:rPr>
              <w:lastRenderedPageBreak/>
              <w:t>__________________</w:t>
            </w:r>
          </w:p>
          <w:p w14:paraId="7459CBF5" w14:textId="77777777" w:rsidR="00796BD3" w:rsidRPr="0075030D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75030D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33F270BD" w14:textId="67EE7712" w:rsidR="00796BD3" w:rsidRPr="0075030D" w:rsidRDefault="00D84313" w:rsidP="00D17718">
            <w:pPr>
              <w:spacing w:after="160"/>
              <w:rPr>
                <w:i/>
                <w:iCs/>
                <w:lang w:val="ru-RU"/>
              </w:rPr>
            </w:pPr>
            <w:r w:rsidRPr="0075030D">
              <w:rPr>
                <w:i/>
                <w:iCs/>
                <w:color w:val="000000"/>
                <w:lang w:val="ru-RU"/>
              </w:rPr>
              <w:t xml:space="preserve">Резолюции </w:t>
            </w:r>
            <w:hyperlink r:id="rId10" w:history="1">
              <w:r w:rsidRPr="0075030D">
                <w:rPr>
                  <w:rStyle w:val="Hyperlink"/>
                  <w:i/>
                  <w:iCs/>
                  <w:lang w:val="ru-RU"/>
                </w:rPr>
                <w:t>25 (Пересм. Бухарест, 2022 г.)</w:t>
              </w:r>
            </w:hyperlink>
            <w:r w:rsidRPr="0075030D">
              <w:rPr>
                <w:i/>
                <w:iCs/>
                <w:color w:val="000000"/>
                <w:lang w:val="ru-RU"/>
              </w:rPr>
              <w:t xml:space="preserve"> и </w:t>
            </w:r>
            <w:hyperlink r:id="rId11" w:history="1">
              <w:r w:rsidRPr="0075030D">
                <w:rPr>
                  <w:rStyle w:val="Hyperlink"/>
                  <w:i/>
                  <w:iCs/>
                  <w:lang w:val="ru-RU"/>
                </w:rPr>
                <w:t>158 (Пересм. Пусан, 2014 г.)</w:t>
              </w:r>
            </w:hyperlink>
            <w:r w:rsidRPr="0075030D">
              <w:rPr>
                <w:i/>
                <w:iCs/>
                <w:color w:val="000000"/>
                <w:lang w:val="ru-RU"/>
              </w:rPr>
              <w:t xml:space="preserve"> Полномочной конференции;</w:t>
            </w:r>
            <w:r w:rsidRPr="0075030D">
              <w:rPr>
                <w:color w:val="000000"/>
                <w:lang w:val="ru-RU"/>
              </w:rPr>
              <w:t xml:space="preserve"> </w:t>
            </w:r>
            <w:r w:rsidRPr="0075030D">
              <w:rPr>
                <w:i/>
                <w:iCs/>
                <w:color w:val="000000"/>
                <w:lang w:val="ru-RU"/>
              </w:rPr>
              <w:t xml:space="preserve">Отчет PwC о региональном присутствии МСЭ (Документ </w:t>
            </w:r>
            <w:hyperlink r:id="rId12" w:history="1">
              <w:r w:rsidR="00254216" w:rsidRPr="0075030D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C20/74</w:t>
              </w:r>
            </w:hyperlink>
            <w:r w:rsidRPr="0075030D">
              <w:rPr>
                <w:i/>
                <w:iCs/>
                <w:color w:val="000000"/>
                <w:lang w:val="ru-RU"/>
              </w:rPr>
              <w:t>);</w:t>
            </w:r>
            <w:r w:rsidRPr="0075030D">
              <w:rPr>
                <w:color w:val="000000"/>
                <w:lang w:val="ru-RU"/>
              </w:rPr>
              <w:t xml:space="preserve"> </w:t>
            </w:r>
            <w:r w:rsidRPr="0075030D">
              <w:rPr>
                <w:i/>
                <w:iCs/>
                <w:color w:val="000000"/>
                <w:lang w:val="ru-RU"/>
              </w:rPr>
              <w:t>Приложение</w:t>
            </w:r>
            <w:r w:rsidR="00B17508" w:rsidRPr="0075030D">
              <w:rPr>
                <w:i/>
                <w:iCs/>
                <w:color w:val="000000"/>
                <w:lang w:val="ru-RU"/>
              </w:rPr>
              <w:t> </w:t>
            </w:r>
            <w:r w:rsidRPr="0075030D">
              <w:rPr>
                <w:i/>
                <w:iCs/>
                <w:color w:val="000000"/>
                <w:lang w:val="ru-RU"/>
              </w:rPr>
              <w:t xml:space="preserve">1 к Документу </w:t>
            </w:r>
            <w:hyperlink r:id="rId13" w:history="1">
              <w:r w:rsidRPr="0075030D">
                <w:rPr>
                  <w:rStyle w:val="Hyperlink"/>
                  <w:i/>
                  <w:iCs/>
                  <w:lang w:val="ru-RU"/>
                </w:rPr>
                <w:t>TDAG-26/2(Add.1)</w:t>
              </w:r>
            </w:hyperlink>
            <w:r w:rsidR="00254216" w:rsidRPr="0075030D">
              <w:rPr>
                <w:i/>
                <w:iCs/>
                <w:color w:val="000000"/>
                <w:lang w:val="ru-RU"/>
              </w:rPr>
              <w:t xml:space="preserve">; </w:t>
            </w:r>
            <w:r w:rsidRPr="0075030D">
              <w:rPr>
                <w:i/>
                <w:iCs/>
                <w:color w:val="000000"/>
                <w:lang w:val="ru-RU"/>
              </w:rPr>
              <w:t xml:space="preserve">Резолюции </w:t>
            </w:r>
            <w:hyperlink r:id="rId14" w:history="1">
              <w:r w:rsidRPr="0075030D">
                <w:rPr>
                  <w:rStyle w:val="Hyperlink"/>
                  <w:i/>
                  <w:iCs/>
                  <w:lang w:val="ru-RU"/>
                </w:rPr>
                <w:t>94 (Баку, 2025 г.)</w:t>
              </w:r>
              <w:r w:rsidRPr="0081461C">
                <w:rPr>
                  <w:color w:val="000000"/>
                  <w:lang w:val="ru-RU"/>
                </w:rPr>
                <w:t xml:space="preserve">, </w:t>
              </w:r>
              <w:r w:rsidRPr="0075030D">
                <w:rPr>
                  <w:rStyle w:val="Hyperlink"/>
                  <w:i/>
                  <w:iCs/>
                  <w:lang w:val="ru-RU"/>
                </w:rPr>
                <w:t>16 (Пересм. Баку, 2025</w:t>
              </w:r>
              <w:r w:rsidR="00B17508" w:rsidRPr="0075030D">
                <w:rPr>
                  <w:rStyle w:val="Hyperlink"/>
                  <w:i/>
                  <w:iCs/>
                  <w:lang w:val="ru-RU"/>
                </w:rPr>
                <w:t> </w:t>
              </w:r>
              <w:r w:rsidRPr="0075030D">
                <w:rPr>
                  <w:rStyle w:val="Hyperlink"/>
                  <w:i/>
                  <w:iCs/>
                  <w:lang w:val="ru-RU"/>
                </w:rPr>
                <w:t>г.)</w:t>
              </w:r>
              <w:r w:rsidRPr="0081461C">
                <w:rPr>
                  <w:color w:val="000000"/>
                  <w:lang w:val="ru-RU"/>
                </w:rPr>
                <w:t xml:space="preserve">, </w:t>
              </w:r>
              <w:r w:rsidRPr="0075030D">
                <w:rPr>
                  <w:rStyle w:val="Hyperlink"/>
                  <w:i/>
                  <w:iCs/>
                  <w:lang w:val="ru-RU"/>
                </w:rPr>
                <w:t>17 (Пересм. Баку, 2025 г.</w:t>
              </w:r>
            </w:hyperlink>
            <w:r w:rsidRPr="0075030D">
              <w:rPr>
                <w:i/>
                <w:iCs/>
                <w:color w:val="000000"/>
                <w:lang w:val="ru-RU"/>
              </w:rPr>
              <w:t>) Всемирной конференции по развитию электросвязи, Региональная инициатива</w:t>
            </w:r>
            <w:r w:rsidR="00B17508" w:rsidRPr="0075030D">
              <w:rPr>
                <w:i/>
                <w:iCs/>
                <w:color w:val="000000"/>
                <w:lang w:val="ru-RU"/>
              </w:rPr>
              <w:t> </w:t>
            </w:r>
            <w:r w:rsidRPr="0075030D">
              <w:rPr>
                <w:i/>
                <w:iCs/>
                <w:color w:val="000000"/>
                <w:lang w:val="ru-RU"/>
              </w:rPr>
              <w:t xml:space="preserve">1 (Пересм. Баку, 2025 г.) Азиатско-Тихоокеанского региона, Документы </w:t>
            </w:r>
            <w:hyperlink r:id="rId15" w:history="1">
              <w:r w:rsidR="00254216" w:rsidRPr="0075030D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C26/42</w:t>
              </w:r>
            </w:hyperlink>
            <w:r w:rsidR="00254216" w:rsidRPr="0075030D">
              <w:rPr>
                <w:i/>
                <w:iCs/>
                <w:spacing w:val="-2"/>
                <w:szCs w:val="22"/>
                <w:lang w:val="ru-RU"/>
              </w:rPr>
              <w:t xml:space="preserve">, </w:t>
            </w:r>
            <w:hyperlink r:id="rId16" w:history="1">
              <w:r w:rsidR="00254216" w:rsidRPr="0075030D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C26/24</w:t>
              </w:r>
            </w:hyperlink>
            <w:r w:rsidR="00254216" w:rsidRPr="0075030D">
              <w:rPr>
                <w:i/>
                <w:iCs/>
                <w:spacing w:val="-2"/>
                <w:szCs w:val="22"/>
                <w:lang w:val="ru-RU"/>
              </w:rPr>
              <w:t xml:space="preserve"> и </w:t>
            </w:r>
            <w:hyperlink r:id="rId17" w:history="1">
              <w:r w:rsidR="00254216" w:rsidRPr="0075030D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C24/66</w:t>
              </w:r>
            </w:hyperlink>
            <w:r w:rsidRPr="0075030D">
              <w:rPr>
                <w:i/>
                <w:iCs/>
                <w:color w:val="000000"/>
                <w:lang w:val="ru-RU"/>
              </w:rPr>
              <w:t xml:space="preserve"> Совета</w:t>
            </w:r>
          </w:p>
        </w:tc>
      </w:tr>
      <w:bookmarkEnd w:id="2"/>
      <w:bookmarkEnd w:id="6"/>
    </w:tbl>
    <w:p w14:paraId="12B7192E" w14:textId="77777777" w:rsidR="00165D06" w:rsidRPr="0075030D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75030D">
        <w:rPr>
          <w:lang w:val="ru-RU"/>
        </w:rPr>
        <w:lastRenderedPageBreak/>
        <w:br w:type="page"/>
      </w:r>
    </w:p>
    <w:p w14:paraId="131EC92C" w14:textId="77777777" w:rsidR="00D84313" w:rsidRPr="00570D6D" w:rsidRDefault="00D84313" w:rsidP="00570D6D">
      <w:pPr>
        <w:pStyle w:val="Heading1"/>
      </w:pPr>
      <w:r w:rsidRPr="0075030D">
        <w:lastRenderedPageBreak/>
        <w:t>1</w:t>
      </w:r>
      <w:r w:rsidRPr="0075030D">
        <w:tab/>
        <w:t>Резюме</w:t>
      </w:r>
    </w:p>
    <w:p w14:paraId="1F184B11" w14:textId="616670B6" w:rsidR="00D84313" w:rsidRPr="0075030D" w:rsidRDefault="00D84313" w:rsidP="00570D6D">
      <w:pPr>
        <w:jc w:val="both"/>
        <w:rPr>
          <w:lang w:val="ru-RU"/>
        </w:rPr>
      </w:pPr>
      <w:r w:rsidRPr="0075030D">
        <w:rPr>
          <w:lang w:val="ru-RU"/>
        </w:rPr>
        <w:t xml:space="preserve">В настоящем вкладе Совету предлагается рассмотреть вопрос о создании зонального отделения МСЭ в Тихоокеанском регионе. На основании Резолюции </w:t>
      </w:r>
      <w:hyperlink r:id="rId18" w:history="1">
        <w:r w:rsidR="00BE0EFC" w:rsidRPr="0075030D">
          <w:rPr>
            <w:rStyle w:val="Hyperlink"/>
            <w:lang w:val="ru-RU"/>
          </w:rPr>
          <w:t>25 (Пересм. Бухарест, 2022</w:t>
        </w:r>
        <w:r w:rsidR="00DE4239" w:rsidRPr="0075030D">
          <w:rPr>
            <w:rStyle w:val="Hyperlink"/>
            <w:lang w:val="ru-RU"/>
          </w:rPr>
          <w:t> </w:t>
        </w:r>
        <w:r w:rsidR="00BE0EFC" w:rsidRPr="0075030D">
          <w:rPr>
            <w:rStyle w:val="Hyperlink"/>
            <w:lang w:val="ru-RU"/>
          </w:rPr>
          <w:t>г.)</w:t>
        </w:r>
      </w:hyperlink>
      <w:r w:rsidRPr="0075030D">
        <w:rPr>
          <w:lang w:val="ru-RU"/>
        </w:rPr>
        <w:t xml:space="preserve"> </w:t>
      </w:r>
      <w:r w:rsidR="00F441B8" w:rsidRPr="0075030D">
        <w:rPr>
          <w:lang w:val="ru-RU"/>
        </w:rPr>
        <w:t>ПК</w:t>
      </w:r>
      <w:r w:rsidRPr="0075030D">
        <w:rPr>
          <w:lang w:val="ru-RU"/>
        </w:rPr>
        <w:t xml:space="preserve">, отчета PwC о региональном присутствии МСЭ (Документ </w:t>
      </w:r>
      <w:hyperlink r:id="rId19" w:history="1">
        <w:r w:rsidR="002F32D5" w:rsidRPr="0075030D">
          <w:rPr>
            <w:rStyle w:val="Hyperlink"/>
            <w:spacing w:val="-2"/>
            <w:lang w:val="ru-RU"/>
          </w:rPr>
          <w:t>C20/74</w:t>
        </w:r>
      </w:hyperlink>
      <w:r w:rsidRPr="0075030D">
        <w:rPr>
          <w:lang w:val="ru-RU"/>
        </w:rPr>
        <w:t>), Резолюций</w:t>
      </w:r>
      <w:r w:rsidR="00DE4239" w:rsidRPr="0075030D">
        <w:rPr>
          <w:lang w:val="ru-RU"/>
        </w:rPr>
        <w:t> </w:t>
      </w:r>
      <w:hyperlink r:id="rId20" w:history="1">
        <w:r w:rsidR="002F32D5" w:rsidRPr="0075030D">
          <w:rPr>
            <w:rStyle w:val="Hyperlink"/>
            <w:lang w:val="ru-RU"/>
          </w:rPr>
          <w:t>16</w:t>
        </w:r>
        <w:r w:rsidR="00DE4239" w:rsidRPr="0075030D">
          <w:rPr>
            <w:rStyle w:val="Hyperlink"/>
            <w:lang w:val="ru-RU"/>
          </w:rPr>
          <w:t> </w:t>
        </w:r>
        <w:r w:rsidR="002F32D5" w:rsidRPr="0075030D">
          <w:rPr>
            <w:rStyle w:val="Hyperlink"/>
            <w:lang w:val="ru-RU"/>
          </w:rPr>
          <w:t>(Пересм. Баку, 2025 г.)</w:t>
        </w:r>
        <w:r w:rsidR="002F32D5" w:rsidRPr="00266269">
          <w:rPr>
            <w:lang w:val="ru-RU"/>
          </w:rPr>
          <w:t xml:space="preserve">, </w:t>
        </w:r>
        <w:r w:rsidR="002F32D5" w:rsidRPr="0075030D">
          <w:rPr>
            <w:rStyle w:val="Hyperlink"/>
            <w:lang w:val="ru-RU"/>
          </w:rPr>
          <w:t>17 (Пересм. Баку, 2025 г.)</w:t>
        </w:r>
        <w:r w:rsidR="002F32D5" w:rsidRPr="00266269">
          <w:rPr>
            <w:lang w:val="ru-RU"/>
          </w:rPr>
          <w:t xml:space="preserve"> и </w:t>
        </w:r>
        <w:r w:rsidR="002F32D5" w:rsidRPr="0075030D">
          <w:rPr>
            <w:rStyle w:val="Hyperlink"/>
            <w:lang w:val="ru-RU"/>
          </w:rPr>
          <w:t>94 (Баку, 2025 г.) ВКРЭ</w:t>
        </w:r>
      </w:hyperlink>
      <w:r w:rsidR="002F32D5" w:rsidRPr="0075030D">
        <w:rPr>
          <w:lang w:val="ru-RU"/>
        </w:rPr>
        <w:t>,</w:t>
      </w:r>
      <w:r w:rsidRPr="0075030D">
        <w:rPr>
          <w:lang w:val="ru-RU"/>
        </w:rPr>
        <w:t xml:space="preserve"> Региональной инициативы</w:t>
      </w:r>
      <w:r w:rsidR="00DE4239" w:rsidRPr="0075030D">
        <w:rPr>
          <w:lang w:val="ru-RU"/>
        </w:rPr>
        <w:t> </w:t>
      </w:r>
      <w:r w:rsidRPr="0075030D">
        <w:rPr>
          <w:lang w:val="ru-RU"/>
        </w:rPr>
        <w:t>1</w:t>
      </w:r>
      <w:r w:rsidR="002F32D5" w:rsidRPr="0075030D">
        <w:rPr>
          <w:lang w:val="ru-RU"/>
        </w:rPr>
        <w:t xml:space="preserve"> АТР</w:t>
      </w:r>
      <w:r w:rsidRPr="0075030D">
        <w:rPr>
          <w:lang w:val="ru-RU"/>
        </w:rPr>
        <w:t xml:space="preserve">, текущих обсуждений </w:t>
      </w:r>
      <w:r w:rsidR="002F32D5" w:rsidRPr="0075030D">
        <w:rPr>
          <w:lang w:val="ru-RU"/>
        </w:rPr>
        <w:t xml:space="preserve">вопроса </w:t>
      </w:r>
      <w:r w:rsidRPr="0075030D">
        <w:rPr>
          <w:lang w:val="ru-RU"/>
        </w:rPr>
        <w:t xml:space="preserve">регионального присутствия МСЭ (Документ </w:t>
      </w:r>
      <w:hyperlink r:id="rId21" w:history="1">
        <w:r w:rsidR="00BE0EFC" w:rsidRPr="0075030D">
          <w:rPr>
            <w:rStyle w:val="Hyperlink"/>
            <w:spacing w:val="-2"/>
            <w:lang w:val="ru-RU"/>
          </w:rPr>
          <w:t>C26/24</w:t>
        </w:r>
      </w:hyperlink>
      <w:r w:rsidRPr="0075030D">
        <w:rPr>
          <w:lang w:val="ru-RU"/>
        </w:rPr>
        <w:t xml:space="preserve">), а также предыдущих обсуждений в Совете критериев для создания новых региональных и зональных отделений МСЭ (Документ </w:t>
      </w:r>
      <w:hyperlink r:id="rId22" w:history="1">
        <w:r w:rsidR="00BE0EFC" w:rsidRPr="0075030D">
          <w:rPr>
            <w:rStyle w:val="Hyperlink"/>
            <w:spacing w:val="-2"/>
            <w:lang w:val="ru-RU"/>
          </w:rPr>
          <w:t>C24/66</w:t>
        </w:r>
      </w:hyperlink>
      <w:r w:rsidRPr="0075030D">
        <w:rPr>
          <w:lang w:val="ru-RU"/>
        </w:rPr>
        <w:t xml:space="preserve">), Региональное отделение МСЭ для </w:t>
      </w:r>
      <w:r w:rsidR="002F32D5" w:rsidRPr="0075030D">
        <w:rPr>
          <w:lang w:val="ru-RU"/>
        </w:rPr>
        <w:t>Азиатско-Тихоокеанского региона</w:t>
      </w:r>
      <w:r w:rsidRPr="0075030D">
        <w:rPr>
          <w:lang w:val="ru-RU"/>
        </w:rPr>
        <w:t xml:space="preserve"> </w:t>
      </w:r>
      <w:r w:rsidR="00876197" w:rsidRPr="0075030D">
        <w:rPr>
          <w:lang w:val="ru-RU"/>
        </w:rPr>
        <w:t xml:space="preserve">при поддержке правительства Австралии </w:t>
      </w:r>
      <w:r w:rsidRPr="0075030D">
        <w:rPr>
          <w:lang w:val="ru-RU"/>
        </w:rPr>
        <w:t>провело оценку потребностей и ситуационный анализ стран Тихоокеанского региона. Краткий обзор оценки потребностей и ситуационного анализа был представлен 33-й</w:t>
      </w:r>
      <w:r w:rsidR="00DE4239" w:rsidRPr="0075030D">
        <w:rPr>
          <w:lang w:val="ru-RU"/>
        </w:rPr>
        <w:t> </w:t>
      </w:r>
      <w:r w:rsidRPr="0075030D">
        <w:rPr>
          <w:lang w:val="ru-RU"/>
        </w:rPr>
        <w:t>сессии КГРЭ в апреле 2026</w:t>
      </w:r>
      <w:r w:rsidR="00DE4239" w:rsidRPr="0075030D">
        <w:rPr>
          <w:lang w:val="ru-RU"/>
        </w:rPr>
        <w:t> </w:t>
      </w:r>
      <w:r w:rsidRPr="0075030D">
        <w:rPr>
          <w:lang w:val="ru-RU"/>
        </w:rPr>
        <w:t>года (Приложение</w:t>
      </w:r>
      <w:r w:rsidR="00DE4239" w:rsidRPr="0075030D">
        <w:rPr>
          <w:lang w:val="ru-RU"/>
        </w:rPr>
        <w:t> </w:t>
      </w:r>
      <w:r w:rsidRPr="0075030D">
        <w:rPr>
          <w:lang w:val="ru-RU"/>
        </w:rPr>
        <w:t>1 КГРЭ к Документу</w:t>
      </w:r>
      <w:r w:rsidR="00DE4239" w:rsidRPr="0075030D">
        <w:rPr>
          <w:lang w:val="ru-RU"/>
        </w:rPr>
        <w:t> </w:t>
      </w:r>
      <w:hyperlink r:id="rId23" w:history="1">
        <w:r w:rsidRPr="0075030D">
          <w:rPr>
            <w:rStyle w:val="Hyperlink"/>
            <w:lang w:val="ru-RU"/>
          </w:rPr>
          <w:t>TDAG-26/2(Add.1)</w:t>
        </w:r>
      </w:hyperlink>
      <w:r w:rsidRPr="0075030D">
        <w:rPr>
          <w:lang w:val="ru-RU"/>
        </w:rPr>
        <w:t>).</w:t>
      </w:r>
      <w:hyperlink r:id="rId24" w:history="1"/>
      <w:hyperlink r:id="rId25" w:history="1"/>
      <w:hyperlink r:id="rId26" w:history="1"/>
      <w:hyperlink r:id="rId27" w:history="1"/>
    </w:p>
    <w:p w14:paraId="020499DB" w14:textId="1ECA53C6" w:rsidR="00D84313" w:rsidRPr="0075030D" w:rsidRDefault="00D84313" w:rsidP="00570D6D">
      <w:pPr>
        <w:jc w:val="both"/>
        <w:rPr>
          <w:lang w:val="ru-RU"/>
        </w:rPr>
      </w:pPr>
      <w:r w:rsidRPr="0075030D">
        <w:rPr>
          <w:lang w:val="ru-RU"/>
        </w:rPr>
        <w:t>Принимая во внимание результаты оценки потребностей и ситуационного анализа, Совету предлагается утвердить разработку подробного плана создания Зонального отделения МСЭ в</w:t>
      </w:r>
      <w:r w:rsidR="00DE4239" w:rsidRPr="0075030D">
        <w:rPr>
          <w:lang w:val="ru-RU"/>
        </w:rPr>
        <w:t> </w:t>
      </w:r>
      <w:r w:rsidRPr="0075030D">
        <w:rPr>
          <w:lang w:val="ru-RU"/>
        </w:rPr>
        <w:t>Тихоокеанском регионе, подготовленного Секретариатом</w:t>
      </w:r>
      <w:r w:rsidR="002F32D5" w:rsidRPr="0075030D">
        <w:rPr>
          <w:lang w:val="ru-RU"/>
        </w:rPr>
        <w:t xml:space="preserve"> в соответствии с </w:t>
      </w:r>
      <w:r w:rsidRPr="0075030D">
        <w:rPr>
          <w:lang w:val="ru-RU"/>
        </w:rPr>
        <w:t>критериями, установленными Советом в 2025 году, и</w:t>
      </w:r>
      <w:r w:rsidR="00C4366F" w:rsidRPr="0075030D">
        <w:rPr>
          <w:lang w:val="ru-RU"/>
        </w:rPr>
        <w:t xml:space="preserve"> с учетом </w:t>
      </w:r>
      <w:r w:rsidRPr="0075030D">
        <w:rPr>
          <w:lang w:val="ru-RU"/>
        </w:rPr>
        <w:t>таки</w:t>
      </w:r>
      <w:r w:rsidR="00C4366F" w:rsidRPr="0075030D">
        <w:rPr>
          <w:lang w:val="ru-RU"/>
        </w:rPr>
        <w:t>х</w:t>
      </w:r>
      <w:r w:rsidRPr="0075030D">
        <w:rPr>
          <w:lang w:val="ru-RU"/>
        </w:rPr>
        <w:t xml:space="preserve"> прецедент</w:t>
      </w:r>
      <w:r w:rsidR="00C4366F" w:rsidRPr="0075030D">
        <w:rPr>
          <w:lang w:val="ru-RU"/>
        </w:rPr>
        <w:t>ов</w:t>
      </w:r>
      <w:r w:rsidRPr="0075030D">
        <w:rPr>
          <w:lang w:val="ru-RU"/>
        </w:rPr>
        <w:t xml:space="preserve">, как создание Зонального отделения в Индии. План создания будет включать </w:t>
      </w:r>
      <w:r w:rsidR="00D41111" w:rsidRPr="0075030D">
        <w:rPr>
          <w:lang w:val="ru-RU"/>
        </w:rPr>
        <w:t xml:space="preserve">сведения о </w:t>
      </w:r>
      <w:r w:rsidRPr="0075030D">
        <w:rPr>
          <w:lang w:val="ru-RU"/>
        </w:rPr>
        <w:t>потребност</w:t>
      </w:r>
      <w:r w:rsidR="00D41111" w:rsidRPr="0075030D">
        <w:rPr>
          <w:lang w:val="ru-RU"/>
        </w:rPr>
        <w:t>ях</w:t>
      </w:r>
      <w:r w:rsidRPr="0075030D">
        <w:rPr>
          <w:lang w:val="ru-RU"/>
        </w:rPr>
        <w:t xml:space="preserve"> в ресурсах и кадрах, а также предлагаемое местоположение.</w:t>
      </w:r>
    </w:p>
    <w:p w14:paraId="058F0F66" w14:textId="21C744D9" w:rsidR="00D84313" w:rsidRPr="0075030D" w:rsidRDefault="00D84313" w:rsidP="00570D6D">
      <w:pPr>
        <w:jc w:val="both"/>
        <w:rPr>
          <w:lang w:val="ru-RU"/>
        </w:rPr>
      </w:pPr>
      <w:r w:rsidRPr="0075030D">
        <w:rPr>
          <w:lang w:val="ru-RU"/>
        </w:rPr>
        <w:t>Секретариат представит этот отчет Полномочной конференции в 2026 году</w:t>
      </w:r>
      <w:r w:rsidR="00D41111" w:rsidRPr="0075030D">
        <w:rPr>
          <w:lang w:val="ru-RU"/>
        </w:rPr>
        <w:t xml:space="preserve"> (ПК-26)</w:t>
      </w:r>
      <w:r w:rsidRPr="0075030D">
        <w:rPr>
          <w:lang w:val="ru-RU"/>
        </w:rPr>
        <w:t xml:space="preserve"> для</w:t>
      </w:r>
      <w:r w:rsidR="00DE4239" w:rsidRPr="0075030D">
        <w:rPr>
          <w:lang w:val="ru-RU"/>
        </w:rPr>
        <w:t> </w:t>
      </w:r>
      <w:r w:rsidRPr="0075030D">
        <w:rPr>
          <w:lang w:val="ru-RU"/>
        </w:rPr>
        <w:t xml:space="preserve">рассмотрения и возможного утверждения, а также Совету 2027 года для поддержки прогресса в создании </w:t>
      </w:r>
      <w:r w:rsidR="00BD44CB" w:rsidRPr="0075030D">
        <w:rPr>
          <w:b/>
          <w:bCs/>
          <w:lang w:val="ru-RU"/>
        </w:rPr>
        <w:t>З</w:t>
      </w:r>
      <w:r w:rsidRPr="0075030D">
        <w:rPr>
          <w:b/>
          <w:bCs/>
          <w:lang w:val="ru-RU"/>
        </w:rPr>
        <w:t>онального отделения МСЭ в Тихоокеанском регионе</w:t>
      </w:r>
      <w:r w:rsidR="00D41111" w:rsidRPr="0075030D">
        <w:rPr>
          <w:lang w:val="ru-RU"/>
        </w:rPr>
        <w:t>.</w:t>
      </w:r>
    </w:p>
    <w:p w14:paraId="5C4E6F4E" w14:textId="77777777" w:rsidR="00D84313" w:rsidRPr="0075030D" w:rsidRDefault="00D84313" w:rsidP="00570D6D">
      <w:pPr>
        <w:pStyle w:val="Heading1"/>
      </w:pPr>
      <w:r w:rsidRPr="0075030D">
        <w:t>2</w:t>
      </w:r>
      <w:r w:rsidRPr="0075030D">
        <w:tab/>
        <w:t>Базовая информация</w:t>
      </w:r>
    </w:p>
    <w:p w14:paraId="4810FD77" w14:textId="0D720ED7" w:rsidR="00D84313" w:rsidRPr="0075030D" w:rsidRDefault="00D84313" w:rsidP="00570D6D">
      <w:pPr>
        <w:jc w:val="both"/>
        <w:rPr>
          <w:lang w:val="ru-RU"/>
        </w:rPr>
      </w:pPr>
      <w:r w:rsidRPr="0075030D">
        <w:rPr>
          <w:lang w:val="ru-RU"/>
        </w:rPr>
        <w:t>Основываясь на предыдущих обсуждениях на Совете критериев создания новых региональных и зональных отделений МСЭ (Документ C24/66), Региональное отделение МСЭ для Азиатско-Тихоокеанского региона провело оценку потребностей и ситуационный анализ в Тихоокеанском регионе в рамках проекта "Технико­экономическое обоснование − удовлетворение особых потребностей в электросвязи/ИКТ малых островных развивающихся государств Тихого океана (СИДС Тихоокеанского региона)", финансируемого Министерством инфраструктуры, транспорта, регионального развития, связи, спорта и искусств (DITRDCSA) Австралии. В исследовании определены уникальные и неотложные потребности СИДС Тихоокеанского региона в области ИКТ и электросвязи и предложен набор программных приоритетов с учетом, среди прочего, обширного географического охвата, небольших экономик, разницы во времени с Женевой и Бангкоком. В феврале 2025 года прошло обсуждение результатов с представителями СИДС Тихоокеанского региона в Суве, Фиджи, после чего в отчет было внесено несколько обновлений до завершения работы. Краткий обзор оценки потребностей и ситуационного анализа был представлен на сессии КГРЭ 2026</w:t>
      </w:r>
      <w:r w:rsidR="0075030D" w:rsidRPr="0075030D">
        <w:rPr>
          <w:lang w:val="ru-RU"/>
        </w:rPr>
        <w:t> </w:t>
      </w:r>
      <w:r w:rsidRPr="0075030D">
        <w:rPr>
          <w:lang w:val="ru-RU"/>
        </w:rPr>
        <w:t>года в</w:t>
      </w:r>
      <w:r w:rsidR="0075030D" w:rsidRPr="0075030D">
        <w:rPr>
          <w:lang w:val="ru-RU"/>
        </w:rPr>
        <w:t> </w:t>
      </w:r>
      <w:r w:rsidRPr="0075030D">
        <w:rPr>
          <w:lang w:val="ru-RU"/>
        </w:rPr>
        <w:t>качестве Приложения</w:t>
      </w:r>
      <w:r w:rsidR="0075030D">
        <w:rPr>
          <w:lang w:val="en-US"/>
        </w:rPr>
        <w:t> </w:t>
      </w:r>
      <w:r w:rsidRPr="0075030D">
        <w:rPr>
          <w:lang w:val="ru-RU"/>
        </w:rPr>
        <w:t>1 к Дополнительному документу</w:t>
      </w:r>
      <w:r w:rsidR="0075030D">
        <w:rPr>
          <w:lang w:val="en-US"/>
        </w:rPr>
        <w:t> </w:t>
      </w:r>
      <w:r w:rsidRPr="0075030D">
        <w:rPr>
          <w:lang w:val="ru-RU"/>
        </w:rPr>
        <w:t>1 к Документу</w:t>
      </w:r>
      <w:r w:rsidR="0075030D">
        <w:rPr>
          <w:lang w:val="en-US"/>
        </w:rPr>
        <w:t> </w:t>
      </w:r>
      <w:r w:rsidRPr="0075030D">
        <w:rPr>
          <w:lang w:val="ru-RU"/>
        </w:rPr>
        <w:t>2 КГРЭ (Приложение</w:t>
      </w:r>
      <w:r w:rsidR="0075030D" w:rsidRPr="0075030D">
        <w:rPr>
          <w:lang w:val="ru-RU"/>
        </w:rPr>
        <w:t> </w:t>
      </w:r>
      <w:r w:rsidRPr="0075030D">
        <w:rPr>
          <w:lang w:val="ru-RU"/>
        </w:rPr>
        <w:t>1 к</w:t>
      </w:r>
      <w:r w:rsidR="0075030D" w:rsidRPr="0075030D">
        <w:rPr>
          <w:lang w:val="ru-RU"/>
        </w:rPr>
        <w:t> </w:t>
      </w:r>
      <w:r w:rsidRPr="0075030D">
        <w:rPr>
          <w:lang w:val="ru-RU"/>
        </w:rPr>
        <w:t>Документу TDAG-26/2(Add.1)).</w:t>
      </w:r>
    </w:p>
    <w:p w14:paraId="4ED89346" w14:textId="7E75FB4C" w:rsidR="00D84313" w:rsidRPr="0075030D" w:rsidRDefault="00D84313" w:rsidP="00570D6D">
      <w:pPr>
        <w:jc w:val="both"/>
        <w:rPr>
          <w:lang w:val="ru-RU"/>
        </w:rPr>
      </w:pPr>
      <w:r w:rsidRPr="0075030D">
        <w:rPr>
          <w:lang w:val="ru-RU"/>
        </w:rPr>
        <w:t xml:space="preserve">Оценка потребностей и ситуационный анализ показали, что СИДС Тихоокеанского региона сталкиваются со структурными и контекстуальными проблемами, которые по-прежнему препятствуют их цифровой трансформации. Возможности подключения сдерживаются пробелами в базовой инфраструктуре, включая низкое и неравномерное распространение широкополосной связи, зависимость от одиночных подводных кабелей и ограниченный доступ в сельских районах. </w:t>
      </w:r>
      <w:r w:rsidR="00876197" w:rsidRPr="0075030D">
        <w:rPr>
          <w:lang w:val="ru-RU"/>
        </w:rPr>
        <w:t xml:space="preserve">Одним из серьезных барьеров остается низкий </w:t>
      </w:r>
      <w:r w:rsidRPr="0075030D">
        <w:rPr>
          <w:lang w:val="ru-RU"/>
        </w:rPr>
        <w:t>уровень приемлемости в</w:t>
      </w:r>
      <w:r w:rsidR="0075030D" w:rsidRPr="0075030D">
        <w:rPr>
          <w:lang w:val="ru-RU"/>
        </w:rPr>
        <w:t> </w:t>
      </w:r>
      <w:r w:rsidRPr="0075030D">
        <w:rPr>
          <w:lang w:val="ru-RU"/>
        </w:rPr>
        <w:t>ценовом отношении, при этом стоимость интернета значительно превышает глобальные целевые показатели и поглощает непропорционально большую долю доходов домохозяйств в</w:t>
      </w:r>
      <w:r w:rsidR="0075030D" w:rsidRPr="0075030D">
        <w:rPr>
          <w:lang w:val="ru-RU"/>
        </w:rPr>
        <w:t> </w:t>
      </w:r>
      <w:r w:rsidRPr="0075030D">
        <w:rPr>
          <w:lang w:val="ru-RU"/>
        </w:rPr>
        <w:t>некоторых странах. Фрагментарное регулирование и ограниченная согласованность между юрисдикциями еще больше препятствуют частным инвестициям и осложняют региональное сотрудничество.</w:t>
      </w:r>
    </w:p>
    <w:p w14:paraId="6596C47C" w14:textId="752F1DB2" w:rsidR="00D84313" w:rsidRPr="0075030D" w:rsidRDefault="002947F5" w:rsidP="00570D6D">
      <w:pPr>
        <w:jc w:val="both"/>
        <w:rPr>
          <w:lang w:val="ru-RU"/>
        </w:rPr>
      </w:pPr>
      <w:r w:rsidRPr="0075030D">
        <w:rPr>
          <w:lang w:val="ru-RU"/>
        </w:rPr>
        <w:lastRenderedPageBreak/>
        <w:t xml:space="preserve">Цифровой разрыв усугубляется из-за ограниченного </w:t>
      </w:r>
      <w:r w:rsidR="00D84313" w:rsidRPr="0075030D">
        <w:rPr>
          <w:lang w:val="ru-RU"/>
        </w:rPr>
        <w:t>потенциал</w:t>
      </w:r>
      <w:r w:rsidRPr="0075030D">
        <w:rPr>
          <w:lang w:val="ru-RU"/>
        </w:rPr>
        <w:t>а</w:t>
      </w:r>
      <w:r w:rsidR="00D84313" w:rsidRPr="0075030D">
        <w:rPr>
          <w:lang w:val="ru-RU"/>
        </w:rPr>
        <w:t>. Большинство СИДС в</w:t>
      </w:r>
      <w:r w:rsidR="0075030D" w:rsidRPr="0075030D">
        <w:rPr>
          <w:lang w:val="ru-RU"/>
        </w:rPr>
        <w:t> </w:t>
      </w:r>
      <w:r w:rsidR="00D84313" w:rsidRPr="0075030D">
        <w:rPr>
          <w:lang w:val="ru-RU"/>
        </w:rPr>
        <w:t>Тихоокеанском регионе сталкиваются с нехваткой квалифицированных специалистов в</w:t>
      </w:r>
      <w:r w:rsidR="0075030D" w:rsidRPr="0075030D">
        <w:rPr>
          <w:lang w:val="ru-RU"/>
        </w:rPr>
        <w:t> </w:t>
      </w:r>
      <w:r w:rsidR="00D84313" w:rsidRPr="0075030D">
        <w:rPr>
          <w:lang w:val="ru-RU"/>
        </w:rPr>
        <w:t>области ИКТ и ограниченным институциональным потенциалом, что сказывается на</w:t>
      </w:r>
      <w:r w:rsidR="0075030D" w:rsidRPr="0075030D">
        <w:rPr>
          <w:lang w:val="ru-RU"/>
        </w:rPr>
        <w:t> </w:t>
      </w:r>
      <w:r w:rsidR="00D84313" w:rsidRPr="0075030D">
        <w:rPr>
          <w:lang w:val="ru-RU"/>
        </w:rPr>
        <w:t>развитии</w:t>
      </w:r>
      <w:r w:rsidR="0075030D" w:rsidRPr="0075030D">
        <w:rPr>
          <w:lang w:val="ru-RU"/>
        </w:rPr>
        <w:t> </w:t>
      </w:r>
      <w:r w:rsidR="00D84313" w:rsidRPr="0075030D">
        <w:rPr>
          <w:lang w:val="ru-RU"/>
        </w:rPr>
        <w:t xml:space="preserve">и поддержании цифровых услуг. </w:t>
      </w:r>
      <w:r w:rsidRPr="0075030D">
        <w:rPr>
          <w:lang w:val="ru-RU"/>
        </w:rPr>
        <w:t>Имеют место низкий уровень г</w:t>
      </w:r>
      <w:r w:rsidR="00D84313" w:rsidRPr="0075030D">
        <w:rPr>
          <w:lang w:val="ru-RU"/>
        </w:rPr>
        <w:t>отовност</w:t>
      </w:r>
      <w:r w:rsidRPr="0075030D">
        <w:rPr>
          <w:lang w:val="ru-RU"/>
        </w:rPr>
        <w:t>и</w:t>
      </w:r>
      <w:r w:rsidR="00D84313" w:rsidRPr="0075030D">
        <w:rPr>
          <w:lang w:val="ru-RU"/>
        </w:rPr>
        <w:t xml:space="preserve"> к</w:t>
      </w:r>
      <w:r w:rsidR="0075030D" w:rsidRPr="0075030D">
        <w:rPr>
          <w:lang w:val="ru-RU"/>
        </w:rPr>
        <w:t> </w:t>
      </w:r>
      <w:r w:rsidR="00D84313" w:rsidRPr="0075030D">
        <w:rPr>
          <w:lang w:val="ru-RU"/>
        </w:rPr>
        <w:t xml:space="preserve">кибербезопасности, </w:t>
      </w:r>
      <w:r w:rsidRPr="0075030D">
        <w:rPr>
          <w:lang w:val="ru-RU"/>
        </w:rPr>
        <w:t xml:space="preserve">недостаточная развитость </w:t>
      </w:r>
      <w:r w:rsidR="00D84313" w:rsidRPr="0075030D">
        <w:rPr>
          <w:lang w:val="ru-RU"/>
        </w:rPr>
        <w:t>систем управления электронными отходами, а</w:t>
      </w:r>
      <w:r w:rsidR="0075030D" w:rsidRPr="0075030D">
        <w:rPr>
          <w:lang w:val="ru-RU"/>
        </w:rPr>
        <w:t> </w:t>
      </w:r>
      <w:r w:rsidRPr="0075030D">
        <w:rPr>
          <w:lang w:val="ru-RU"/>
        </w:rPr>
        <w:t xml:space="preserve">также крайняя уязвимость </w:t>
      </w:r>
      <w:r w:rsidR="00D84313" w:rsidRPr="0075030D">
        <w:rPr>
          <w:lang w:val="ru-RU"/>
        </w:rPr>
        <w:t>цифров</w:t>
      </w:r>
      <w:r w:rsidRPr="0075030D">
        <w:rPr>
          <w:lang w:val="ru-RU"/>
        </w:rPr>
        <w:t>ой</w:t>
      </w:r>
      <w:r w:rsidR="00D84313" w:rsidRPr="0075030D">
        <w:rPr>
          <w:lang w:val="ru-RU"/>
        </w:rPr>
        <w:t xml:space="preserve"> инфраструктур</w:t>
      </w:r>
      <w:r w:rsidRPr="0075030D">
        <w:rPr>
          <w:lang w:val="ru-RU"/>
        </w:rPr>
        <w:t>ы</w:t>
      </w:r>
      <w:r w:rsidR="00D84313" w:rsidRPr="0075030D">
        <w:rPr>
          <w:lang w:val="ru-RU"/>
        </w:rPr>
        <w:t xml:space="preserve"> к потрясениям, связанным с климатом. Эти проблемы усугубляются высокими капитальными затратами, финансовой зависимостью от</w:t>
      </w:r>
      <w:r w:rsidR="0075030D" w:rsidRPr="0075030D">
        <w:rPr>
          <w:lang w:val="ru-RU"/>
        </w:rPr>
        <w:t> </w:t>
      </w:r>
      <w:r w:rsidR="00D84313" w:rsidRPr="0075030D">
        <w:rPr>
          <w:lang w:val="ru-RU"/>
        </w:rPr>
        <w:t>внешней поддержки и неравномерным прогрессом в области услуг цифрового правительства, где при наличии человеческого капитала часто не хватает систем, способствующих эффективному предоставлению услуг.</w:t>
      </w:r>
    </w:p>
    <w:p w14:paraId="63FCC401" w14:textId="719828BB" w:rsidR="00D84313" w:rsidRPr="0075030D" w:rsidRDefault="00D84313" w:rsidP="00570D6D">
      <w:pPr>
        <w:jc w:val="both"/>
        <w:rPr>
          <w:lang w:val="ru-RU"/>
        </w:rPr>
      </w:pPr>
      <w:r w:rsidRPr="0075030D">
        <w:rPr>
          <w:lang w:val="ru-RU"/>
        </w:rPr>
        <w:t xml:space="preserve">Несмотря на эти ограничения, цифровая трансформация широко признается </w:t>
      </w:r>
      <w:r w:rsidR="002947F5" w:rsidRPr="0075030D">
        <w:rPr>
          <w:lang w:val="ru-RU"/>
        </w:rPr>
        <w:t xml:space="preserve">в качестве одного из </w:t>
      </w:r>
      <w:r w:rsidRPr="0075030D">
        <w:rPr>
          <w:lang w:val="ru-RU"/>
        </w:rPr>
        <w:t>важнейши</w:t>
      </w:r>
      <w:r w:rsidR="002947F5" w:rsidRPr="0075030D">
        <w:rPr>
          <w:lang w:val="ru-RU"/>
        </w:rPr>
        <w:t>х</w:t>
      </w:r>
      <w:r w:rsidRPr="0075030D">
        <w:rPr>
          <w:lang w:val="ru-RU"/>
        </w:rPr>
        <w:t xml:space="preserve"> фактор</w:t>
      </w:r>
      <w:r w:rsidR="002947F5" w:rsidRPr="0075030D">
        <w:rPr>
          <w:lang w:val="ru-RU"/>
        </w:rPr>
        <w:t>ов</w:t>
      </w:r>
      <w:r w:rsidRPr="0075030D">
        <w:rPr>
          <w:lang w:val="ru-RU"/>
        </w:rPr>
        <w:t>, способствующи</w:t>
      </w:r>
      <w:r w:rsidR="002947F5" w:rsidRPr="0075030D">
        <w:rPr>
          <w:lang w:val="ru-RU"/>
        </w:rPr>
        <w:t>х</w:t>
      </w:r>
      <w:r w:rsidRPr="0075030D">
        <w:rPr>
          <w:lang w:val="ru-RU"/>
        </w:rPr>
        <w:t xml:space="preserve"> устойчивому развитию. Был достигнут обнадеживающий прогресс, растет проникновение подвижной связи, расширяется использование интернета, и многие страны разрабатывают стратегии в области ИКТ, цифровые государственные услуги и системы кибербезопасности. Это подтверждает, что цифровая трансформация не только имеет решающее значение для всеобъемлющего роста, но и необходима для повышения устойчивости и содействия субрегиональной интеграции.</w:t>
      </w:r>
    </w:p>
    <w:p w14:paraId="72F836F9" w14:textId="46C8F6F3" w:rsidR="00D84313" w:rsidRPr="0075030D" w:rsidRDefault="00D84313" w:rsidP="00570D6D">
      <w:pPr>
        <w:jc w:val="both"/>
        <w:rPr>
          <w:lang w:val="ru-RU"/>
        </w:rPr>
      </w:pPr>
      <w:r w:rsidRPr="0075030D">
        <w:rPr>
          <w:lang w:val="ru-RU"/>
        </w:rPr>
        <w:t xml:space="preserve">Однако субрегион по-прежнему в значительной степени зависит от поддержки </w:t>
      </w:r>
      <w:r w:rsidR="0076408D" w:rsidRPr="0075030D">
        <w:rPr>
          <w:lang w:val="ru-RU"/>
        </w:rPr>
        <w:t xml:space="preserve">в области </w:t>
      </w:r>
      <w:r w:rsidRPr="0075030D">
        <w:rPr>
          <w:lang w:val="ru-RU"/>
        </w:rPr>
        <w:t xml:space="preserve">развития. МСЭ, который на протяжении многих лет является надежным техническим партнером, играет ключевую роль, обеспечивая политическое руководство, </w:t>
      </w:r>
      <w:r w:rsidR="002947F5" w:rsidRPr="0075030D">
        <w:rPr>
          <w:lang w:val="ru-RU"/>
        </w:rPr>
        <w:t xml:space="preserve">создание </w:t>
      </w:r>
      <w:r w:rsidRPr="0075030D">
        <w:rPr>
          <w:lang w:val="ru-RU"/>
        </w:rPr>
        <w:t>потенциала и содействуя обеспечению возможности установления устойчивых соединений для</w:t>
      </w:r>
      <w:r w:rsidR="0075030D" w:rsidRPr="0075030D">
        <w:rPr>
          <w:lang w:val="ru-RU"/>
        </w:rPr>
        <w:t> </w:t>
      </w:r>
      <w:r w:rsidRPr="0075030D">
        <w:rPr>
          <w:lang w:val="ru-RU"/>
        </w:rPr>
        <w:t xml:space="preserve">всех. По мере того как цифровые потребности СИДС Тихоокеанского региона становятся все более сложными, все чаще зависят от климатических рисков, стихийных бедствий, появляющихся технологий и растущих ожиданий общественности, заинтересованные стороны все шире признают ценность более интегрированной, адаптированной к субрегиональному и национальному уровню модели предоставления </w:t>
      </w:r>
      <w:r w:rsidR="0076408D" w:rsidRPr="0075030D">
        <w:rPr>
          <w:lang w:val="ru-RU"/>
        </w:rPr>
        <w:t>услуг</w:t>
      </w:r>
      <w:r w:rsidRPr="0075030D">
        <w:rPr>
          <w:lang w:val="ru-RU"/>
        </w:rPr>
        <w:t xml:space="preserve"> для достижения большего эффекта.</w:t>
      </w:r>
    </w:p>
    <w:p w14:paraId="3761DBC7" w14:textId="49A6B15A" w:rsidR="00D84313" w:rsidRPr="0075030D" w:rsidRDefault="00D84313" w:rsidP="00570D6D">
      <w:pPr>
        <w:jc w:val="both"/>
        <w:rPr>
          <w:lang w:val="ru-RU"/>
        </w:rPr>
      </w:pPr>
      <w:r w:rsidRPr="0075030D">
        <w:rPr>
          <w:lang w:val="ru-RU"/>
        </w:rPr>
        <w:t>Эта позиция нашла отражение в консенсусе, достигнутом странами Тихоокеанского региона, и</w:t>
      </w:r>
      <w:r w:rsidR="0075030D" w:rsidRPr="0075030D">
        <w:rPr>
          <w:lang w:val="ru-RU"/>
        </w:rPr>
        <w:t> </w:t>
      </w:r>
      <w:r w:rsidRPr="0075030D">
        <w:rPr>
          <w:lang w:val="ru-RU"/>
        </w:rPr>
        <w:t>положени</w:t>
      </w:r>
      <w:r w:rsidR="0076408D" w:rsidRPr="0075030D">
        <w:rPr>
          <w:lang w:val="ru-RU"/>
        </w:rPr>
        <w:t>ях</w:t>
      </w:r>
      <w:r w:rsidRPr="0075030D">
        <w:rPr>
          <w:lang w:val="ru-RU"/>
        </w:rPr>
        <w:t xml:space="preserve"> принятых ими итоговых документов, главным образом Лагатойской декларации, которая была принята в 2023 году министрами ИКТ стран Тихоокеанского региона и в которой содержится призыв к партнерам, включая МСЭ, усилить свое присутствие и углубить взаимодействие в Тихоокеанском регионе. Это дает четкое основание для изучения возможностей расширения и обеспечения устойчивости механизмов поддержки в субрегионе.</w:t>
      </w:r>
    </w:p>
    <w:p w14:paraId="40393BBB" w14:textId="5040EDBA" w:rsidR="00D84313" w:rsidRPr="0075030D" w:rsidRDefault="00D84313" w:rsidP="00570D6D">
      <w:pPr>
        <w:jc w:val="both"/>
        <w:rPr>
          <w:spacing w:val="-2"/>
          <w:lang w:val="ru-RU"/>
        </w:rPr>
      </w:pPr>
      <w:r w:rsidRPr="0075030D">
        <w:rPr>
          <w:lang w:val="ru-RU"/>
        </w:rPr>
        <w:t>Отдельные СИДС из-за своих размеров и ограниченных возможностей не могут в одиночку устойчиво управлять сложными программами цифровой трансформации. Субрегиональный подход, координация и сотрудничество обеспечивают более жизнеспособный и экономически эффективный путь продвижения вперед к решению проблем и использованию возможностей, уникальных для Тихоокеанского региона. Применение комплексного подхода в Тихоокеанском регионе полностью согласуется с концепцией, изложенной в Лагатойской декларации. Такой комплексный субрегиональный подход лучше всего применять при наличии присутствия МСЭ в</w:t>
      </w:r>
      <w:r w:rsidR="0075030D" w:rsidRPr="0075030D">
        <w:rPr>
          <w:lang w:val="ru-RU"/>
        </w:rPr>
        <w:t> </w:t>
      </w:r>
      <w:r w:rsidRPr="0075030D">
        <w:rPr>
          <w:lang w:val="ru-RU"/>
        </w:rPr>
        <w:t>Тихоокеанском регионе в одних и тех же часовых поясах.</w:t>
      </w:r>
    </w:p>
    <w:p w14:paraId="6EB557FC" w14:textId="77777777" w:rsidR="00D84313" w:rsidRPr="0075030D" w:rsidRDefault="00D84313" w:rsidP="00570D6D">
      <w:pPr>
        <w:pStyle w:val="Heading1"/>
      </w:pPr>
      <w:r w:rsidRPr="0075030D">
        <w:t>3</w:t>
      </w:r>
      <w:r w:rsidRPr="0075030D">
        <w:tab/>
        <w:t>Соображения</w:t>
      </w:r>
    </w:p>
    <w:p w14:paraId="3DFD63B2" w14:textId="77777777" w:rsidR="00D84313" w:rsidRPr="0075030D" w:rsidRDefault="00D84313" w:rsidP="00570D6D">
      <w:pPr>
        <w:pStyle w:val="Heading2"/>
      </w:pPr>
      <w:r w:rsidRPr="0075030D">
        <w:t>3.1</w:t>
      </w:r>
      <w:r w:rsidRPr="0075030D">
        <w:tab/>
      </w:r>
      <w:r w:rsidRPr="00570D6D">
        <w:t>Согласование</w:t>
      </w:r>
      <w:r w:rsidRPr="0075030D">
        <w:t xml:space="preserve"> с критериями Совета 2025 года для открытия нового зонального отделения</w:t>
      </w:r>
    </w:p>
    <w:p w14:paraId="3CE674F6" w14:textId="3F844BFB" w:rsidR="00D84313" w:rsidRPr="0075030D" w:rsidRDefault="00D84313" w:rsidP="00570D6D">
      <w:pPr>
        <w:keepNext/>
        <w:jc w:val="both"/>
        <w:rPr>
          <w:spacing w:val="-2"/>
          <w:lang w:val="ru-RU"/>
        </w:rPr>
      </w:pPr>
      <w:r w:rsidRPr="0075030D">
        <w:rPr>
          <w:lang w:val="ru-RU"/>
        </w:rPr>
        <w:t xml:space="preserve">На сессии Совета 2025 года были утверждены критерии открытия </w:t>
      </w:r>
      <w:r w:rsidR="0076408D" w:rsidRPr="0075030D">
        <w:rPr>
          <w:lang w:val="ru-RU"/>
        </w:rPr>
        <w:t>новых</w:t>
      </w:r>
      <w:r w:rsidRPr="0075030D">
        <w:rPr>
          <w:lang w:val="ru-RU"/>
        </w:rPr>
        <w:t xml:space="preserve"> зональн</w:t>
      </w:r>
      <w:r w:rsidR="0076408D" w:rsidRPr="0075030D">
        <w:rPr>
          <w:lang w:val="ru-RU"/>
        </w:rPr>
        <w:t>ых</w:t>
      </w:r>
      <w:r w:rsidRPr="0075030D">
        <w:rPr>
          <w:lang w:val="ru-RU"/>
        </w:rPr>
        <w:t xml:space="preserve"> отделени</w:t>
      </w:r>
      <w:r w:rsidR="0076408D" w:rsidRPr="0075030D">
        <w:rPr>
          <w:lang w:val="ru-RU"/>
        </w:rPr>
        <w:t>й</w:t>
      </w:r>
      <w:r w:rsidRPr="0075030D">
        <w:rPr>
          <w:lang w:val="ru-RU"/>
        </w:rPr>
        <w:t xml:space="preserve"> МСЭ. Принимая во внимание утвержденные критерии и результаты консультаций и ведущихся </w:t>
      </w:r>
      <w:r w:rsidRPr="0075030D">
        <w:rPr>
          <w:lang w:val="ru-RU"/>
        </w:rPr>
        <w:lastRenderedPageBreak/>
        <w:t xml:space="preserve">обсуждений, в </w:t>
      </w:r>
      <w:r w:rsidR="002947F5" w:rsidRPr="0075030D">
        <w:rPr>
          <w:lang w:val="ru-RU"/>
        </w:rPr>
        <w:t>отношении</w:t>
      </w:r>
      <w:r w:rsidRPr="0075030D">
        <w:rPr>
          <w:lang w:val="ru-RU"/>
        </w:rPr>
        <w:t xml:space="preserve"> создания зонального отделения для Тихо</w:t>
      </w:r>
      <w:r w:rsidR="00D03D72" w:rsidRPr="0075030D">
        <w:rPr>
          <w:lang w:val="ru-RU"/>
        </w:rPr>
        <w:t>океанского региона</w:t>
      </w:r>
      <w:r w:rsidRPr="0075030D">
        <w:rPr>
          <w:lang w:val="ru-RU"/>
        </w:rPr>
        <w:t xml:space="preserve"> можно было бы рассмотреть два варианта:</w:t>
      </w:r>
    </w:p>
    <w:p w14:paraId="7021DE47" w14:textId="12FD2742" w:rsidR="00D84313" w:rsidRPr="0075030D" w:rsidRDefault="00D84313" w:rsidP="0075030D">
      <w:pPr>
        <w:pStyle w:val="enumlev1"/>
        <w:rPr>
          <w:lang w:val="ru-RU"/>
        </w:rPr>
      </w:pPr>
      <w:r w:rsidRPr="0075030D">
        <w:rPr>
          <w:lang w:val="ru-RU"/>
        </w:rPr>
        <w:t>–</w:t>
      </w:r>
      <w:r w:rsidRPr="0075030D">
        <w:rPr>
          <w:lang w:val="ru-RU"/>
        </w:rPr>
        <w:tab/>
        <w:t>Фиджи</w:t>
      </w:r>
      <w:r w:rsidR="00D03D72" w:rsidRPr="0075030D">
        <w:rPr>
          <w:lang w:val="ru-RU"/>
        </w:rPr>
        <w:t>;</w:t>
      </w:r>
    </w:p>
    <w:p w14:paraId="5E592C9F" w14:textId="2D380C30" w:rsidR="00D84313" w:rsidRPr="0075030D" w:rsidRDefault="00D84313" w:rsidP="0075030D">
      <w:pPr>
        <w:pStyle w:val="enumlev1"/>
        <w:rPr>
          <w:lang w:val="ru-RU"/>
        </w:rPr>
      </w:pPr>
      <w:r w:rsidRPr="0075030D">
        <w:rPr>
          <w:lang w:val="ru-RU"/>
        </w:rPr>
        <w:t>–</w:t>
      </w:r>
      <w:r w:rsidRPr="0075030D">
        <w:rPr>
          <w:lang w:val="ru-RU"/>
        </w:rPr>
        <w:tab/>
        <w:t>Фиджи и/или Самоа, Тонга и Папуа-Новая Гвинея (с использованием модели распределенного</w:t>
      </w:r>
      <w:r w:rsidR="002947F5" w:rsidRPr="0075030D">
        <w:rPr>
          <w:lang w:val="ru-RU"/>
        </w:rPr>
        <w:t xml:space="preserve"> размещения</w:t>
      </w:r>
      <w:r w:rsidRPr="0075030D">
        <w:rPr>
          <w:lang w:val="ru-RU"/>
        </w:rPr>
        <w:t xml:space="preserve"> персонала).</w:t>
      </w:r>
    </w:p>
    <w:p w14:paraId="1E11C015" w14:textId="74487033" w:rsidR="00D84313" w:rsidRPr="0075030D" w:rsidRDefault="00D84313" w:rsidP="00570D6D">
      <w:pPr>
        <w:jc w:val="both"/>
        <w:rPr>
          <w:lang w:val="ru-RU"/>
        </w:rPr>
      </w:pPr>
      <w:r w:rsidRPr="0075030D">
        <w:rPr>
          <w:lang w:val="ru-RU"/>
        </w:rPr>
        <w:t xml:space="preserve">В рамках вышеупомянутого проекта осуществляется сбор финансовых данных и их анализ при составлении </w:t>
      </w:r>
      <w:r w:rsidR="00D03D72" w:rsidRPr="0075030D">
        <w:rPr>
          <w:lang w:val="ru-RU"/>
        </w:rPr>
        <w:t>технико-экономического обоснования</w:t>
      </w:r>
      <w:r w:rsidRPr="0075030D">
        <w:rPr>
          <w:lang w:val="ru-RU"/>
        </w:rPr>
        <w:t>.</w:t>
      </w:r>
    </w:p>
    <w:p w14:paraId="2A02A3D2" w14:textId="77777777" w:rsidR="00D84313" w:rsidRPr="0075030D" w:rsidRDefault="00D84313" w:rsidP="00570D6D">
      <w:pPr>
        <w:pStyle w:val="Heading2"/>
      </w:pPr>
      <w:r w:rsidRPr="0075030D">
        <w:t>3.2</w:t>
      </w:r>
      <w:r w:rsidRPr="0075030D">
        <w:tab/>
        <w:t>Стратегическое значение</w:t>
      </w:r>
    </w:p>
    <w:p w14:paraId="42537FFD" w14:textId="7D3EDC53" w:rsidR="00D84313" w:rsidRPr="0075030D" w:rsidRDefault="0068382C" w:rsidP="00570D6D">
      <w:pPr>
        <w:jc w:val="both"/>
        <w:rPr>
          <w:lang w:val="ru-RU"/>
        </w:rPr>
      </w:pPr>
      <w:r w:rsidRPr="0075030D">
        <w:rPr>
          <w:lang w:val="ru-RU"/>
        </w:rPr>
        <w:t xml:space="preserve">Ожидается, что, с учетом результатов </w:t>
      </w:r>
      <w:r w:rsidR="00D84313" w:rsidRPr="0075030D">
        <w:rPr>
          <w:lang w:val="ru-RU"/>
        </w:rPr>
        <w:t>оценки потребностей и ситуационного анализа зональное отделение в Тихоокеанском регионе обеспечит, среди прочего, следующие преимущества:</w:t>
      </w:r>
    </w:p>
    <w:p w14:paraId="1861D871" w14:textId="621C6B6B" w:rsidR="00D84313" w:rsidRPr="0075030D" w:rsidRDefault="00D84313" w:rsidP="00570D6D">
      <w:pPr>
        <w:pStyle w:val="enumlev1"/>
        <w:jc w:val="both"/>
        <w:rPr>
          <w:lang w:val="ru-RU"/>
        </w:rPr>
      </w:pPr>
      <w:r w:rsidRPr="0075030D">
        <w:rPr>
          <w:lang w:val="ru-RU"/>
        </w:rPr>
        <w:t>–</w:t>
      </w:r>
      <w:r w:rsidRPr="0075030D">
        <w:rPr>
          <w:lang w:val="ru-RU"/>
        </w:rPr>
        <w:tab/>
      </w:r>
      <w:r w:rsidR="0068382C" w:rsidRPr="0075030D">
        <w:rPr>
          <w:lang w:val="ru-RU"/>
        </w:rPr>
        <w:t>сближение</w:t>
      </w:r>
      <w:r w:rsidRPr="0075030D">
        <w:rPr>
          <w:lang w:val="ru-RU"/>
        </w:rPr>
        <w:t xml:space="preserve"> МСЭ </w:t>
      </w:r>
      <w:r w:rsidR="0068382C" w:rsidRPr="0075030D">
        <w:rPr>
          <w:lang w:val="ru-RU"/>
        </w:rPr>
        <w:t>и</w:t>
      </w:r>
      <w:r w:rsidRPr="0075030D">
        <w:rPr>
          <w:lang w:val="ru-RU"/>
        </w:rPr>
        <w:t xml:space="preserve"> СИДС, с тем чтобы ускорить усилия по цифровой трансформации и обеспечить техническое сотрудничество и взаимодействие в </w:t>
      </w:r>
      <w:r w:rsidR="009D1304" w:rsidRPr="0075030D">
        <w:rPr>
          <w:lang w:val="ru-RU"/>
        </w:rPr>
        <w:t>одинаковых</w:t>
      </w:r>
      <w:r w:rsidRPr="0075030D">
        <w:rPr>
          <w:lang w:val="ru-RU"/>
        </w:rPr>
        <w:t xml:space="preserve"> часовых поясах;</w:t>
      </w:r>
    </w:p>
    <w:p w14:paraId="7CB91E1F" w14:textId="577FC73B" w:rsidR="00D84313" w:rsidRPr="0075030D" w:rsidRDefault="00D84313" w:rsidP="00570D6D">
      <w:pPr>
        <w:pStyle w:val="enumlev1"/>
        <w:jc w:val="both"/>
        <w:rPr>
          <w:lang w:val="ru-RU"/>
        </w:rPr>
      </w:pPr>
      <w:r w:rsidRPr="0075030D">
        <w:rPr>
          <w:lang w:val="ru-RU"/>
        </w:rPr>
        <w:t>–</w:t>
      </w:r>
      <w:r w:rsidRPr="0075030D">
        <w:rPr>
          <w:lang w:val="ru-RU"/>
        </w:rPr>
        <w:tab/>
      </w:r>
      <w:r w:rsidR="009D1304" w:rsidRPr="0075030D">
        <w:rPr>
          <w:lang w:val="ru-RU"/>
        </w:rPr>
        <w:t>усиление</w:t>
      </w:r>
      <w:r w:rsidRPr="0075030D">
        <w:rPr>
          <w:lang w:val="ru-RU"/>
        </w:rPr>
        <w:t xml:space="preserve"> предоставлени</w:t>
      </w:r>
      <w:r w:rsidR="009D1304" w:rsidRPr="0075030D">
        <w:rPr>
          <w:lang w:val="ru-RU"/>
        </w:rPr>
        <w:t>я</w:t>
      </w:r>
      <w:r w:rsidRPr="0075030D">
        <w:rPr>
          <w:lang w:val="ru-RU"/>
        </w:rPr>
        <w:t xml:space="preserve"> адресной поддержки в важнейших и приоритетных областях СИДС Тихоокеанского региона, таких как электросвязь в чрезвычайных ситуациях, развитие инфраструктуры, а также их участие и </w:t>
      </w:r>
      <w:r w:rsidR="009D1304" w:rsidRPr="0075030D">
        <w:rPr>
          <w:lang w:val="ru-RU"/>
        </w:rPr>
        <w:t>взаимодействие</w:t>
      </w:r>
      <w:r w:rsidRPr="0075030D">
        <w:rPr>
          <w:lang w:val="ru-RU"/>
        </w:rPr>
        <w:t xml:space="preserve"> в</w:t>
      </w:r>
      <w:r w:rsidR="009D1304" w:rsidRPr="0075030D">
        <w:rPr>
          <w:lang w:val="ru-RU"/>
        </w:rPr>
        <w:t xml:space="preserve"> сфере</w:t>
      </w:r>
      <w:r w:rsidRPr="0075030D">
        <w:rPr>
          <w:lang w:val="ru-RU"/>
        </w:rPr>
        <w:t xml:space="preserve"> стандартизации и радиосвязи;</w:t>
      </w:r>
    </w:p>
    <w:p w14:paraId="64C57881" w14:textId="177C7228" w:rsidR="00D84313" w:rsidRPr="0075030D" w:rsidRDefault="00D84313" w:rsidP="00570D6D">
      <w:pPr>
        <w:pStyle w:val="enumlev1"/>
        <w:jc w:val="both"/>
        <w:rPr>
          <w:lang w:val="ru-RU"/>
        </w:rPr>
      </w:pPr>
      <w:r w:rsidRPr="0075030D">
        <w:rPr>
          <w:lang w:val="ru-RU"/>
        </w:rPr>
        <w:t>–</w:t>
      </w:r>
      <w:r w:rsidRPr="0075030D">
        <w:rPr>
          <w:lang w:val="ru-RU"/>
        </w:rPr>
        <w:tab/>
      </w:r>
      <w:r w:rsidR="009D1304" w:rsidRPr="0075030D">
        <w:rPr>
          <w:lang w:val="ru-RU"/>
        </w:rPr>
        <w:t>содействие</w:t>
      </w:r>
      <w:r w:rsidRPr="0075030D">
        <w:rPr>
          <w:lang w:val="ru-RU"/>
        </w:rPr>
        <w:t xml:space="preserve"> более эффективному осуществлению проектов и координации деятельности доноров;</w:t>
      </w:r>
    </w:p>
    <w:p w14:paraId="06ACE6A0" w14:textId="77777777" w:rsidR="00D84313" w:rsidRPr="0075030D" w:rsidRDefault="00D84313" w:rsidP="00570D6D">
      <w:pPr>
        <w:pStyle w:val="enumlev1"/>
        <w:jc w:val="both"/>
        <w:rPr>
          <w:lang w:val="ru-RU"/>
        </w:rPr>
      </w:pPr>
      <w:r w:rsidRPr="0075030D">
        <w:rPr>
          <w:lang w:val="ru-RU"/>
        </w:rPr>
        <w:t>–</w:t>
      </w:r>
      <w:r w:rsidRPr="0075030D">
        <w:rPr>
          <w:lang w:val="ru-RU"/>
        </w:rPr>
        <w:tab/>
        <w:t>повышение наглядности и внедрения стандартов, инструментов и программ МСЭ.</w:t>
      </w:r>
    </w:p>
    <w:p w14:paraId="321841F9" w14:textId="77777777" w:rsidR="00D84313" w:rsidRPr="0075030D" w:rsidRDefault="00D84313" w:rsidP="00570D6D">
      <w:pPr>
        <w:pStyle w:val="Heading2"/>
      </w:pPr>
      <w:r w:rsidRPr="0075030D">
        <w:t>3.3</w:t>
      </w:r>
      <w:r w:rsidRPr="0075030D">
        <w:tab/>
        <w:t>Потребности в персонале</w:t>
      </w:r>
    </w:p>
    <w:p w14:paraId="67A7A99F" w14:textId="77777777" w:rsidR="00D84313" w:rsidRPr="0075030D" w:rsidRDefault="00D84313" w:rsidP="00570D6D">
      <w:pPr>
        <w:jc w:val="both"/>
        <w:rPr>
          <w:lang w:val="ru-RU"/>
        </w:rPr>
      </w:pPr>
      <w:r w:rsidRPr="0075030D">
        <w:rPr>
          <w:lang w:val="ru-RU"/>
        </w:rPr>
        <w:t>Для обеспечения того, чтобы Отделение могло эффективно работать, требуется минимальная численность персонала:</w:t>
      </w:r>
    </w:p>
    <w:p w14:paraId="2623337F" w14:textId="1C3419C3" w:rsidR="00D84313" w:rsidRPr="0075030D" w:rsidRDefault="00D84313" w:rsidP="00570D6D">
      <w:pPr>
        <w:pStyle w:val="enumlev1"/>
        <w:jc w:val="both"/>
        <w:rPr>
          <w:lang w:val="ru-RU"/>
        </w:rPr>
      </w:pPr>
      <w:r w:rsidRPr="0075030D">
        <w:rPr>
          <w:lang w:val="ru-RU"/>
        </w:rPr>
        <w:t>1</w:t>
      </w:r>
      <w:r w:rsidRPr="0075030D">
        <w:rPr>
          <w:lang w:val="ru-RU"/>
        </w:rPr>
        <w:tab/>
        <w:t>Руководитель зонального отделения (P5)</w:t>
      </w:r>
      <w:r w:rsidR="009D1304" w:rsidRPr="0075030D">
        <w:rPr>
          <w:lang w:val="ru-RU"/>
        </w:rPr>
        <w:t>.</w:t>
      </w:r>
    </w:p>
    <w:p w14:paraId="2F7B56D8" w14:textId="15CD0E48" w:rsidR="00D84313" w:rsidRPr="0075030D" w:rsidRDefault="00D84313" w:rsidP="00570D6D">
      <w:pPr>
        <w:pStyle w:val="enumlev1"/>
        <w:jc w:val="both"/>
        <w:rPr>
          <w:lang w:val="ru-RU"/>
        </w:rPr>
      </w:pPr>
      <w:r w:rsidRPr="0075030D">
        <w:rPr>
          <w:lang w:val="ru-RU"/>
        </w:rPr>
        <w:t>2</w:t>
      </w:r>
      <w:r w:rsidRPr="0075030D">
        <w:rPr>
          <w:lang w:val="ru-RU"/>
        </w:rPr>
        <w:tab/>
        <w:t>Специалист по программам (P3)</w:t>
      </w:r>
      <w:r w:rsidR="009D1304" w:rsidRPr="0075030D">
        <w:rPr>
          <w:lang w:val="ru-RU"/>
        </w:rPr>
        <w:t>.</w:t>
      </w:r>
    </w:p>
    <w:p w14:paraId="29BF6FCA" w14:textId="77777777" w:rsidR="00D84313" w:rsidRPr="0075030D" w:rsidRDefault="00D84313" w:rsidP="00570D6D">
      <w:pPr>
        <w:pStyle w:val="enumlev1"/>
        <w:jc w:val="both"/>
        <w:rPr>
          <w:lang w:val="ru-RU"/>
        </w:rPr>
      </w:pPr>
      <w:r w:rsidRPr="0075030D">
        <w:rPr>
          <w:lang w:val="ru-RU"/>
        </w:rPr>
        <w:t>3</w:t>
      </w:r>
      <w:r w:rsidRPr="0075030D">
        <w:rPr>
          <w:lang w:val="ru-RU"/>
        </w:rPr>
        <w:tab/>
        <w:t>Сотрудник по оперативным/административным вопросам (G5).</w:t>
      </w:r>
    </w:p>
    <w:p w14:paraId="303071A0" w14:textId="73AF9C0F" w:rsidR="00D84313" w:rsidRPr="0075030D" w:rsidRDefault="00D84313" w:rsidP="00570D6D">
      <w:pPr>
        <w:jc w:val="both"/>
        <w:rPr>
          <w:lang w:val="ru-RU"/>
        </w:rPr>
      </w:pPr>
      <w:r w:rsidRPr="0075030D">
        <w:rPr>
          <w:lang w:val="ru-RU"/>
        </w:rPr>
        <w:t xml:space="preserve">Эта модель </w:t>
      </w:r>
      <w:r w:rsidR="009D1304" w:rsidRPr="0075030D">
        <w:rPr>
          <w:lang w:val="ru-RU"/>
        </w:rPr>
        <w:t xml:space="preserve">создана на базе структуры </w:t>
      </w:r>
      <w:r w:rsidRPr="0075030D">
        <w:rPr>
          <w:lang w:val="ru-RU"/>
        </w:rPr>
        <w:t>други</w:t>
      </w:r>
      <w:r w:rsidR="009D1304" w:rsidRPr="0075030D">
        <w:rPr>
          <w:lang w:val="ru-RU"/>
        </w:rPr>
        <w:t>х</w:t>
      </w:r>
      <w:r w:rsidRPr="0075030D">
        <w:rPr>
          <w:lang w:val="ru-RU"/>
        </w:rPr>
        <w:t xml:space="preserve"> зональны</w:t>
      </w:r>
      <w:r w:rsidR="009D1304" w:rsidRPr="0075030D">
        <w:rPr>
          <w:lang w:val="ru-RU"/>
        </w:rPr>
        <w:t>х</w:t>
      </w:r>
      <w:r w:rsidRPr="0075030D">
        <w:rPr>
          <w:lang w:val="ru-RU"/>
        </w:rPr>
        <w:t xml:space="preserve"> отделени</w:t>
      </w:r>
      <w:r w:rsidR="009D1304" w:rsidRPr="0075030D">
        <w:rPr>
          <w:lang w:val="ru-RU"/>
        </w:rPr>
        <w:t>й</w:t>
      </w:r>
      <w:r w:rsidRPr="0075030D">
        <w:rPr>
          <w:lang w:val="ru-RU"/>
        </w:rPr>
        <w:t xml:space="preserve"> и обеспечивает как технический, так и административный потенциал.</w:t>
      </w:r>
    </w:p>
    <w:p w14:paraId="3624F559" w14:textId="2D8E4002" w:rsidR="0075030D" w:rsidRPr="0075030D" w:rsidRDefault="00D84313" w:rsidP="00570D6D">
      <w:pPr>
        <w:jc w:val="both"/>
        <w:rPr>
          <w:lang w:val="ru-RU"/>
        </w:rPr>
      </w:pPr>
      <w:r w:rsidRPr="0075030D">
        <w:rPr>
          <w:lang w:val="ru-RU"/>
        </w:rPr>
        <w:t>Учитывая, что в текущем финансовом периоде образовался активный остаток в размере 10,8</w:t>
      </w:r>
      <w:r w:rsidR="0075030D" w:rsidRPr="0075030D">
        <w:rPr>
          <w:lang w:val="ru-RU"/>
        </w:rPr>
        <w:t> </w:t>
      </w:r>
      <w:r w:rsidRPr="0075030D">
        <w:rPr>
          <w:lang w:val="ru-RU"/>
        </w:rPr>
        <w:t>млн</w:t>
      </w:r>
      <w:r w:rsidR="008844E0" w:rsidRPr="0075030D">
        <w:rPr>
          <w:lang w:val="ru-RU"/>
        </w:rPr>
        <w:t>.</w:t>
      </w:r>
      <w:r w:rsidR="0075030D" w:rsidRPr="0075030D">
        <w:rPr>
          <w:lang w:val="ru-RU"/>
        </w:rPr>
        <w:t> </w:t>
      </w:r>
      <w:r w:rsidRPr="0075030D">
        <w:rPr>
          <w:lang w:val="ru-RU"/>
        </w:rPr>
        <w:t xml:space="preserve">швейцарских франков (как указано в Документе </w:t>
      </w:r>
      <w:hyperlink r:id="rId28" w:history="1">
        <w:r w:rsidRPr="0075030D">
          <w:rPr>
            <w:rStyle w:val="Hyperlink"/>
            <w:lang w:val="ru-RU"/>
          </w:rPr>
          <w:t>C26/42</w:t>
        </w:r>
      </w:hyperlink>
      <w:r w:rsidRPr="0075030D">
        <w:rPr>
          <w:lang w:val="ru-RU"/>
        </w:rPr>
        <w:t xml:space="preserve">), и принимая во внимание ожидаемое одобрение со стороны </w:t>
      </w:r>
      <w:r w:rsidR="008844E0" w:rsidRPr="0075030D">
        <w:rPr>
          <w:lang w:val="ru-RU"/>
        </w:rPr>
        <w:t>ПК-26</w:t>
      </w:r>
      <w:r w:rsidRPr="0075030D">
        <w:rPr>
          <w:lang w:val="ru-RU"/>
        </w:rPr>
        <w:t>, создание трех должностей в зональном отделении можно профинансировать за сч</w:t>
      </w:r>
      <w:r w:rsidR="008844E0" w:rsidRPr="0075030D">
        <w:rPr>
          <w:lang w:val="ru-RU"/>
        </w:rPr>
        <w:t>е</w:t>
      </w:r>
      <w:r w:rsidRPr="0075030D">
        <w:rPr>
          <w:lang w:val="ru-RU"/>
        </w:rPr>
        <w:t xml:space="preserve">т части средств, которые уже выделены на поддержку региональных инициатив </w:t>
      </w:r>
      <w:r w:rsidR="0072345C">
        <w:rPr>
          <w:rFonts w:cs="Calibri"/>
          <w:lang w:val="ru-RU"/>
        </w:rPr>
        <w:t>−</w:t>
      </w:r>
      <w:r w:rsidRPr="0075030D">
        <w:rPr>
          <w:lang w:val="ru-RU"/>
        </w:rPr>
        <w:t xml:space="preserve"> а именно 1,3</w:t>
      </w:r>
      <w:r w:rsidR="0075030D" w:rsidRPr="0075030D">
        <w:rPr>
          <w:lang w:val="ru-RU"/>
        </w:rPr>
        <w:t> </w:t>
      </w:r>
      <w:r w:rsidRPr="0075030D">
        <w:rPr>
          <w:lang w:val="ru-RU"/>
        </w:rPr>
        <w:t>млн</w:t>
      </w:r>
      <w:r w:rsidR="00CE35E5" w:rsidRPr="0075030D">
        <w:rPr>
          <w:lang w:val="ru-RU"/>
        </w:rPr>
        <w:t>.</w:t>
      </w:r>
      <w:r w:rsidR="0075030D" w:rsidRPr="0075030D">
        <w:rPr>
          <w:lang w:val="ru-RU"/>
        </w:rPr>
        <w:t> </w:t>
      </w:r>
      <w:r w:rsidR="00CE35E5" w:rsidRPr="0075030D">
        <w:rPr>
          <w:lang w:val="ru-RU"/>
        </w:rPr>
        <w:t>швейцарских</w:t>
      </w:r>
      <w:r w:rsidRPr="0075030D">
        <w:rPr>
          <w:lang w:val="ru-RU"/>
        </w:rPr>
        <w:t xml:space="preserve"> франков.</w:t>
      </w:r>
    </w:p>
    <w:p w14:paraId="56F47D17" w14:textId="77777777" w:rsidR="00D84313" w:rsidRPr="0075030D" w:rsidRDefault="00D84313" w:rsidP="008701A1">
      <w:pPr>
        <w:spacing w:before="720"/>
        <w:jc w:val="center"/>
        <w:rPr>
          <w:lang w:val="ru-RU"/>
        </w:rPr>
      </w:pPr>
      <w:r w:rsidRPr="0075030D">
        <w:rPr>
          <w:lang w:val="ru-RU"/>
        </w:rPr>
        <w:t>______________</w:t>
      </w:r>
    </w:p>
    <w:sectPr w:rsidR="00D84313" w:rsidRPr="0075030D" w:rsidSect="00796BD3">
      <w:footerReference w:type="default" r:id="rId29"/>
      <w:headerReference w:type="first" r:id="rId30"/>
      <w:footerReference w:type="first" r:id="rId3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8F76" w14:textId="77777777" w:rsidR="002D220C" w:rsidRDefault="002D220C">
      <w:r>
        <w:separator/>
      </w:r>
    </w:p>
  </w:endnote>
  <w:endnote w:type="continuationSeparator" w:id="0">
    <w:p w14:paraId="7FEB54C8" w14:textId="77777777" w:rsidR="002D220C" w:rsidRDefault="002D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E67F397" w14:textId="77777777" w:rsidTr="00E31DCE">
      <w:trPr>
        <w:jc w:val="center"/>
      </w:trPr>
      <w:tc>
        <w:tcPr>
          <w:tcW w:w="1803" w:type="dxa"/>
          <w:vAlign w:val="center"/>
        </w:tcPr>
        <w:p w14:paraId="502BA0C0" w14:textId="73DB6101" w:rsidR="00672F8A" w:rsidRPr="008701A1" w:rsidRDefault="008701A1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  <w:lang w:val="ru-RU"/>
            </w:rPr>
            <w:t>2600918</w:t>
          </w:r>
        </w:p>
      </w:tc>
      <w:tc>
        <w:tcPr>
          <w:tcW w:w="8261" w:type="dxa"/>
        </w:tcPr>
        <w:p w14:paraId="34C2C0B7" w14:textId="2FBE15CF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B17508">
            <w:rPr>
              <w:bCs/>
              <w:lang w:val="ru-RU"/>
            </w:rPr>
            <w:t>85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4F8A9CA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01D215B" w14:textId="77777777" w:rsidTr="00E31DCE">
      <w:trPr>
        <w:jc w:val="center"/>
      </w:trPr>
      <w:tc>
        <w:tcPr>
          <w:tcW w:w="1803" w:type="dxa"/>
          <w:vAlign w:val="center"/>
        </w:tcPr>
        <w:p w14:paraId="222CB050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27749FA4" w14:textId="742C8490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B17508">
            <w:rPr>
              <w:bCs/>
              <w:lang w:val="ru-RU"/>
            </w:rPr>
            <w:t>85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895848A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606E" w14:textId="77777777" w:rsidR="002D220C" w:rsidRDefault="002D220C">
      <w:r>
        <w:t>____________________</w:t>
      </w:r>
    </w:p>
  </w:footnote>
  <w:footnote w:type="continuationSeparator" w:id="0">
    <w:p w14:paraId="2847E30E" w14:textId="77777777" w:rsidR="002D220C" w:rsidRDefault="002D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1882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4D3AC9E2" wp14:editId="635FD3DE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489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65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0F27D9"/>
    <w:rsid w:val="0014229E"/>
    <w:rsid w:val="0014734F"/>
    <w:rsid w:val="00156890"/>
    <w:rsid w:val="0015710D"/>
    <w:rsid w:val="00163A32"/>
    <w:rsid w:val="00165D06"/>
    <w:rsid w:val="00185865"/>
    <w:rsid w:val="00192B41"/>
    <w:rsid w:val="001B7B09"/>
    <w:rsid w:val="001E6719"/>
    <w:rsid w:val="001E7F50"/>
    <w:rsid w:val="00225368"/>
    <w:rsid w:val="00227FF0"/>
    <w:rsid w:val="00231FCD"/>
    <w:rsid w:val="00244C39"/>
    <w:rsid w:val="00254216"/>
    <w:rsid w:val="00266269"/>
    <w:rsid w:val="00276F05"/>
    <w:rsid w:val="00277DEA"/>
    <w:rsid w:val="00291EB6"/>
    <w:rsid w:val="002947F5"/>
    <w:rsid w:val="002C3F32"/>
    <w:rsid w:val="002D0AC7"/>
    <w:rsid w:val="002D220C"/>
    <w:rsid w:val="002D2F57"/>
    <w:rsid w:val="002D48C5"/>
    <w:rsid w:val="002F32D5"/>
    <w:rsid w:val="0030139F"/>
    <w:rsid w:val="00317064"/>
    <w:rsid w:val="0033025A"/>
    <w:rsid w:val="00345D2A"/>
    <w:rsid w:val="00381936"/>
    <w:rsid w:val="003935CB"/>
    <w:rsid w:val="003A48D8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70D6D"/>
    <w:rsid w:val="005A64D5"/>
    <w:rsid w:val="005B3DEC"/>
    <w:rsid w:val="00601994"/>
    <w:rsid w:val="00660449"/>
    <w:rsid w:val="00672F8A"/>
    <w:rsid w:val="0068382C"/>
    <w:rsid w:val="006E2D42"/>
    <w:rsid w:val="00703676"/>
    <w:rsid w:val="00707304"/>
    <w:rsid w:val="0072345C"/>
    <w:rsid w:val="00732269"/>
    <w:rsid w:val="0075030D"/>
    <w:rsid w:val="00762555"/>
    <w:rsid w:val="0076408D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461C"/>
    <w:rsid w:val="008173AA"/>
    <w:rsid w:val="00840A14"/>
    <w:rsid w:val="0084546D"/>
    <w:rsid w:val="008701A1"/>
    <w:rsid w:val="00876197"/>
    <w:rsid w:val="008844E0"/>
    <w:rsid w:val="008B62B4"/>
    <w:rsid w:val="008D2D7B"/>
    <w:rsid w:val="008E0737"/>
    <w:rsid w:val="008F7958"/>
    <w:rsid w:val="008F7C2C"/>
    <w:rsid w:val="00940E96"/>
    <w:rsid w:val="00950A82"/>
    <w:rsid w:val="00965D52"/>
    <w:rsid w:val="0099061E"/>
    <w:rsid w:val="009A76A8"/>
    <w:rsid w:val="009B0BAE"/>
    <w:rsid w:val="009C1C89"/>
    <w:rsid w:val="009D1304"/>
    <w:rsid w:val="009F3448"/>
    <w:rsid w:val="00A01CF9"/>
    <w:rsid w:val="00A01F4F"/>
    <w:rsid w:val="00A109AF"/>
    <w:rsid w:val="00A20B63"/>
    <w:rsid w:val="00A3481C"/>
    <w:rsid w:val="00A405F9"/>
    <w:rsid w:val="00A71773"/>
    <w:rsid w:val="00A71BAA"/>
    <w:rsid w:val="00A74304"/>
    <w:rsid w:val="00AE2C85"/>
    <w:rsid w:val="00B0107F"/>
    <w:rsid w:val="00B12A37"/>
    <w:rsid w:val="00B17508"/>
    <w:rsid w:val="00B41837"/>
    <w:rsid w:val="00B42FE5"/>
    <w:rsid w:val="00B63EF2"/>
    <w:rsid w:val="00BA7D89"/>
    <w:rsid w:val="00BC0D39"/>
    <w:rsid w:val="00BC7BC0"/>
    <w:rsid w:val="00BD44CB"/>
    <w:rsid w:val="00BD57B7"/>
    <w:rsid w:val="00BE00DD"/>
    <w:rsid w:val="00BE0EFC"/>
    <w:rsid w:val="00BE63E2"/>
    <w:rsid w:val="00BF6EB5"/>
    <w:rsid w:val="00C4366F"/>
    <w:rsid w:val="00C462C5"/>
    <w:rsid w:val="00CD2009"/>
    <w:rsid w:val="00CE35E5"/>
    <w:rsid w:val="00CF629C"/>
    <w:rsid w:val="00D03D72"/>
    <w:rsid w:val="00D17718"/>
    <w:rsid w:val="00D21265"/>
    <w:rsid w:val="00D41111"/>
    <w:rsid w:val="00D631AA"/>
    <w:rsid w:val="00D84313"/>
    <w:rsid w:val="00D92EEA"/>
    <w:rsid w:val="00DA5D4E"/>
    <w:rsid w:val="00DA770A"/>
    <w:rsid w:val="00DE4239"/>
    <w:rsid w:val="00E05752"/>
    <w:rsid w:val="00E176BA"/>
    <w:rsid w:val="00E423EC"/>
    <w:rsid w:val="00E55121"/>
    <w:rsid w:val="00EB4FCB"/>
    <w:rsid w:val="00EC6BC5"/>
    <w:rsid w:val="00F348D0"/>
    <w:rsid w:val="00F35898"/>
    <w:rsid w:val="00F441B8"/>
    <w:rsid w:val="00F5225B"/>
    <w:rsid w:val="00F86F14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765A5"/>
  <w15:docId w15:val="{5897A4A7-84D7-4773-9AEE-0C0B28E3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570D6D"/>
    <w:pPr>
      <w:keepNext/>
      <w:keepLines/>
      <w:spacing w:before="360"/>
      <w:ind w:left="794" w:hanging="794"/>
      <w:outlineLvl w:val="0"/>
    </w:pPr>
    <w:rPr>
      <w:b/>
      <w:sz w:val="26"/>
      <w:lang w:val="ru-RU"/>
    </w:rPr>
  </w:style>
  <w:style w:type="paragraph" w:styleId="Heading2">
    <w:name w:val="heading 2"/>
    <w:basedOn w:val="Heading1"/>
    <w:next w:val="Normal"/>
    <w:qFormat/>
    <w:rsid w:val="00570D6D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dms_pub/itu-d/md/26/tdag33/c/D26-TDAG33-C-0002!N1-A1!MSW-R.docx" TargetMode="External"/><Relationship Id="rId18" Type="http://schemas.openxmlformats.org/officeDocument/2006/relationships/hyperlink" Target="https://www.itu.int/en/council/Documents/basic-texts-2023/RES-025-R.pdf" TargetMode="External"/><Relationship Id="rId26" Type="http://schemas.openxmlformats.org/officeDocument/2006/relationships/hyperlink" Target="https://www.itu.int/pub/D-TDC-WTDC-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S26-CL-C-0024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S20-CL-C-0074/en" TargetMode="External"/><Relationship Id="rId17" Type="http://schemas.openxmlformats.org/officeDocument/2006/relationships/hyperlink" Target="https://www.itu.int/md/S24-CL-C-0066/en" TargetMode="External"/><Relationship Id="rId25" Type="http://schemas.openxmlformats.org/officeDocument/2006/relationships/hyperlink" Target="https://www.itu.int/md/S20-CL-C-0074/e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6-CL-C-0024/en" TargetMode="External"/><Relationship Id="rId20" Type="http://schemas.openxmlformats.org/officeDocument/2006/relationships/hyperlink" Target="https://www.itu.int/pub/D-TDC-WTDC-2025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Documents/basic-texts-2023/RES-158-R.pdf" TargetMode="External"/><Relationship Id="rId24" Type="http://schemas.openxmlformats.org/officeDocument/2006/relationships/hyperlink" Target="https://www.itu.int/en/council/Documents/basic-texts-2023/RES-025-E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6-CL-C-0042/en" TargetMode="External"/><Relationship Id="rId23" Type="http://schemas.openxmlformats.org/officeDocument/2006/relationships/hyperlink" Target="https://www.itu.int/dms_pub/itu-d/md/26/tdag33/c/D26-TDAG33-C-0002!N1-A1!MSW-R.docx" TargetMode="External"/><Relationship Id="rId28" Type="http://schemas.openxmlformats.org/officeDocument/2006/relationships/hyperlink" Target="https://www.itu.int/md/S26-CL-C-0042/en" TargetMode="External"/><Relationship Id="rId10" Type="http://schemas.openxmlformats.org/officeDocument/2006/relationships/hyperlink" Target="https://www.itu.int/en/council/Documents/basic-texts-2023/RES-025-R.pdf" TargetMode="External"/><Relationship Id="rId19" Type="http://schemas.openxmlformats.org/officeDocument/2006/relationships/hyperlink" Target="https://www.itu.int/md/S20-CL-C-0074/en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0-CL-C-0074/en" TargetMode="External"/><Relationship Id="rId14" Type="http://schemas.openxmlformats.org/officeDocument/2006/relationships/hyperlink" Target="https://www.itu.int/pub/D-TDC-WTDC-2025" TargetMode="External"/><Relationship Id="rId22" Type="http://schemas.openxmlformats.org/officeDocument/2006/relationships/hyperlink" Target="https://www.itu.int/md/S24-CL-C-0066/en" TargetMode="External"/><Relationship Id="rId27" Type="http://schemas.openxmlformats.org/officeDocument/2006/relationships/hyperlink" Target="https://www.itu.int/md/S24-CL-C-0066/en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itu.int/md/S24-CL-C-0066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EB5D21-9A85-B947-993A-D51B30F8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2</TotalTime>
  <Pages>5</Pages>
  <Words>1456</Words>
  <Characters>11811</Characters>
  <Application>Microsoft Office Word</Application>
  <DocSecurity>0</DocSecurity>
  <Lines>203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13205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the establishment of an ITU Area Office in the Pacific</dc:title>
  <dc:subject>ITU Council 2026</dc:subject>
  <cp:keywords>C26; C2026; Council 2026; PP26</cp:keywords>
  <dc:description/>
  <cp:lastPrinted>2006-03-28T16:12:00Z</cp:lastPrinted>
  <dcterms:created xsi:type="dcterms:W3CDTF">2026-04-23T16:30:00Z</dcterms:created>
  <dcterms:modified xsi:type="dcterms:W3CDTF">2026-04-23T16:31:00Z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