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B506D8" w14:paraId="0FF43E7C" w14:textId="77777777" w:rsidTr="00796BDB">
        <w:trPr>
          <w:cantSplit/>
          <w:trHeight w:val="23"/>
        </w:trPr>
        <w:tc>
          <w:tcPr>
            <w:tcW w:w="3969" w:type="dxa"/>
            <w:vMerge w:val="restart"/>
            <w:tcMar>
              <w:left w:w="0" w:type="dxa"/>
            </w:tcMar>
          </w:tcPr>
          <w:p w14:paraId="77AE012E" w14:textId="73E93468" w:rsidR="00D72F49" w:rsidRPr="00B506D8" w:rsidRDefault="00D72F49" w:rsidP="00796BDB">
            <w:pPr>
              <w:tabs>
                <w:tab w:val="left" w:pos="851"/>
              </w:tabs>
              <w:spacing w:before="0" w:line="240" w:lineRule="atLeast"/>
              <w:rPr>
                <w:b/>
              </w:rPr>
            </w:pPr>
            <w:r w:rsidRPr="00B506D8">
              <w:rPr>
                <w:b/>
              </w:rPr>
              <w:t>Point de l'ordre du jour:</w:t>
            </w:r>
            <w:r w:rsidR="00C07C66" w:rsidRPr="00B506D8">
              <w:rPr>
                <w:b/>
              </w:rPr>
              <w:t xml:space="preserve"> PL</w:t>
            </w:r>
            <w:r w:rsidR="00024649" w:rsidRPr="00B506D8">
              <w:rPr>
                <w:b/>
              </w:rPr>
              <w:t xml:space="preserve"> </w:t>
            </w:r>
            <w:r w:rsidR="00C07C66" w:rsidRPr="00B506D8">
              <w:rPr>
                <w:b/>
              </w:rPr>
              <w:t>2</w:t>
            </w:r>
          </w:p>
        </w:tc>
        <w:tc>
          <w:tcPr>
            <w:tcW w:w="5245" w:type="dxa"/>
          </w:tcPr>
          <w:p w14:paraId="69703027" w14:textId="595BE485" w:rsidR="00D72F49" w:rsidRPr="00B506D8" w:rsidRDefault="00D72F49" w:rsidP="00796BDB">
            <w:pPr>
              <w:tabs>
                <w:tab w:val="left" w:pos="851"/>
              </w:tabs>
              <w:spacing w:before="0" w:line="240" w:lineRule="atLeast"/>
              <w:jc w:val="right"/>
              <w:rPr>
                <w:b/>
              </w:rPr>
            </w:pPr>
            <w:r w:rsidRPr="00B506D8">
              <w:rPr>
                <w:b/>
              </w:rPr>
              <w:t>Document C2</w:t>
            </w:r>
            <w:r w:rsidR="00E4448E" w:rsidRPr="00B506D8">
              <w:rPr>
                <w:b/>
              </w:rPr>
              <w:t>6</w:t>
            </w:r>
            <w:r w:rsidRPr="00B506D8">
              <w:rPr>
                <w:b/>
              </w:rPr>
              <w:t>/</w:t>
            </w:r>
            <w:r w:rsidR="00C07C66" w:rsidRPr="00B506D8">
              <w:rPr>
                <w:b/>
              </w:rPr>
              <w:t>85</w:t>
            </w:r>
            <w:r w:rsidRPr="00B506D8">
              <w:rPr>
                <w:b/>
              </w:rPr>
              <w:t>-F</w:t>
            </w:r>
          </w:p>
        </w:tc>
      </w:tr>
      <w:tr w:rsidR="00D72F49" w:rsidRPr="00B506D8" w14:paraId="657082B0" w14:textId="77777777" w:rsidTr="00796BDB">
        <w:trPr>
          <w:cantSplit/>
        </w:trPr>
        <w:tc>
          <w:tcPr>
            <w:tcW w:w="3969" w:type="dxa"/>
            <w:vMerge/>
          </w:tcPr>
          <w:p w14:paraId="280DC742" w14:textId="77777777" w:rsidR="00D72F49" w:rsidRPr="00B506D8" w:rsidRDefault="00D72F49" w:rsidP="00796BDB">
            <w:pPr>
              <w:tabs>
                <w:tab w:val="left" w:pos="851"/>
              </w:tabs>
              <w:spacing w:line="240" w:lineRule="atLeast"/>
              <w:rPr>
                <w:b/>
              </w:rPr>
            </w:pPr>
          </w:p>
        </w:tc>
        <w:tc>
          <w:tcPr>
            <w:tcW w:w="5245" w:type="dxa"/>
          </w:tcPr>
          <w:p w14:paraId="33A1E8E6" w14:textId="5572D28A" w:rsidR="00D72F49" w:rsidRPr="00B506D8" w:rsidRDefault="00C07C66" w:rsidP="00796BDB">
            <w:pPr>
              <w:tabs>
                <w:tab w:val="left" w:pos="851"/>
              </w:tabs>
              <w:spacing w:before="0"/>
              <w:jc w:val="right"/>
              <w:rPr>
                <w:b/>
              </w:rPr>
            </w:pPr>
            <w:r w:rsidRPr="00B506D8">
              <w:rPr>
                <w:b/>
              </w:rPr>
              <w:t>14 avril 2026</w:t>
            </w:r>
          </w:p>
        </w:tc>
      </w:tr>
      <w:tr w:rsidR="00D72F49" w:rsidRPr="00B506D8" w14:paraId="0C233523" w14:textId="77777777" w:rsidTr="00796BDB">
        <w:trPr>
          <w:cantSplit/>
          <w:trHeight w:val="23"/>
        </w:trPr>
        <w:tc>
          <w:tcPr>
            <w:tcW w:w="3969" w:type="dxa"/>
            <w:vMerge/>
          </w:tcPr>
          <w:p w14:paraId="2852908D" w14:textId="77777777" w:rsidR="00D72F49" w:rsidRPr="00B506D8" w:rsidRDefault="00D72F49" w:rsidP="00796BDB">
            <w:pPr>
              <w:tabs>
                <w:tab w:val="left" w:pos="851"/>
              </w:tabs>
              <w:spacing w:line="240" w:lineRule="atLeast"/>
              <w:rPr>
                <w:b/>
              </w:rPr>
            </w:pPr>
          </w:p>
        </w:tc>
        <w:tc>
          <w:tcPr>
            <w:tcW w:w="5245" w:type="dxa"/>
          </w:tcPr>
          <w:p w14:paraId="0280394F" w14:textId="77777777" w:rsidR="00D72F49" w:rsidRPr="00B506D8" w:rsidRDefault="00D72F49" w:rsidP="00796BDB">
            <w:pPr>
              <w:tabs>
                <w:tab w:val="left" w:pos="851"/>
              </w:tabs>
              <w:spacing w:before="0" w:line="240" w:lineRule="atLeast"/>
              <w:jc w:val="right"/>
              <w:rPr>
                <w:b/>
              </w:rPr>
            </w:pPr>
            <w:r w:rsidRPr="00B506D8">
              <w:rPr>
                <w:b/>
              </w:rPr>
              <w:t>Original: anglais</w:t>
            </w:r>
          </w:p>
        </w:tc>
      </w:tr>
      <w:tr w:rsidR="00D72F49" w:rsidRPr="00B506D8" w14:paraId="13CFC099" w14:textId="77777777" w:rsidTr="00796BDB">
        <w:trPr>
          <w:cantSplit/>
          <w:trHeight w:val="23"/>
        </w:trPr>
        <w:tc>
          <w:tcPr>
            <w:tcW w:w="3969" w:type="dxa"/>
          </w:tcPr>
          <w:p w14:paraId="3DBA445A" w14:textId="77777777" w:rsidR="00D72F49" w:rsidRPr="00B506D8" w:rsidRDefault="00D72F49" w:rsidP="00796BDB">
            <w:pPr>
              <w:tabs>
                <w:tab w:val="left" w:pos="851"/>
              </w:tabs>
              <w:spacing w:line="240" w:lineRule="atLeast"/>
              <w:rPr>
                <w:b/>
              </w:rPr>
            </w:pPr>
          </w:p>
        </w:tc>
        <w:tc>
          <w:tcPr>
            <w:tcW w:w="5245" w:type="dxa"/>
          </w:tcPr>
          <w:p w14:paraId="2DDD09DA" w14:textId="77777777" w:rsidR="00D72F49" w:rsidRPr="00B506D8" w:rsidRDefault="00D72F49" w:rsidP="00796BDB">
            <w:pPr>
              <w:tabs>
                <w:tab w:val="left" w:pos="851"/>
              </w:tabs>
              <w:spacing w:before="0" w:line="240" w:lineRule="atLeast"/>
              <w:jc w:val="right"/>
              <w:rPr>
                <w:b/>
              </w:rPr>
            </w:pPr>
          </w:p>
        </w:tc>
      </w:tr>
      <w:tr w:rsidR="00D72F49" w:rsidRPr="00B506D8" w14:paraId="6F31B4B7" w14:textId="77777777" w:rsidTr="00796BDB">
        <w:trPr>
          <w:cantSplit/>
        </w:trPr>
        <w:tc>
          <w:tcPr>
            <w:tcW w:w="9214" w:type="dxa"/>
            <w:gridSpan w:val="2"/>
            <w:tcMar>
              <w:left w:w="0" w:type="dxa"/>
            </w:tcMar>
          </w:tcPr>
          <w:p w14:paraId="241C5D3D" w14:textId="4EA7BB7E" w:rsidR="00D72F49" w:rsidRPr="00B506D8" w:rsidRDefault="00B506D8" w:rsidP="00FD5DEE">
            <w:pPr>
              <w:pStyle w:val="Source"/>
              <w:framePr w:hSpace="0" w:wrap="auto" w:vAnchor="margin" w:hAnchor="text" w:xAlign="left" w:yAlign="inline"/>
              <w:jc w:val="both"/>
            </w:pPr>
            <w:r w:rsidRPr="00B2494F">
              <w:t>Contribution</w:t>
            </w:r>
            <w:r w:rsidRPr="00B506D8">
              <w:t xml:space="preserve"> de l'Australie, de Fidji (République de), des Îles Marshall (République des), Kiribati (République de), de la Micronésie (États fédérés de), de Nauru (République de), de la Nouvelle-Zélande, des Palaos (République des), de la Papouasie</w:t>
            </w:r>
            <w:r w:rsidRPr="00B506D8">
              <w:noBreakHyphen/>
              <w:t>Nouvelle-Guinée, des Îles Salomon, du Samoa (État indépendant du), des Tonga (Royaume des), de Tuvalu et de Vanuatu (République de)</w:t>
            </w:r>
          </w:p>
        </w:tc>
      </w:tr>
      <w:tr w:rsidR="00D72F49" w:rsidRPr="00B506D8" w14:paraId="41B7DEB4" w14:textId="77777777" w:rsidTr="00796BDB">
        <w:trPr>
          <w:cantSplit/>
        </w:trPr>
        <w:tc>
          <w:tcPr>
            <w:tcW w:w="9214" w:type="dxa"/>
            <w:gridSpan w:val="2"/>
            <w:tcMar>
              <w:left w:w="0" w:type="dxa"/>
            </w:tcMar>
          </w:tcPr>
          <w:p w14:paraId="60EEBC3A" w14:textId="4E267C93" w:rsidR="00D72F49" w:rsidRPr="00B506D8" w:rsidRDefault="00FD5DEE" w:rsidP="00796BDB">
            <w:pPr>
              <w:pStyle w:val="Subtitle"/>
              <w:framePr w:hSpace="0" w:wrap="auto" w:hAnchor="text" w:xAlign="left" w:yAlign="inline"/>
              <w:rPr>
                <w:sz w:val="32"/>
                <w:szCs w:val="32"/>
                <w:lang w:val="fr-FR"/>
              </w:rPr>
            </w:pPr>
            <w:r w:rsidRPr="00B506D8">
              <w:rPr>
                <w:rFonts w:cstheme="minorHAnsi"/>
                <w:sz w:val="32"/>
                <w:szCs w:val="32"/>
                <w:lang w:val="fr-FR"/>
              </w:rPr>
              <w:t>PROPOSITION DE CRÉATION D'UN BUREAU DE ZONE DE L'UIT DANS LE PACIFIQUE</w:t>
            </w:r>
          </w:p>
        </w:tc>
      </w:tr>
      <w:tr w:rsidR="00D72F49" w:rsidRPr="00B506D8" w14:paraId="42926087" w14:textId="77777777" w:rsidTr="00796BDB">
        <w:trPr>
          <w:cantSplit/>
        </w:trPr>
        <w:tc>
          <w:tcPr>
            <w:tcW w:w="9214" w:type="dxa"/>
            <w:gridSpan w:val="2"/>
            <w:tcBorders>
              <w:top w:val="single" w:sz="4" w:space="0" w:color="auto"/>
              <w:bottom w:val="single" w:sz="4" w:space="0" w:color="auto"/>
            </w:tcBorders>
            <w:tcMar>
              <w:left w:w="0" w:type="dxa"/>
            </w:tcMar>
          </w:tcPr>
          <w:p w14:paraId="45E76CDE" w14:textId="77777777" w:rsidR="00D72F49" w:rsidRPr="00B506D8" w:rsidRDefault="00F37FE5" w:rsidP="00796BDB">
            <w:pPr>
              <w:spacing w:before="160"/>
              <w:rPr>
                <w:b/>
                <w:bCs/>
                <w:sz w:val="26"/>
                <w:szCs w:val="26"/>
              </w:rPr>
            </w:pPr>
            <w:r w:rsidRPr="00B506D8">
              <w:rPr>
                <w:b/>
                <w:bCs/>
                <w:sz w:val="26"/>
                <w:szCs w:val="26"/>
              </w:rPr>
              <w:t>Objet</w:t>
            </w:r>
          </w:p>
          <w:p w14:paraId="7BEA69ED" w14:textId="668A875F" w:rsidR="00C07C66" w:rsidRPr="00B506D8" w:rsidRDefault="00C07C66" w:rsidP="00FD5DEE">
            <w:pPr>
              <w:jc w:val="both"/>
            </w:pPr>
            <w:r w:rsidRPr="00B506D8">
              <w:t>La présente contribution a pour objet d'inviter le Conseil à envisager d'élaborer un plan détaillé pour la création d'un bureau de zone de l'UIT dans le Pacifique. Compte tenu des résultats de l'analyse de la situation et de l'évaluation des besoins menées en 2025, la création d'un bureau de zone de l'UIT dans le Pacifique renforcerait la présence régionale de l'UIT et l'appui qu'elle fournit aux petits États insulaires en développement (PEID) du Pacifique grâce à sa présence sur le terrain et la fourniture de ses programmes et services.</w:t>
            </w:r>
          </w:p>
          <w:p w14:paraId="5A485371" w14:textId="678BA059" w:rsidR="00D72F49" w:rsidRPr="00B506D8" w:rsidRDefault="00C07C66" w:rsidP="00FD5DEE">
            <w:pPr>
              <w:jc w:val="both"/>
            </w:pPr>
            <w:r w:rsidRPr="00B506D8">
              <w:t>Cette proposition s'inscrit dans la logique de la Résolution 25 (Rév. Bucarest, 2022) de la Conférence de plénipotentiaires, des Résolutions 16 (Rév. Bakou, 2025) et 94 (Bakou, 2025) de la CMDT, des discussions du Conseil sur les critères applicables à la création de nouveaux bureaux de zone (</w:t>
            </w:r>
            <w:hyperlink r:id="rId7" w:history="1">
              <w:r w:rsidRPr="00B506D8">
                <w:rPr>
                  <w:rStyle w:val="Hyperlink"/>
                  <w:rFonts w:eastAsia="Times New Roman" w:cs="Times New Roman"/>
                  <w:szCs w:val="20"/>
                </w:rPr>
                <w:t>Document C24/66</w:t>
              </w:r>
            </w:hyperlink>
            <w:r w:rsidRPr="00B506D8">
              <w:t>), à de l'</w:t>
            </w:r>
            <w:r w:rsidR="00522108" w:rsidRPr="00B506D8">
              <w:t>I</w:t>
            </w:r>
            <w:r w:rsidRPr="00B506D8">
              <w:t>nitiative régionale 1 pour l'Asie-Pacifique, de l'examen de la présence régionale effectué par le cabinet Price Waterhouse Coopers (PwC) (</w:t>
            </w:r>
            <w:hyperlink r:id="rId8" w:history="1">
              <w:r w:rsidRPr="00B506D8">
                <w:rPr>
                  <w:rStyle w:val="Hyperlink"/>
                  <w:rFonts w:eastAsia="Times New Roman" w:cs="Times New Roman"/>
                  <w:szCs w:val="20"/>
                </w:rPr>
                <w:t>Document C20/74</w:t>
              </w:r>
            </w:hyperlink>
            <w:r w:rsidRPr="00B506D8">
              <w:t>) et de certains précédents tels que la création du Bureau de zone de l'UIT en Inde en 2023.</w:t>
            </w:r>
          </w:p>
          <w:p w14:paraId="23B60B3E" w14:textId="77777777" w:rsidR="00D72F49" w:rsidRPr="00B506D8" w:rsidRDefault="00D72F49" w:rsidP="00796BDB">
            <w:pPr>
              <w:spacing w:before="160"/>
              <w:rPr>
                <w:b/>
                <w:bCs/>
                <w:sz w:val="26"/>
                <w:szCs w:val="26"/>
              </w:rPr>
            </w:pPr>
            <w:r w:rsidRPr="00B506D8">
              <w:rPr>
                <w:b/>
                <w:bCs/>
                <w:sz w:val="26"/>
                <w:szCs w:val="26"/>
              </w:rPr>
              <w:t>Suite à donner par le Conseil</w:t>
            </w:r>
          </w:p>
          <w:p w14:paraId="25C45ACE" w14:textId="77777777" w:rsidR="00C07C66" w:rsidRPr="00B506D8" w:rsidRDefault="00C07C66" w:rsidP="00C07C66">
            <w:r w:rsidRPr="00B506D8">
              <w:t>Le Conseil est invité à:</w:t>
            </w:r>
          </w:p>
          <w:p w14:paraId="78DC6175" w14:textId="4A836189" w:rsidR="00C07C66" w:rsidRPr="00B506D8" w:rsidRDefault="00C07C66" w:rsidP="00FD5DEE">
            <w:pPr>
              <w:pStyle w:val="enumlev1"/>
              <w:jc w:val="both"/>
            </w:pPr>
            <w:r w:rsidRPr="00B506D8">
              <w:t>1</w:t>
            </w:r>
            <w:r w:rsidRPr="00B506D8">
              <w:tab/>
            </w:r>
            <w:r w:rsidRPr="00B506D8">
              <w:rPr>
                <w:b/>
                <w:bCs/>
              </w:rPr>
              <w:t>approuver</w:t>
            </w:r>
            <w:r w:rsidRPr="00B506D8">
              <w:t xml:space="preserve"> l'élaboration d'un plan détaillé de création d'un bureau de zone de l'UIT dans le Pacifique, qui comprendra l'évaluation des ressources nécessaires et des besoins en personnel, selon les critères établis par le Conseil à sa session de 2025 et compte tenu de précédents tels que la création du bureau de zone en Inde;</w:t>
            </w:r>
          </w:p>
          <w:p w14:paraId="3993B06D" w14:textId="5C6E5894" w:rsidR="00C07C66" w:rsidRPr="00B506D8" w:rsidRDefault="00C07C66" w:rsidP="00FD5DEE">
            <w:pPr>
              <w:pStyle w:val="enumlev1"/>
              <w:jc w:val="both"/>
            </w:pPr>
            <w:r w:rsidRPr="00B506D8">
              <w:t>2</w:t>
            </w:r>
            <w:r w:rsidRPr="00B506D8">
              <w:tab/>
            </w:r>
            <w:r w:rsidRPr="00B506D8">
              <w:rPr>
                <w:b/>
                <w:bCs/>
              </w:rPr>
              <w:t>demander</w:t>
            </w:r>
            <w:r w:rsidRPr="00B506D8">
              <w:t xml:space="preserve"> au Secrétariat de présenter le rapport correspondant à la Conférence de plénipotentiaires de 2026 pour examen et approbation éventuelle, et au Conseil à sa </w:t>
            </w:r>
            <w:r w:rsidRPr="00B506D8">
              <w:lastRenderedPageBreak/>
              <w:t>session de 2027, afin d'appuyer les progrès à réaliser en vue de la création d'un bureau de zone de l'UIT dans le Pacifique;</w:t>
            </w:r>
          </w:p>
          <w:p w14:paraId="19DA004C" w14:textId="71E4273A" w:rsidR="00D72F49" w:rsidRPr="00B506D8" w:rsidRDefault="00C07C66" w:rsidP="00522108">
            <w:pPr>
              <w:pStyle w:val="enumlev1"/>
            </w:pPr>
            <w:r w:rsidRPr="00B506D8">
              <w:t>3</w:t>
            </w:r>
            <w:r w:rsidRPr="00B506D8">
              <w:tab/>
            </w:r>
            <w:r w:rsidRPr="00B506D8">
              <w:rPr>
                <w:b/>
                <w:bCs/>
              </w:rPr>
              <w:t>prendre note</w:t>
            </w:r>
            <w:r w:rsidRPr="00B506D8">
              <w:t xml:space="preserve"> des points mis en évidence dans la partie "Considérations".</w:t>
            </w:r>
          </w:p>
          <w:p w14:paraId="498AADE3" w14:textId="77777777" w:rsidR="00D72F49" w:rsidRPr="00B506D8" w:rsidRDefault="00D72F49" w:rsidP="00796BDB">
            <w:pPr>
              <w:spacing w:before="160"/>
              <w:rPr>
                <w:caps/>
                <w:sz w:val="22"/>
              </w:rPr>
            </w:pPr>
            <w:r w:rsidRPr="00B506D8">
              <w:rPr>
                <w:sz w:val="22"/>
              </w:rPr>
              <w:t>__________________</w:t>
            </w:r>
          </w:p>
          <w:p w14:paraId="683DC40A" w14:textId="77777777" w:rsidR="00D72F49" w:rsidRPr="00B506D8" w:rsidRDefault="00D72F49" w:rsidP="00796BDB">
            <w:pPr>
              <w:spacing w:before="160"/>
              <w:rPr>
                <w:b/>
                <w:bCs/>
                <w:sz w:val="26"/>
                <w:szCs w:val="26"/>
              </w:rPr>
            </w:pPr>
            <w:r w:rsidRPr="00B506D8">
              <w:rPr>
                <w:b/>
                <w:bCs/>
                <w:sz w:val="26"/>
                <w:szCs w:val="26"/>
              </w:rPr>
              <w:t>Références</w:t>
            </w:r>
          </w:p>
          <w:p w14:paraId="2496A706" w14:textId="548C7962" w:rsidR="00D72F49" w:rsidRPr="00FD5DEE" w:rsidRDefault="00C07C66" w:rsidP="00CE5172">
            <w:pPr>
              <w:pStyle w:val="Referencetext"/>
              <w:framePr w:hSpace="0" w:wrap="auto" w:vAnchor="margin" w:hAnchor="text" w:xAlign="left" w:yAlign="inline"/>
            </w:pPr>
            <w:hyperlink r:id="rId9" w:history="1">
              <w:r w:rsidRPr="00FD5DEE">
                <w:rPr>
                  <w:rStyle w:val="Hyperlink"/>
                  <w:rFonts w:eastAsia="Times New Roman" w:cs="Times New Roman"/>
                </w:rPr>
                <w:t>Résolutions 25</w:t>
              </w:r>
            </w:hyperlink>
            <w:r w:rsidRPr="00FD5DEE">
              <w:t xml:space="preserve"> (Rév. Bucarest, 2022) et </w:t>
            </w:r>
            <w:hyperlink r:id="rId10" w:history="1">
              <w:r w:rsidRPr="00FD5DEE">
                <w:rPr>
                  <w:rStyle w:val="Hyperlink"/>
                  <w:rFonts w:eastAsia="Times New Roman" w:cs="Times New Roman"/>
                </w:rPr>
                <w:t>158</w:t>
              </w:r>
            </w:hyperlink>
            <w:r w:rsidRPr="00FD5DEE">
              <w:t xml:space="preserve"> (Rév. Busan, 2014) de la Conférence de plénipotentiaires; Rapport sur la présence régionale de l'UIT produit par le cabinet Price Waterhouse Coopers (PwC) (</w:t>
            </w:r>
            <w:hyperlink r:id="rId11" w:history="1">
              <w:r w:rsidRPr="00FD5DEE">
                <w:rPr>
                  <w:rStyle w:val="Hyperlink"/>
                  <w:rFonts w:eastAsia="Times New Roman" w:cs="Times New Roman"/>
                </w:rPr>
                <w:t>Document C20/74</w:t>
              </w:r>
            </w:hyperlink>
            <w:r w:rsidRPr="00FD5DEE">
              <w:t xml:space="preserve">); Annexe 1 </w:t>
            </w:r>
            <w:r w:rsidR="000F5331" w:rsidRPr="00FD5DEE">
              <w:t>d</w:t>
            </w:r>
            <w:r w:rsidRPr="00FD5DEE">
              <w:t xml:space="preserve">u </w:t>
            </w:r>
            <w:hyperlink r:id="rId12" w:history="1">
              <w:r w:rsidRPr="00FD5DEE">
                <w:rPr>
                  <w:rStyle w:val="Hyperlink"/>
                  <w:rFonts w:eastAsia="Times New Roman" w:cs="Times New Roman"/>
                </w:rPr>
                <w:t>Document TDAG-26/2(Add.1)</w:t>
              </w:r>
            </w:hyperlink>
            <w:r w:rsidRPr="00FD5DEE">
              <w:t xml:space="preserve">; </w:t>
            </w:r>
            <w:hyperlink r:id="rId13" w:history="1">
              <w:r w:rsidRPr="00FD5DEE">
                <w:rPr>
                  <w:rStyle w:val="Hyperlink"/>
                  <w:rFonts w:eastAsia="Times New Roman" w:cs="Times New Roman"/>
                </w:rPr>
                <w:t>Résolutions 94</w:t>
              </w:r>
            </w:hyperlink>
            <w:r w:rsidRPr="00FD5DEE">
              <w:t xml:space="preserve"> (Bakou, 2025), </w:t>
            </w:r>
            <w:hyperlink r:id="rId14" w:history="1">
              <w:r w:rsidRPr="00FD5DEE">
                <w:rPr>
                  <w:rStyle w:val="Hyperlink"/>
                  <w:rFonts w:eastAsia="Times New Roman" w:cs="Times New Roman"/>
                </w:rPr>
                <w:t>16</w:t>
              </w:r>
            </w:hyperlink>
            <w:r w:rsidRPr="00FD5DEE">
              <w:t xml:space="preserve"> (Rév. Bakou, 2025) et </w:t>
            </w:r>
            <w:hyperlink r:id="rId15" w:history="1">
              <w:r w:rsidRPr="00FD5DEE">
                <w:rPr>
                  <w:rStyle w:val="Hyperlink"/>
                  <w:rFonts w:eastAsia="Times New Roman" w:cs="Times New Roman"/>
                </w:rPr>
                <w:t>17</w:t>
              </w:r>
            </w:hyperlink>
            <w:r w:rsidRPr="00FD5DEE">
              <w:t xml:space="preserve"> (Rév. Bakou, 2025) de la Conférence mondiale de développement des </w:t>
            </w:r>
            <w:proofErr w:type="gramStart"/>
            <w:r w:rsidRPr="00FD5DEE">
              <w:t>télécommunications;</w:t>
            </w:r>
            <w:proofErr w:type="gramEnd"/>
            <w:r w:rsidRPr="00FD5DEE">
              <w:t xml:space="preserve"> Initiative régionale 1 pour l'Asie-Pacifique (Rév. Bakou, 2025</w:t>
            </w:r>
            <w:proofErr w:type="gramStart"/>
            <w:r w:rsidRPr="00FD5DEE">
              <w:t>);</w:t>
            </w:r>
            <w:proofErr w:type="gramEnd"/>
            <w:r w:rsidRPr="00FD5DEE">
              <w:t xml:space="preserve"> </w:t>
            </w:r>
            <w:hyperlink r:id="rId16" w:history="1">
              <w:r w:rsidRPr="00FD5DEE">
                <w:rPr>
                  <w:rStyle w:val="Hyperlink"/>
                  <w:rFonts w:eastAsia="Times New Roman" w:cs="Times New Roman"/>
                </w:rPr>
                <w:t>Documents</w:t>
              </w:r>
              <w:r w:rsidR="002F1656" w:rsidRPr="00FD5DEE">
                <w:rPr>
                  <w:rStyle w:val="Hyperlink"/>
                  <w:rFonts w:eastAsia="Times New Roman" w:cs="Times New Roman"/>
                </w:rPr>
                <w:t> </w:t>
              </w:r>
              <w:r w:rsidRPr="00FD5DEE">
                <w:rPr>
                  <w:rStyle w:val="Hyperlink"/>
                  <w:rFonts w:eastAsia="Times New Roman" w:cs="Times New Roman"/>
                </w:rPr>
                <w:t>C26/42</w:t>
              </w:r>
            </w:hyperlink>
            <w:r w:rsidRPr="00FD5DEE">
              <w:t xml:space="preserve">, </w:t>
            </w:r>
            <w:hyperlink r:id="rId17" w:history="1">
              <w:r w:rsidRPr="00FD5DEE">
                <w:rPr>
                  <w:rStyle w:val="Hyperlink"/>
                  <w:rFonts w:eastAsia="Times New Roman" w:cs="Times New Roman"/>
                </w:rPr>
                <w:t>C26/24</w:t>
              </w:r>
            </w:hyperlink>
            <w:r w:rsidRPr="00FD5DEE">
              <w:t xml:space="preserve"> et </w:t>
            </w:r>
            <w:hyperlink r:id="rId18" w:history="1">
              <w:r w:rsidRPr="00FD5DEE">
                <w:rPr>
                  <w:rStyle w:val="Hyperlink"/>
                  <w:rFonts w:eastAsia="Times New Roman" w:cs="Times New Roman"/>
                </w:rPr>
                <w:t>C24/66</w:t>
              </w:r>
            </w:hyperlink>
            <w:r w:rsidRPr="00FD5DEE">
              <w:t xml:space="preserve"> du Conseil</w:t>
            </w:r>
          </w:p>
        </w:tc>
      </w:tr>
    </w:tbl>
    <w:p w14:paraId="048E0299" w14:textId="77777777" w:rsidR="00A51849" w:rsidRPr="00B506D8" w:rsidRDefault="00A51849" w:rsidP="00CF0534"/>
    <w:p w14:paraId="57065C1B" w14:textId="77777777" w:rsidR="00A51849" w:rsidRPr="00B506D8" w:rsidRDefault="00A51849">
      <w:pPr>
        <w:tabs>
          <w:tab w:val="clear" w:pos="567"/>
          <w:tab w:val="clear" w:pos="1134"/>
          <w:tab w:val="clear" w:pos="1701"/>
          <w:tab w:val="clear" w:pos="2268"/>
          <w:tab w:val="clear" w:pos="2835"/>
        </w:tabs>
        <w:overflowPunct/>
        <w:autoSpaceDE/>
        <w:autoSpaceDN/>
        <w:adjustRightInd/>
        <w:spacing w:before="0"/>
        <w:textAlignment w:val="auto"/>
      </w:pPr>
      <w:r w:rsidRPr="00B506D8">
        <w:br w:type="page"/>
      </w:r>
    </w:p>
    <w:p w14:paraId="4CA23EB5" w14:textId="77777777" w:rsidR="00C07C66" w:rsidRPr="00B506D8" w:rsidRDefault="00C07C66" w:rsidP="002F1656">
      <w:pPr>
        <w:pStyle w:val="Heading1"/>
      </w:pPr>
      <w:r w:rsidRPr="00B506D8">
        <w:lastRenderedPageBreak/>
        <w:t>1</w:t>
      </w:r>
      <w:r w:rsidRPr="00B506D8">
        <w:tab/>
        <w:t>Résumé</w:t>
      </w:r>
    </w:p>
    <w:p w14:paraId="074C7389" w14:textId="2F408134" w:rsidR="00C07C66" w:rsidRPr="00B506D8" w:rsidRDefault="00C07C66" w:rsidP="00FD5DEE">
      <w:pPr>
        <w:jc w:val="both"/>
      </w:pPr>
      <w:r w:rsidRPr="00B506D8">
        <w:t xml:space="preserve">Par la présente contribution, le Conseil est invité à envisager la création d'un bureau de zone de l'UIT dans le Pacifique. Sur la base de la </w:t>
      </w:r>
      <w:hyperlink r:id="rId19" w:history="1">
        <w:r w:rsidRPr="00B506D8">
          <w:rPr>
            <w:rStyle w:val="Hyperlink"/>
            <w:rFonts w:eastAsia="Times New Roman" w:cs="Times New Roman"/>
            <w:szCs w:val="20"/>
          </w:rPr>
          <w:t>Résolution 25</w:t>
        </w:r>
      </w:hyperlink>
      <w:r w:rsidRPr="00B506D8">
        <w:t xml:space="preserve"> (Rév. Bucarest, 2022) de la Conférence de plénipotentiaires, du rapport du cabinet PwC sur la présence régionale de l'UIT (</w:t>
      </w:r>
      <w:hyperlink r:id="rId20" w:history="1">
        <w:r w:rsidRPr="00B506D8">
          <w:rPr>
            <w:rStyle w:val="Hyperlink"/>
            <w:rFonts w:eastAsia="Times New Roman" w:cs="Times New Roman"/>
            <w:szCs w:val="20"/>
          </w:rPr>
          <w:t>Document C20/74</w:t>
        </w:r>
      </w:hyperlink>
      <w:r w:rsidRPr="00B506D8">
        <w:t xml:space="preserve">), des </w:t>
      </w:r>
      <w:hyperlink r:id="rId21" w:history="1">
        <w:r w:rsidRPr="00B506D8">
          <w:rPr>
            <w:rStyle w:val="Hyperlink"/>
            <w:rFonts w:eastAsia="Times New Roman" w:cs="Times New Roman"/>
            <w:szCs w:val="20"/>
          </w:rPr>
          <w:t>Résolutions 16</w:t>
        </w:r>
      </w:hyperlink>
      <w:r w:rsidRPr="00B506D8">
        <w:t xml:space="preserve"> (Rév. Bakou, 2025), </w:t>
      </w:r>
      <w:hyperlink r:id="rId22" w:history="1">
        <w:r w:rsidRPr="00B506D8">
          <w:rPr>
            <w:rStyle w:val="Hyperlink"/>
            <w:rFonts w:eastAsia="Times New Roman" w:cs="Times New Roman"/>
            <w:szCs w:val="20"/>
          </w:rPr>
          <w:t>17</w:t>
        </w:r>
      </w:hyperlink>
      <w:r w:rsidRPr="00B506D8">
        <w:t xml:space="preserve"> (Rév. Bakou, 2025) et </w:t>
      </w:r>
      <w:hyperlink r:id="rId23" w:history="1">
        <w:r w:rsidRPr="00B506D8">
          <w:rPr>
            <w:rStyle w:val="Hyperlink"/>
            <w:rFonts w:eastAsia="Times New Roman" w:cs="Times New Roman"/>
            <w:szCs w:val="20"/>
          </w:rPr>
          <w:t>94</w:t>
        </w:r>
      </w:hyperlink>
      <w:r w:rsidR="002F1656" w:rsidRPr="00B506D8">
        <w:t> </w:t>
      </w:r>
      <w:r w:rsidRPr="00B506D8">
        <w:t>(Bakou, 2025) de la CMDT, de l'initiative régionale 1 pour l'Asie-Pacifique, des discussions en cours sur la présence régionale de l'UIT (</w:t>
      </w:r>
      <w:hyperlink r:id="rId24" w:history="1">
        <w:r w:rsidRPr="00B506D8">
          <w:rPr>
            <w:rStyle w:val="Hyperlink"/>
            <w:rFonts w:eastAsia="Times New Roman" w:cs="Times New Roman"/>
            <w:szCs w:val="20"/>
          </w:rPr>
          <w:t>Document C26/24</w:t>
        </w:r>
      </w:hyperlink>
      <w:r w:rsidRPr="00B506D8">
        <w:t>) et des discussions antérieures du Conseil sur les critères applicables à la création de nouveaux bureaux régionaux et bureaux de zone de l'UIT (</w:t>
      </w:r>
      <w:hyperlink r:id="rId25" w:history="1">
        <w:r w:rsidRPr="00B506D8">
          <w:rPr>
            <w:rStyle w:val="Hyperlink"/>
            <w:rFonts w:eastAsia="Times New Roman" w:cs="Times New Roman"/>
            <w:szCs w:val="20"/>
          </w:rPr>
          <w:t>Document C24/66</w:t>
        </w:r>
      </w:hyperlink>
      <w:r w:rsidRPr="00B506D8">
        <w:t xml:space="preserve">), le Bureau régional de l'UIT pour la région Asie-Pacifique a procédé à une évaluation des besoins et à une analyse de la situation dans le Pacifique avec l'appui du gouvernement australien. Le résumé de l'évaluation des besoins et de l'analyse de la situation a été présenté à la 33ème réunion du Groupe consultatif pour le développement des télécommunications (GCDT) en avril 2026 (Annexe 1 </w:t>
      </w:r>
      <w:r w:rsidR="000F5331" w:rsidRPr="00B506D8">
        <w:t>d</w:t>
      </w:r>
      <w:r w:rsidRPr="00B506D8">
        <w:t xml:space="preserve">u </w:t>
      </w:r>
      <w:hyperlink r:id="rId26" w:history="1">
        <w:r w:rsidRPr="00B506D8">
          <w:rPr>
            <w:rStyle w:val="Hyperlink"/>
            <w:rFonts w:eastAsia="Times New Roman" w:cs="Times New Roman"/>
            <w:szCs w:val="20"/>
          </w:rPr>
          <w:t>Document</w:t>
        </w:r>
        <w:r w:rsidR="002F1656" w:rsidRPr="00B506D8">
          <w:rPr>
            <w:rStyle w:val="Hyperlink"/>
            <w:rFonts w:eastAsia="Times New Roman" w:cs="Times New Roman"/>
            <w:szCs w:val="20"/>
          </w:rPr>
          <w:t> </w:t>
        </w:r>
        <w:r w:rsidRPr="00B506D8">
          <w:rPr>
            <w:rStyle w:val="Hyperlink"/>
            <w:rFonts w:eastAsia="Times New Roman" w:cs="Times New Roman"/>
            <w:szCs w:val="20"/>
          </w:rPr>
          <w:t>TDAG-26/2(Add.1)</w:t>
        </w:r>
      </w:hyperlink>
      <w:r w:rsidRPr="00B506D8">
        <w:t>).</w:t>
      </w:r>
    </w:p>
    <w:p w14:paraId="1AF8F0B7" w14:textId="13720780" w:rsidR="00C07C66" w:rsidRPr="00B506D8" w:rsidRDefault="00C07C66" w:rsidP="00FD5DEE">
      <w:pPr>
        <w:jc w:val="both"/>
      </w:pPr>
      <w:r w:rsidRPr="00B506D8">
        <w:t xml:space="preserve">Compte tenu des résultats de l'évaluation des besoins et de l'analyse de la situation, le Conseil est invité à approuver l'élaboration, par le Secrétariat, d'un plan détaillé de création d'un bureau de zone de l'UIT dans le Pacifique, en s'appuyant sur les critères définis par le Conseil à sa session de 2025 et sur des précédents tels que la création du Bureau de zone de l'UIT en Inde. Ce plan comprendrait l'analyse des ressources nécessaires et des besoins de personnel, ainsi que le lieu proposé pour ce bureau de zone. </w:t>
      </w:r>
    </w:p>
    <w:p w14:paraId="5B375AD2" w14:textId="17CA1386" w:rsidR="00C07C66" w:rsidRPr="00B506D8" w:rsidRDefault="00C07C66" w:rsidP="00FD5DEE">
      <w:pPr>
        <w:jc w:val="both"/>
      </w:pPr>
      <w:r w:rsidRPr="00B506D8">
        <w:t xml:space="preserve">Le Secrétariat présenterait ce plan à la Conférence de plénipotentiaires de 2026 (PP-26) pour approbation et au Conseil à sa session de 2027, afin d'appuyer les progrès accomplis en vue de la création d'un </w:t>
      </w:r>
      <w:r w:rsidRPr="00B506D8">
        <w:rPr>
          <w:b/>
          <w:bCs/>
        </w:rPr>
        <w:t>bureau de zone de l'UIT dans le Pacifique</w:t>
      </w:r>
      <w:r w:rsidRPr="00B506D8">
        <w:t>.</w:t>
      </w:r>
    </w:p>
    <w:p w14:paraId="75A408EC" w14:textId="77777777" w:rsidR="00C07C66" w:rsidRPr="00B506D8" w:rsidRDefault="00C07C66" w:rsidP="00FD5DEE">
      <w:pPr>
        <w:pStyle w:val="Heading1"/>
        <w:jc w:val="both"/>
      </w:pPr>
      <w:r w:rsidRPr="00B506D8">
        <w:t>2</w:t>
      </w:r>
      <w:r w:rsidRPr="00B506D8">
        <w:tab/>
        <w:t>Contexte</w:t>
      </w:r>
    </w:p>
    <w:p w14:paraId="30F72F62" w14:textId="464568F3" w:rsidR="00C07C66" w:rsidRPr="00B506D8" w:rsidRDefault="00C07C66" w:rsidP="00FD5DEE">
      <w:pPr>
        <w:jc w:val="both"/>
      </w:pPr>
      <w:r w:rsidRPr="00B506D8">
        <w:t xml:space="preserve">Sur la base des discussions précédentes du Conseil relatives aux critères applicables à la création de nouveaux bureaux régionaux et bureaux de zone de l'UIT (Document C24/66), le Bureau régional de l'UIT pour l'Asie-Pacifique a procédé à une évaluation des besoins et à une analyse de la situation dans le Pacifique dans le cadre du projet intitulé "Étude de faisabilité: répondre aux besoins particuliers des petits États insulaires en développement (PEID) du Pacifique en matière de télécommunications/TIC", financé par le Ministère des infrastructures, des transports, du développement régional, des communications, des sports et des arts (DITRDCSA) de l'Australie. Cette étude de faisabilité a permis d'identifier les besoins uniques et urgents des PEID du Pacifique en matière de TIC et de télécommunication et de proposer un ensemble de priorités programmatiques, compte tenu, entre autres, de l'étendu considérable de la zone géographique à couvrir, de la petite taille des économies des pays qui s'y trouvent et du décalage horaire avec Genève et Bangkok. Les conclusions ont été examinées avec les représentants des PEID du Pacifique en février 2025 à Suva (Fidji), après quoi plusieurs séries de mises à jour ont été apportées au rapport avant que sa version finale soit établie. Le résumé de l'évaluation des besoins et de l'analyse de la situation, contenu dans l'Annexe 1 </w:t>
      </w:r>
      <w:r w:rsidR="000F5331" w:rsidRPr="00B506D8">
        <w:t>d</w:t>
      </w:r>
      <w:r w:rsidRPr="00B506D8">
        <w:t>u Document TDAG-26/2(Add.1), a été présenté au GCDT à sa réunion de 2026.</w:t>
      </w:r>
    </w:p>
    <w:p w14:paraId="15E1A0F0" w14:textId="525140DA" w:rsidR="00C07C66" w:rsidRPr="00B506D8" w:rsidRDefault="00C07C66" w:rsidP="00FD5DEE">
      <w:pPr>
        <w:jc w:val="both"/>
      </w:pPr>
      <w:r w:rsidRPr="00B506D8">
        <w:t xml:space="preserve">L'évaluation des besoins et l'analyse de la situation ont révélé que les PEID du Pacifique sont confrontés à des défis structurels et contextuels qui continuent d'entraver leur transformation numérique. Les lacunes en matière d'infrastructures essentielles, notamment une présence faible ou inégale du large bande, la dépendance à l'égard de câbles sous-marins uniques et l'accès limité dans les zones rurales, limitent la connectivité. L'accessibilité financière reste un </w:t>
      </w:r>
      <w:r w:rsidRPr="00B506D8">
        <w:lastRenderedPageBreak/>
        <w:t>obstacle important, le coût de l'Internet dépassant largement les objectifs mondiaux et représentant une part disproportionnée du revenu des ménages dans plusieurs pays. Les environnements réglementaires fragmentés et peu harmonisés d'un pays à l'autre découragent encore plus l'investissement privé et compliquent la coopération régionale.</w:t>
      </w:r>
    </w:p>
    <w:p w14:paraId="0BE7E4F7" w14:textId="77777777" w:rsidR="00C07C66" w:rsidRPr="00B506D8" w:rsidRDefault="00C07C66" w:rsidP="00FD5DEE">
      <w:pPr>
        <w:jc w:val="both"/>
      </w:pPr>
      <w:r w:rsidRPr="00B506D8">
        <w:t>Les contraintes en matière de capacité creusent la fracture numérique. La plupart des PEID du Pacifique sont confrontés à une pénurie de professionnels qualifiés dans le domaine des TIC et disposent de capacités institutionnelles limitées, ce qui qui nuit au développement et à la maintenance des services numériques. Les pays sont peu préparés sur le plan de la cybersécurité, les systèmes de gestion des déchets d'équipements électriques et électroniques sont sous-développés et l'infrastructure numérique est très vulnérable aux perturbations liées au climat. Ces problèmes sont exacerbés par des coûts d'investissement élevés, une dépendance financière vis-à-vis d'un soutien externe et des progrès inégaux dans le développement de l'administration publique numérique, domaine dans lequel les pays disposent du capital humain, mais généralement pas des systèmes sous-jacents permettant de fournir efficacement des services.</w:t>
      </w:r>
    </w:p>
    <w:p w14:paraId="5A47A009" w14:textId="13D0BFD2" w:rsidR="00C07C66" w:rsidRPr="00B506D8" w:rsidRDefault="00C07C66" w:rsidP="00FD5DEE">
      <w:pPr>
        <w:jc w:val="both"/>
      </w:pPr>
      <w:r w:rsidRPr="00B506D8">
        <w:t>Malgré ces contraintes, la transformation numérique est largement reconnue comme un catalyseur essentiel du développement durable. Des progrès encourageants ont été réalisés, le taux de pénétration mobile augmente, l'Internet est de plus en plus utilisé et de nombreux pays mettent en place des stratégies dans le domaine des TIC, des services publics numériques et des cadres de cybersécurité. On voit ainsi qu'en plus de jouer un rôle central dans une croissance inclusive, la transformation numérique est également essentielle pour renforcer la résilience et favoriser l'intégration à l'échelle sous-régionale.</w:t>
      </w:r>
    </w:p>
    <w:p w14:paraId="08D35DFA" w14:textId="00F55C4E" w:rsidR="00C07C66" w:rsidRPr="00B506D8" w:rsidRDefault="00C07C66" w:rsidP="00FD5DEE">
      <w:pPr>
        <w:jc w:val="both"/>
      </w:pPr>
      <w:r w:rsidRPr="00B506D8">
        <w:t>Cependant, la sous-région reste très dépendante de l'appui au développement. L'UIT, qui agit depuis de nombreuses années comme un partenaire technique de confiance, joue un rôle central en fournissant des orientations en matière de politiques générales, en renforçant les capacités et en encourageant une connectivité inclusive et résiliente. Toutefois, à mesure que les besoins numériques des PEID du Pacifique se complexifient en raison des risques climatiques, des catastrophes naturelles, des technologies émergentes et des attentes croissantes des populations, les parties prenantes reconnaissent de plus en plus l'importance d'un modèle de fourniture de services plus intégré et adapté aux besoins des sous-régions pour produire plus d'effets.</w:t>
      </w:r>
    </w:p>
    <w:p w14:paraId="2FC8F818" w14:textId="6FD8163B" w:rsidR="00C07C66" w:rsidRPr="00B506D8" w:rsidRDefault="00C07C66" w:rsidP="00FD5DEE">
      <w:pPr>
        <w:jc w:val="both"/>
      </w:pPr>
      <w:r w:rsidRPr="00B506D8">
        <w:t>Cette position se retrouve dans le consensus et les résultats obtenus concernant le Pacifique, et plus particulièrement dans la Déclaration de Lagatoi de 2023 signée par les ministres des TIC des pays du Pacifique, aux termes de laquelle les partenaires, y compris l'UIT, sont appelés à renforcer leur présence et à s'engager davantage dans le Pacifique. Cette Déclaration donne clairement pour mission de trouver des mécanismes d'appui renforcés et durables dans la sous-région.</w:t>
      </w:r>
    </w:p>
    <w:p w14:paraId="4BE27401" w14:textId="1C9B811B" w:rsidR="00C07C66" w:rsidRPr="00B506D8" w:rsidRDefault="00C07C66" w:rsidP="00FD5DEE">
      <w:pPr>
        <w:jc w:val="both"/>
      </w:pPr>
      <w:r w:rsidRPr="00B506D8">
        <w:t>En raison de la superficie et des capacités limitées de ces pays, aucun PEID du Pacifique n'est en mesure de gérer seul de manière viable des programmes complexes de transformation numérique. Une approche, une coordination et une coopération sous-régionales constituent une solution plus viable et économique pour faire face aux spécificités du Pacifique s'agissant des défis et des perspectives. Une approche intégrée pour le Pacifique serait également tout à fait conforme à la vision de la Déclaration de Lagatoi. La meilleure façon de mettre en œuvre une telle approche sous-régionale intégrée serait d'instaurer une présence de l'UIT dans le Pacifique dans les mêmes fuseaux horaires.</w:t>
      </w:r>
    </w:p>
    <w:p w14:paraId="4989288C" w14:textId="77777777" w:rsidR="00C07C66" w:rsidRPr="00B506D8" w:rsidRDefault="00C07C66" w:rsidP="000F5331">
      <w:pPr>
        <w:pStyle w:val="Heading1"/>
      </w:pPr>
      <w:r w:rsidRPr="00B506D8">
        <w:lastRenderedPageBreak/>
        <w:t>3</w:t>
      </w:r>
      <w:r w:rsidRPr="00B506D8">
        <w:tab/>
        <w:t>Considérations</w:t>
      </w:r>
    </w:p>
    <w:p w14:paraId="2DE56910" w14:textId="77777777" w:rsidR="00C07C66" w:rsidRPr="00B506D8" w:rsidRDefault="00C07C66" w:rsidP="000F5331">
      <w:pPr>
        <w:pStyle w:val="Heading2"/>
      </w:pPr>
      <w:r w:rsidRPr="00B506D8">
        <w:t>3.1</w:t>
      </w:r>
      <w:r w:rsidRPr="00B506D8">
        <w:tab/>
        <w:t>Alignement sur les critères applicables à la création de nouveaux bureaux de zone définis à la session de 2025 du Conseil</w:t>
      </w:r>
    </w:p>
    <w:p w14:paraId="54FC5B5C" w14:textId="73FE3E99" w:rsidR="00C07C66" w:rsidRPr="00B506D8" w:rsidRDefault="00C07C66" w:rsidP="00FD5DEE">
      <w:pPr>
        <w:jc w:val="both"/>
      </w:pPr>
      <w:r w:rsidRPr="00B506D8">
        <w:t>À sa session de 2025, le Conseil a approuvé les critères applicables à la création de nouveaux bureaux de zone de l'UIT. Compte tenu des critères approuvés et des résultats des consultations, ainsi que des discussions en cours, deux options pourraient être envisagées dans le plan de création du Bureau de zone du Pacifique:</w:t>
      </w:r>
    </w:p>
    <w:p w14:paraId="7049BC60" w14:textId="369A7A34" w:rsidR="00C07C66" w:rsidRPr="00B506D8" w:rsidRDefault="00C07C66" w:rsidP="00FD5DEE">
      <w:pPr>
        <w:pStyle w:val="enumlev1"/>
        <w:jc w:val="both"/>
      </w:pPr>
      <w:r w:rsidRPr="00B506D8">
        <w:t>–</w:t>
      </w:r>
      <w:r w:rsidRPr="00B506D8">
        <w:tab/>
        <w:t>Fidji</w:t>
      </w:r>
      <w:r w:rsidR="00B506D8" w:rsidRPr="00B506D8">
        <w:t>.</w:t>
      </w:r>
    </w:p>
    <w:p w14:paraId="57CC948D" w14:textId="77777777" w:rsidR="00C07C66" w:rsidRPr="00B506D8" w:rsidRDefault="00C07C66" w:rsidP="00FD5DEE">
      <w:pPr>
        <w:pStyle w:val="enumlev1"/>
        <w:jc w:val="both"/>
      </w:pPr>
      <w:r w:rsidRPr="00B506D8">
        <w:t>–</w:t>
      </w:r>
      <w:r w:rsidRPr="00B506D8">
        <w:tab/>
        <w:t>Fidji et/ou les Samoa, les Tonga et la Papouasie-Nouvelle-Guinée (selon un modèle où le personnel serait réparti).</w:t>
      </w:r>
    </w:p>
    <w:p w14:paraId="5E6BD1CB" w14:textId="51AB9BB8" w:rsidR="00C07C66" w:rsidRPr="00B506D8" w:rsidRDefault="00C07C66" w:rsidP="00FD5DEE">
      <w:pPr>
        <w:jc w:val="both"/>
      </w:pPr>
      <w:r w:rsidRPr="00B506D8">
        <w:t>Pour le projet susmentionné, les données financières sont en cours de collecte et d'analyse dans le cadre de l'étude de faisabilité.</w:t>
      </w:r>
    </w:p>
    <w:p w14:paraId="695C3A27" w14:textId="77777777" w:rsidR="00C07C66" w:rsidRPr="00B506D8" w:rsidRDefault="00C07C66" w:rsidP="00FD5DEE">
      <w:pPr>
        <w:pStyle w:val="Heading2"/>
        <w:jc w:val="both"/>
      </w:pPr>
      <w:r w:rsidRPr="00B506D8">
        <w:t>3.2</w:t>
      </w:r>
      <w:r w:rsidRPr="00B506D8">
        <w:tab/>
        <w:t>Important stratégique</w:t>
      </w:r>
    </w:p>
    <w:p w14:paraId="122FC91B" w14:textId="73B45838" w:rsidR="00C07C66" w:rsidRPr="00B506D8" w:rsidRDefault="00C07C66" w:rsidP="00FD5DEE">
      <w:pPr>
        <w:jc w:val="both"/>
      </w:pPr>
      <w:r w:rsidRPr="00B506D8">
        <w:t>Sur la base de l'évaluation des besoins et de l'analyse de la situation, la création d'un bureau de zone dans le Pacifique devrait notamment apporter les avantages suivants:</w:t>
      </w:r>
    </w:p>
    <w:p w14:paraId="4E42C99B" w14:textId="033501D7" w:rsidR="00C07C66" w:rsidRPr="00B506D8" w:rsidRDefault="00C07C66" w:rsidP="00FD5DEE">
      <w:pPr>
        <w:pStyle w:val="enumlev1"/>
        <w:jc w:val="both"/>
      </w:pPr>
      <w:r w:rsidRPr="00B506D8">
        <w:t>–</w:t>
      </w:r>
      <w:r w:rsidRPr="00B506D8">
        <w:tab/>
        <w:t>rapprocher l'UIT des PEID du Pacifique afin d'accélérer les efforts de transformation numérique et de permettre une coopération et une collaboration techniques dans les mêmes fuseaux horaires;</w:t>
      </w:r>
    </w:p>
    <w:p w14:paraId="733D0D02" w14:textId="0A1060E1" w:rsidR="00C07C66" w:rsidRPr="00B506D8" w:rsidRDefault="00C07C66" w:rsidP="00FD5DEE">
      <w:pPr>
        <w:pStyle w:val="enumlev1"/>
        <w:jc w:val="both"/>
      </w:pPr>
      <w:r w:rsidRPr="00B506D8">
        <w:t>–</w:t>
      </w:r>
      <w:r w:rsidRPr="00B506D8">
        <w:tab/>
        <w:t>renforcer la fourniture d'un appui adapté aux PEID du Pacifique dans des domaines essentiels et prioritaires, tels que les télécommunications d'urgence, le développement de l'infrastructure, ainsi que la participation et la mobilisation de ces pays dans le domaine de la normalisation et des radiocommunications;</w:t>
      </w:r>
    </w:p>
    <w:p w14:paraId="0828ED6E" w14:textId="77777777" w:rsidR="00C07C66" w:rsidRPr="00B506D8" w:rsidRDefault="00C07C66" w:rsidP="00FD5DEE">
      <w:pPr>
        <w:pStyle w:val="enumlev1"/>
        <w:jc w:val="both"/>
      </w:pPr>
      <w:r w:rsidRPr="00B506D8">
        <w:t>–</w:t>
      </w:r>
      <w:r w:rsidRPr="00B506D8">
        <w:tab/>
        <w:t>favoriser une mise en œuvre plus efficace des projets et une meilleure coordination avec les donateurs;</w:t>
      </w:r>
    </w:p>
    <w:p w14:paraId="2529576D" w14:textId="4A75426C" w:rsidR="00C07C66" w:rsidRPr="00B506D8" w:rsidRDefault="00C07C66" w:rsidP="00FD5DEE">
      <w:pPr>
        <w:pStyle w:val="enumlev1"/>
        <w:jc w:val="both"/>
      </w:pPr>
      <w:r w:rsidRPr="00B506D8">
        <w:t>–</w:t>
      </w:r>
      <w:r w:rsidRPr="00B506D8">
        <w:tab/>
        <w:t>améliorer la visibilité et l'adoption des normes, des outils et des programmes de l'UIT.</w:t>
      </w:r>
    </w:p>
    <w:p w14:paraId="3E0BA87F" w14:textId="77777777" w:rsidR="00C07C66" w:rsidRPr="00B506D8" w:rsidRDefault="00C07C66" w:rsidP="000F5331">
      <w:pPr>
        <w:pStyle w:val="Heading2"/>
      </w:pPr>
      <w:r w:rsidRPr="00B506D8">
        <w:t>3.3</w:t>
      </w:r>
      <w:r w:rsidRPr="00B506D8">
        <w:tab/>
        <w:t>Besoins en matière de personnel</w:t>
      </w:r>
    </w:p>
    <w:p w14:paraId="604BD6F1" w14:textId="77777777" w:rsidR="00C07C66" w:rsidRPr="00B506D8" w:rsidRDefault="00C07C66" w:rsidP="00FD5DEE">
      <w:pPr>
        <w:jc w:val="both"/>
      </w:pPr>
      <w:r w:rsidRPr="00B506D8">
        <w:t>Un effectif minime est nécessaire pour que le bureau de zone puisse fonctionner efficacement:</w:t>
      </w:r>
    </w:p>
    <w:p w14:paraId="5881CE57" w14:textId="34C7DCA5" w:rsidR="00C07C66" w:rsidRPr="00B506D8" w:rsidRDefault="00C07C66" w:rsidP="00FD5DEE">
      <w:pPr>
        <w:pStyle w:val="enumlev1"/>
        <w:jc w:val="both"/>
      </w:pPr>
      <w:r w:rsidRPr="00B506D8">
        <w:t>1</w:t>
      </w:r>
      <w:r w:rsidRPr="00B506D8">
        <w:tab/>
        <w:t>Chef du bureau de zone (P5)</w:t>
      </w:r>
      <w:r w:rsidR="000F5331" w:rsidRPr="00B506D8">
        <w:t>.</w:t>
      </w:r>
    </w:p>
    <w:p w14:paraId="06D5C3F0" w14:textId="2A3518C9" w:rsidR="00C07C66" w:rsidRPr="00B506D8" w:rsidRDefault="00C07C66" w:rsidP="00FD5DEE">
      <w:pPr>
        <w:pStyle w:val="enumlev1"/>
        <w:jc w:val="both"/>
      </w:pPr>
      <w:r w:rsidRPr="00B506D8">
        <w:t>2</w:t>
      </w:r>
      <w:r w:rsidRPr="00B506D8">
        <w:tab/>
        <w:t>Administrateur(trice) de programmes (P3)</w:t>
      </w:r>
      <w:r w:rsidR="000F5331" w:rsidRPr="00B506D8">
        <w:t>.</w:t>
      </w:r>
    </w:p>
    <w:p w14:paraId="51CA89FB" w14:textId="77777777" w:rsidR="00C07C66" w:rsidRPr="00B506D8" w:rsidRDefault="00C07C66" w:rsidP="00FD5DEE">
      <w:pPr>
        <w:pStyle w:val="enumlev1"/>
        <w:jc w:val="both"/>
      </w:pPr>
      <w:r w:rsidRPr="00B506D8">
        <w:t>3</w:t>
      </w:r>
      <w:r w:rsidRPr="00B506D8">
        <w:tab/>
        <w:t>Responsable administratif(ve)/des opérations (G5).</w:t>
      </w:r>
    </w:p>
    <w:p w14:paraId="621C3A13" w14:textId="09F35F1F" w:rsidR="00C07C66" w:rsidRPr="00B506D8" w:rsidRDefault="00C07C66" w:rsidP="00FD5DEE">
      <w:pPr>
        <w:jc w:val="both"/>
      </w:pPr>
      <w:r w:rsidRPr="00B506D8">
        <w:t>Ce modèle est semblable à celui d'autres bureaux de zone et garantit des capacités techniques et administratives suffisantes.</w:t>
      </w:r>
    </w:p>
    <w:p w14:paraId="1E16E91F" w14:textId="343016EF" w:rsidR="006A11AE" w:rsidRDefault="00C07C66" w:rsidP="00FD5DEE">
      <w:pPr>
        <w:keepLines/>
        <w:jc w:val="both"/>
      </w:pPr>
      <w:r w:rsidRPr="00B506D8">
        <w:t>Compte tenu de l'excédent de 10,8 millions CHF enregistré pour l'exercice financier en cours (</w:t>
      </w:r>
      <w:hyperlink r:id="rId27" w:history="1">
        <w:r w:rsidRPr="00B506D8">
          <w:rPr>
            <w:rStyle w:val="Hyperlink"/>
            <w:rFonts w:eastAsia="Times New Roman" w:cs="Times New Roman"/>
            <w:szCs w:val="20"/>
          </w:rPr>
          <w:t>Document C26/42</w:t>
        </w:r>
      </w:hyperlink>
      <w:r w:rsidRPr="00B506D8">
        <w:t>) et dans l'attente d'une approbation à la PP-26, la création de trois postes dans ce bureau de zone pourrait être financée par une partie des fonds alloués pour appuyer les initiatives régionales (1,3 million CHF).</w:t>
      </w:r>
    </w:p>
    <w:p w14:paraId="7153044C" w14:textId="77777777" w:rsidR="00FD5DEE" w:rsidRPr="00B506D8" w:rsidRDefault="00FD5DEE" w:rsidP="00FD5DEE">
      <w:pPr>
        <w:keepLines/>
        <w:jc w:val="both"/>
      </w:pPr>
    </w:p>
    <w:p w14:paraId="6FFA1DBB" w14:textId="62A5A531" w:rsidR="00897553" w:rsidRPr="00B506D8" w:rsidRDefault="006A11AE" w:rsidP="002D2336">
      <w:pPr>
        <w:jc w:val="center"/>
      </w:pPr>
      <w:r w:rsidRPr="00B506D8">
        <w:t>______________</w:t>
      </w:r>
    </w:p>
    <w:sectPr w:rsidR="00897553" w:rsidRPr="00B506D8" w:rsidSect="00D72F49">
      <w:headerReference w:type="even" r:id="rId28"/>
      <w:footerReference w:type="even" r:id="rId29"/>
      <w:footerReference w:type="default" r:id="rId30"/>
      <w:headerReference w:type="first" r:id="rId31"/>
      <w:footerReference w:type="first" r:id="rId3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C1B9" w14:textId="77777777" w:rsidR="00C07C66" w:rsidRDefault="00C07C66">
      <w:r>
        <w:separator/>
      </w:r>
    </w:p>
  </w:endnote>
  <w:endnote w:type="continuationSeparator" w:id="0">
    <w:p w14:paraId="35028E08" w14:textId="77777777" w:rsidR="00C07C66" w:rsidRDefault="00C0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EC2C" w14:textId="6251A430" w:rsidR="00732045" w:rsidRDefault="00C07C66">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3947FA">
      <w:t>20.04.26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2D1AECE" w14:textId="77777777" w:rsidTr="00E31DCE">
      <w:trPr>
        <w:jc w:val="center"/>
      </w:trPr>
      <w:tc>
        <w:tcPr>
          <w:tcW w:w="1803" w:type="dxa"/>
          <w:vAlign w:val="center"/>
        </w:tcPr>
        <w:p w14:paraId="12D126AB" w14:textId="484BBEF1" w:rsidR="00A51849" w:rsidRDefault="00FC6D7D" w:rsidP="00A51849">
          <w:pPr>
            <w:pStyle w:val="Header"/>
            <w:jc w:val="left"/>
            <w:rPr>
              <w:noProof/>
            </w:rPr>
          </w:pPr>
          <w:r>
            <w:rPr>
              <w:noProof/>
            </w:rPr>
            <w:t>gDoc</w:t>
          </w:r>
          <w:r w:rsidR="00A51849">
            <w:rPr>
              <w:noProof/>
            </w:rPr>
            <w:t xml:space="preserve"> </w:t>
          </w:r>
          <w:r w:rsidR="00C07C66">
            <w:rPr>
              <w:noProof/>
            </w:rPr>
            <w:t>2600918</w:t>
          </w:r>
        </w:p>
      </w:tc>
      <w:tc>
        <w:tcPr>
          <w:tcW w:w="8261" w:type="dxa"/>
        </w:tcPr>
        <w:p w14:paraId="7CC52963" w14:textId="379D935D"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C07C66">
            <w:rPr>
              <w:bCs/>
            </w:rPr>
            <w:t>85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12BE7C8"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EC22935" w14:textId="77777777" w:rsidTr="00E31DCE">
      <w:trPr>
        <w:jc w:val="center"/>
      </w:trPr>
      <w:tc>
        <w:tcPr>
          <w:tcW w:w="1803" w:type="dxa"/>
          <w:vAlign w:val="center"/>
        </w:tcPr>
        <w:p w14:paraId="748F3EDB"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366B55AA" w14:textId="34CD788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522108">
            <w:rPr>
              <w:bCs/>
            </w:rPr>
            <w:t>85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9B3B6E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7EBE" w14:textId="77777777" w:rsidR="00C07C66" w:rsidRDefault="00C07C66">
      <w:r>
        <w:t>____________________</w:t>
      </w:r>
    </w:p>
  </w:footnote>
  <w:footnote w:type="continuationSeparator" w:id="0">
    <w:p w14:paraId="5776923B" w14:textId="77777777" w:rsidR="00C07C66" w:rsidRDefault="00C0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0BD5"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D1CDC7F"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9DC4"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66"/>
    <w:rsid w:val="00024649"/>
    <w:rsid w:val="00076A2C"/>
    <w:rsid w:val="000D0D0A"/>
    <w:rsid w:val="000F5331"/>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656"/>
    <w:rsid w:val="002F1B76"/>
    <w:rsid w:val="0033568E"/>
    <w:rsid w:val="00355FF5"/>
    <w:rsid w:val="00361350"/>
    <w:rsid w:val="003947FA"/>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2108"/>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E30C4"/>
    <w:rsid w:val="006F0A53"/>
    <w:rsid w:val="0071402E"/>
    <w:rsid w:val="007210CD"/>
    <w:rsid w:val="00732045"/>
    <w:rsid w:val="0073275D"/>
    <w:rsid w:val="007369DB"/>
    <w:rsid w:val="00754AB6"/>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1611"/>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37AB3"/>
    <w:rsid w:val="00A51849"/>
    <w:rsid w:val="00A709FE"/>
    <w:rsid w:val="00A73C60"/>
    <w:rsid w:val="00A82767"/>
    <w:rsid w:val="00AA332F"/>
    <w:rsid w:val="00AA7BBB"/>
    <w:rsid w:val="00AB64A8"/>
    <w:rsid w:val="00AC0266"/>
    <w:rsid w:val="00AC0F1D"/>
    <w:rsid w:val="00AD24EC"/>
    <w:rsid w:val="00B2494F"/>
    <w:rsid w:val="00B27B00"/>
    <w:rsid w:val="00B309F9"/>
    <w:rsid w:val="00B32B60"/>
    <w:rsid w:val="00B506D8"/>
    <w:rsid w:val="00B51005"/>
    <w:rsid w:val="00B61619"/>
    <w:rsid w:val="00BB38C1"/>
    <w:rsid w:val="00BB4545"/>
    <w:rsid w:val="00BD5873"/>
    <w:rsid w:val="00BF4B60"/>
    <w:rsid w:val="00C049D7"/>
    <w:rsid w:val="00C04BE3"/>
    <w:rsid w:val="00C07C66"/>
    <w:rsid w:val="00C25D29"/>
    <w:rsid w:val="00C2625E"/>
    <w:rsid w:val="00C27A7C"/>
    <w:rsid w:val="00C42437"/>
    <w:rsid w:val="00C728DD"/>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2D7B"/>
    <w:rsid w:val="00FA5EB1"/>
    <w:rsid w:val="00FA7439"/>
    <w:rsid w:val="00FC4EC0"/>
    <w:rsid w:val="00FC6D7D"/>
    <w:rsid w:val="00FD5DEE"/>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B08A5"/>
  <w15:docId w15:val="{71935244-2807-43FD-ABC9-FC3B386C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B2494F"/>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D-TDC-WTDC-2025/fr" TargetMode="External"/><Relationship Id="rId18" Type="http://schemas.openxmlformats.org/officeDocument/2006/relationships/hyperlink" Target="https://www.itu.int/md/S24-CL-C-0066/en" TargetMode="External"/><Relationship Id="rId26" Type="http://schemas.openxmlformats.org/officeDocument/2006/relationships/hyperlink" Target="https://www.itu.int/dms_pub/itu-d/md/26/tdag33/c/D26-TDAG33-C-0002!N1-A1!MSW-E.docx" TargetMode="External"/><Relationship Id="rId3" Type="http://schemas.openxmlformats.org/officeDocument/2006/relationships/settings" Target="settings.xml"/><Relationship Id="rId21" Type="http://schemas.openxmlformats.org/officeDocument/2006/relationships/hyperlink" Target="https://www.itu.int/pub/D-TDC-WTDC-2025/fr" TargetMode="External"/><Relationship Id="rId34" Type="http://schemas.openxmlformats.org/officeDocument/2006/relationships/theme" Target="theme/theme1.xml"/><Relationship Id="rId7" Type="http://schemas.openxmlformats.org/officeDocument/2006/relationships/hyperlink" Target="https://www.itu.int/md/S24-CL-C-0066/en" TargetMode="External"/><Relationship Id="rId12" Type="http://schemas.openxmlformats.org/officeDocument/2006/relationships/hyperlink" Target="https://www.itu.int/dms_pub/itu-d/md/26/tdag33/c/D26-TDAG33-C-0002!N1-A1!MSW-E.docx" TargetMode="External"/><Relationship Id="rId17" Type="http://schemas.openxmlformats.org/officeDocument/2006/relationships/hyperlink" Target="https://www.itu.int/md/S26-CL-C-0024/en" TargetMode="External"/><Relationship Id="rId25" Type="http://schemas.openxmlformats.org/officeDocument/2006/relationships/hyperlink" Target="https://www.itu.int/md/S24-CL-C-0066/e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md/S26-CL-C-0042/en" TargetMode="External"/><Relationship Id="rId20" Type="http://schemas.openxmlformats.org/officeDocument/2006/relationships/hyperlink" Target="https://www.itu.int/md/S20-CL-C-0074/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0-CL-C-0074/en" TargetMode="External"/><Relationship Id="rId24" Type="http://schemas.openxmlformats.org/officeDocument/2006/relationships/hyperlink" Target="https://www.itu.int/md/S26-CL-C-0024/en"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tu.int/pub/D-TDC-WTDC-2025/fr" TargetMode="External"/><Relationship Id="rId23" Type="http://schemas.openxmlformats.org/officeDocument/2006/relationships/hyperlink" Target="https://www.itu.int/pub/D-TDC-WTDC-2025/fr" TargetMode="External"/><Relationship Id="rId28" Type="http://schemas.openxmlformats.org/officeDocument/2006/relationships/header" Target="header1.xml"/><Relationship Id="rId10" Type="http://schemas.openxmlformats.org/officeDocument/2006/relationships/hyperlink" Target="https://www.itu.int/en/council/Documents/basic-texts-2023/RES-158-F.pdf" TargetMode="External"/><Relationship Id="rId19" Type="http://schemas.openxmlformats.org/officeDocument/2006/relationships/hyperlink" Target="https://www.itu.int/en/council/Documents/basic-texts-2023/RES-025-F.pd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tu.int/en/council/Documents/basic-texts-2023/RES-025-F.pdf" TargetMode="External"/><Relationship Id="rId14" Type="http://schemas.openxmlformats.org/officeDocument/2006/relationships/hyperlink" Target="https://www.itu.int/pub/D-TDC-WTDC-2025/fr" TargetMode="External"/><Relationship Id="rId22" Type="http://schemas.openxmlformats.org/officeDocument/2006/relationships/hyperlink" Target="https://www.itu.int/pub/D-TDC-WTDC-2025/fr" TargetMode="External"/><Relationship Id="rId27" Type="http://schemas.openxmlformats.org/officeDocument/2006/relationships/hyperlink" Target="https://www.itu.int/md/S26-CL-C-0042/en" TargetMode="External"/><Relationship Id="rId30" Type="http://schemas.openxmlformats.org/officeDocument/2006/relationships/footer" Target="footer2.xml"/><Relationship Id="rId8" Type="http://schemas.openxmlformats.org/officeDocument/2006/relationships/hyperlink" Target="https://www.itu.int/md/S20-CL-C-0074/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3</TotalTime>
  <Pages>5</Pages>
  <Words>1969</Words>
  <Characters>12339</Characters>
  <Application>Microsoft Office Word</Application>
  <DocSecurity>0</DocSecurity>
  <Lines>232</Lines>
  <Paragraphs>99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14209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création d'un bureau de zone de l'UIT dans le Pacifique</dc:title>
  <dc:subject>Conseil 2026 de l'UIT</dc:subject>
  <cp:keywords>C26; C2026; Council 2026; PP26</cp:keywords>
  <dc:description/>
  <cp:lastPrinted>2000-07-18T08:55:00Z</cp:lastPrinted>
  <dcterms:created xsi:type="dcterms:W3CDTF">2026-04-21T17:22:00Z</dcterms:created>
  <dcterms:modified xsi:type="dcterms:W3CDTF">2026-04-21T17:24:00Z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