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660A06DD" w14:textId="77777777" w:rsidTr="00954C49">
        <w:trPr>
          <w:cantSplit/>
          <w:trHeight w:val="23"/>
        </w:trPr>
        <w:tc>
          <w:tcPr>
            <w:tcW w:w="3969" w:type="dxa"/>
            <w:vMerge w:val="restart"/>
            <w:tcMar>
              <w:left w:w="0" w:type="dxa"/>
            </w:tcMar>
          </w:tcPr>
          <w:p w14:paraId="6825F584" w14:textId="5FDDDFC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552A65">
              <w:rPr>
                <w:b/>
              </w:rPr>
              <w:t>PL-2</w:t>
            </w:r>
          </w:p>
        </w:tc>
        <w:tc>
          <w:tcPr>
            <w:tcW w:w="5245" w:type="dxa"/>
          </w:tcPr>
          <w:p w14:paraId="1348AC63" w14:textId="09E26A55" w:rsidR="00AD3606" w:rsidRPr="00C0458D" w:rsidRDefault="00AD3606" w:rsidP="00954C49">
            <w:pPr>
              <w:tabs>
                <w:tab w:val="left" w:pos="851"/>
              </w:tabs>
              <w:spacing w:before="0" w:line="240" w:lineRule="atLeast"/>
              <w:jc w:val="right"/>
              <w:rPr>
                <w:b/>
              </w:rPr>
            </w:pPr>
            <w:r w:rsidRPr="00C0458D">
              <w:rPr>
                <w:b/>
              </w:rPr>
              <w:t xml:space="preserve">Document </w:t>
            </w:r>
            <w:proofErr w:type="spellStart"/>
            <w:r w:rsidRPr="00C0458D">
              <w:rPr>
                <w:b/>
              </w:rPr>
              <w:t>C2</w:t>
            </w:r>
            <w:r w:rsidR="00DE532B">
              <w:rPr>
                <w:b/>
              </w:rPr>
              <w:t>6</w:t>
            </w:r>
            <w:proofErr w:type="spellEnd"/>
            <w:r w:rsidRPr="00C0458D">
              <w:rPr>
                <w:b/>
              </w:rPr>
              <w:t>/</w:t>
            </w:r>
            <w:r w:rsidR="00552A65">
              <w:rPr>
                <w:b/>
              </w:rPr>
              <w:t>85</w:t>
            </w:r>
            <w:r w:rsidRPr="00C0458D">
              <w:rPr>
                <w:b/>
              </w:rPr>
              <w:t>-E</w:t>
            </w:r>
          </w:p>
        </w:tc>
      </w:tr>
      <w:tr w:rsidR="00AD3606" w:rsidRPr="00C0458D" w14:paraId="2F6C92A9" w14:textId="77777777" w:rsidTr="00954C49">
        <w:trPr>
          <w:cantSplit/>
        </w:trPr>
        <w:tc>
          <w:tcPr>
            <w:tcW w:w="3969" w:type="dxa"/>
            <w:vMerge/>
          </w:tcPr>
          <w:p w14:paraId="29B62F44"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4D401B85" w14:textId="68D87865" w:rsidR="00AD3606" w:rsidRPr="00C0458D" w:rsidRDefault="00552A65" w:rsidP="00954C49">
            <w:pPr>
              <w:tabs>
                <w:tab w:val="left" w:pos="851"/>
              </w:tabs>
              <w:spacing w:before="0"/>
              <w:jc w:val="right"/>
              <w:rPr>
                <w:b/>
              </w:rPr>
            </w:pPr>
            <w:r>
              <w:rPr>
                <w:b/>
              </w:rPr>
              <w:t>14 April 2026</w:t>
            </w:r>
          </w:p>
        </w:tc>
      </w:tr>
      <w:tr w:rsidR="00AD3606" w:rsidRPr="00C0458D" w14:paraId="4978A34A" w14:textId="77777777" w:rsidTr="00954C49">
        <w:trPr>
          <w:cantSplit/>
          <w:trHeight w:val="23"/>
        </w:trPr>
        <w:tc>
          <w:tcPr>
            <w:tcW w:w="3969" w:type="dxa"/>
            <w:vMerge/>
          </w:tcPr>
          <w:p w14:paraId="734332F6"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406F1D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AD3606" w:rsidRPr="00C0458D" w14:paraId="5F08D2FC" w14:textId="77777777" w:rsidTr="00954C49">
        <w:trPr>
          <w:cantSplit/>
        </w:trPr>
        <w:tc>
          <w:tcPr>
            <w:tcW w:w="9214" w:type="dxa"/>
            <w:gridSpan w:val="2"/>
            <w:tcMar>
              <w:left w:w="0" w:type="dxa"/>
            </w:tcMar>
          </w:tcPr>
          <w:p w14:paraId="2EBE8BE0" w14:textId="200F6C41" w:rsidR="00AD3606" w:rsidRPr="00084ABF" w:rsidRDefault="00552A65" w:rsidP="00084ABF">
            <w:pPr>
              <w:pStyle w:val="Source"/>
              <w:framePr w:hSpace="0" w:wrap="auto" w:vAnchor="margin" w:hAnchor="text" w:xAlign="left" w:yAlign="inline"/>
            </w:pPr>
            <w:bookmarkStart w:id="8" w:name="dsource" w:colFirst="0" w:colLast="0"/>
            <w:bookmarkEnd w:id="7"/>
            <w:r w:rsidRPr="00084ABF">
              <w:t xml:space="preserve">Contribution by </w:t>
            </w:r>
            <w:r w:rsidR="00A35095" w:rsidRPr="00084ABF">
              <w:t>Papua New Guinea,</w:t>
            </w:r>
            <w:r w:rsidR="00A35095" w:rsidRPr="00084ABF">
              <w:t xml:space="preserve"> </w:t>
            </w:r>
            <w:r w:rsidR="00E950BD" w:rsidRPr="00084ABF">
              <w:t>Australia</w:t>
            </w:r>
            <w:r w:rsidR="00E950BD" w:rsidRPr="00084ABF">
              <w:t xml:space="preserve">, </w:t>
            </w:r>
            <w:r w:rsidRPr="00084ABF">
              <w:t>Fiji</w:t>
            </w:r>
            <w:r w:rsidR="00A35095" w:rsidRPr="00084ABF">
              <w:t xml:space="preserve"> </w:t>
            </w:r>
            <w:r w:rsidR="00A35095" w:rsidRPr="00084ABF">
              <w:t>(Republic of)</w:t>
            </w:r>
            <w:r w:rsidRPr="00084ABF">
              <w:t>, Kiribati</w:t>
            </w:r>
            <w:r w:rsidR="00A35095" w:rsidRPr="00084ABF">
              <w:t xml:space="preserve"> </w:t>
            </w:r>
            <w:r w:rsidR="00A35095" w:rsidRPr="00084ABF">
              <w:t>(Republic of)</w:t>
            </w:r>
            <w:r w:rsidRPr="00084ABF">
              <w:t>, Marshall Islands (Republic of</w:t>
            </w:r>
            <w:r w:rsidR="00A35095" w:rsidRPr="00084ABF">
              <w:t xml:space="preserve"> the</w:t>
            </w:r>
            <w:r w:rsidRPr="00084ABF">
              <w:t xml:space="preserve">), </w:t>
            </w:r>
            <w:r w:rsidR="00A35095" w:rsidRPr="00084ABF">
              <w:t xml:space="preserve">Micronesia (Federated States of), </w:t>
            </w:r>
            <w:r w:rsidRPr="00084ABF">
              <w:t>Nauru</w:t>
            </w:r>
            <w:r w:rsidR="00A35095" w:rsidRPr="00084ABF">
              <w:t xml:space="preserve"> </w:t>
            </w:r>
            <w:r w:rsidR="00A35095" w:rsidRPr="00084ABF">
              <w:t>(Republic of)</w:t>
            </w:r>
            <w:r w:rsidRPr="00084ABF">
              <w:t>, New Zealand, Palau</w:t>
            </w:r>
            <w:r w:rsidR="00E950BD" w:rsidRPr="00084ABF">
              <w:t xml:space="preserve"> </w:t>
            </w:r>
            <w:r w:rsidR="00E950BD" w:rsidRPr="00084ABF">
              <w:t>(Republic of)</w:t>
            </w:r>
            <w:r w:rsidRPr="00084ABF">
              <w:t xml:space="preserve">, </w:t>
            </w:r>
            <w:r w:rsidR="00E950BD" w:rsidRPr="00084ABF">
              <w:t xml:space="preserve">Solomon Islands, </w:t>
            </w:r>
            <w:r w:rsidRPr="00084ABF">
              <w:t>Samoa</w:t>
            </w:r>
            <w:r w:rsidR="00E950BD" w:rsidRPr="00084ABF">
              <w:t xml:space="preserve"> </w:t>
            </w:r>
            <w:r w:rsidR="00E950BD" w:rsidRPr="00084ABF">
              <w:t>(Independent State of)</w:t>
            </w:r>
            <w:r w:rsidRPr="00084ABF">
              <w:t>, Tonga</w:t>
            </w:r>
            <w:r w:rsidR="00E950BD" w:rsidRPr="00084ABF">
              <w:t xml:space="preserve"> </w:t>
            </w:r>
            <w:r w:rsidR="00E950BD" w:rsidRPr="00084ABF">
              <w:t>(Kingdom of)</w:t>
            </w:r>
            <w:r w:rsidRPr="00084ABF">
              <w:t>, Tuvalu</w:t>
            </w:r>
            <w:r w:rsidR="00E950BD" w:rsidRPr="00084ABF">
              <w:t xml:space="preserve"> </w:t>
            </w:r>
            <w:r w:rsidR="00E950BD" w:rsidRPr="00084ABF">
              <w:t xml:space="preserve">and </w:t>
            </w:r>
            <w:r w:rsidRPr="00084ABF">
              <w:t>Vanuatu</w:t>
            </w:r>
          </w:p>
        </w:tc>
      </w:tr>
      <w:tr w:rsidR="00AD3606" w:rsidRPr="00C0458D" w14:paraId="5183D2F3" w14:textId="77777777" w:rsidTr="00954C49">
        <w:trPr>
          <w:cantSplit/>
        </w:trPr>
        <w:tc>
          <w:tcPr>
            <w:tcW w:w="9214" w:type="dxa"/>
            <w:gridSpan w:val="2"/>
            <w:tcMar>
              <w:left w:w="0" w:type="dxa"/>
            </w:tcMar>
          </w:tcPr>
          <w:p w14:paraId="7092F9BE" w14:textId="726D9CE9" w:rsidR="00AD3606" w:rsidRPr="00176F47" w:rsidRDefault="00552A65" w:rsidP="00084ABF">
            <w:pPr>
              <w:pStyle w:val="Subtitle"/>
              <w:framePr w:hSpace="0" w:wrap="auto" w:xAlign="left" w:yAlign="inline"/>
            </w:pPr>
            <w:bookmarkStart w:id="9" w:name="dtitle1" w:colFirst="0" w:colLast="0"/>
            <w:bookmarkEnd w:id="8"/>
            <w:r w:rsidRPr="00552A65">
              <w:t>PROPOSAL FOR THE ESTABLISHMENT OF AN ITU AREA OFFICE IN THE PACIFIC</w:t>
            </w:r>
          </w:p>
        </w:tc>
      </w:tr>
      <w:tr w:rsidR="00AD3606" w:rsidRPr="00C0458D" w14:paraId="7A4FFAEF" w14:textId="77777777" w:rsidTr="00954C49">
        <w:trPr>
          <w:cantSplit/>
        </w:trPr>
        <w:tc>
          <w:tcPr>
            <w:tcW w:w="9214" w:type="dxa"/>
            <w:gridSpan w:val="2"/>
            <w:tcBorders>
              <w:top w:val="single" w:sz="4" w:space="0" w:color="auto"/>
              <w:bottom w:val="single" w:sz="4" w:space="0" w:color="auto"/>
            </w:tcBorders>
            <w:tcMar>
              <w:left w:w="0" w:type="dxa"/>
            </w:tcMar>
          </w:tcPr>
          <w:p w14:paraId="4940A7E4" w14:textId="77777777" w:rsidR="00AD3606" w:rsidRPr="00C0458D" w:rsidRDefault="00F16BAB" w:rsidP="00084ABF">
            <w:pPr>
              <w:spacing w:before="100"/>
              <w:rPr>
                <w:b/>
                <w:bCs/>
                <w:sz w:val="26"/>
                <w:szCs w:val="26"/>
              </w:rPr>
            </w:pPr>
            <w:r w:rsidRPr="00C0458D">
              <w:rPr>
                <w:b/>
                <w:bCs/>
                <w:sz w:val="26"/>
                <w:szCs w:val="26"/>
              </w:rPr>
              <w:t>Purpose</w:t>
            </w:r>
          </w:p>
          <w:p w14:paraId="75C81FAB" w14:textId="77777777" w:rsidR="00907BFC" w:rsidRPr="00907BFC" w:rsidRDefault="00907BFC" w:rsidP="00084ABF">
            <w:pPr>
              <w:spacing w:before="80"/>
              <w:jc w:val="both"/>
              <w:rPr>
                <w:szCs w:val="24"/>
              </w:rPr>
            </w:pPr>
            <w:r w:rsidRPr="00907BFC">
              <w:rPr>
                <w:szCs w:val="24"/>
              </w:rPr>
              <w:t>The purpose of this contribution is to invite the Council to consider the development of a detailed establishment plan for an ITU Area Office in the Pacific. An ITU Area Office in the Pacific would strengthen ITU’s regional presence and support to the Pacific Small Island Developing States (PSIDS) through ITU’s on-the-ground presence and delivery of programmes and services, following the situation analysis and needs assessment conducted in 2025.</w:t>
            </w:r>
          </w:p>
          <w:p w14:paraId="1973E5E0" w14:textId="46B89354" w:rsidR="00907BFC" w:rsidRPr="00907BFC" w:rsidRDefault="00907BFC" w:rsidP="00084ABF">
            <w:pPr>
              <w:spacing w:before="80"/>
              <w:jc w:val="both"/>
              <w:rPr>
                <w:szCs w:val="24"/>
              </w:rPr>
            </w:pPr>
            <w:r w:rsidRPr="00907BFC">
              <w:rPr>
                <w:szCs w:val="24"/>
              </w:rPr>
              <w:t>This proposal is aligned with PP Resolution 25 (Rev. Bucharest, 2022), relevant WTDC Resolutions 16 (Rev. Baku, 2025) and 94 (Baku, 2025), Council discussions on the criteria to establish new Area Offices (</w:t>
            </w:r>
            <w:r w:rsidR="001A62F2">
              <w:rPr>
                <w:szCs w:val="24"/>
              </w:rPr>
              <w:t xml:space="preserve">Document </w:t>
            </w:r>
            <w:hyperlink r:id="rId8" w:history="1">
              <w:proofErr w:type="spellStart"/>
              <w:r w:rsidRPr="008E45B8">
                <w:rPr>
                  <w:rStyle w:val="Hyperlink"/>
                  <w:szCs w:val="24"/>
                </w:rPr>
                <w:t>C24</w:t>
              </w:r>
              <w:proofErr w:type="spellEnd"/>
              <w:r w:rsidRPr="008E45B8">
                <w:rPr>
                  <w:rStyle w:val="Hyperlink"/>
                  <w:szCs w:val="24"/>
                </w:rPr>
                <w:t>/66</w:t>
              </w:r>
            </w:hyperlink>
            <w:r w:rsidRPr="00907BFC">
              <w:rPr>
                <w:szCs w:val="24"/>
              </w:rPr>
              <w:t>), Asia-Pacific Regional Initiative 1, the PwC review of regional presence (</w:t>
            </w:r>
            <w:r w:rsidR="001A62F2">
              <w:rPr>
                <w:szCs w:val="24"/>
              </w:rPr>
              <w:t xml:space="preserve">Document </w:t>
            </w:r>
            <w:hyperlink r:id="rId9" w:history="1">
              <w:proofErr w:type="spellStart"/>
              <w:r w:rsidRPr="008E45B8">
                <w:rPr>
                  <w:rStyle w:val="Hyperlink"/>
                  <w:szCs w:val="24"/>
                </w:rPr>
                <w:t>C20</w:t>
              </w:r>
              <w:proofErr w:type="spellEnd"/>
              <w:r w:rsidRPr="008E45B8">
                <w:rPr>
                  <w:rStyle w:val="Hyperlink"/>
                  <w:szCs w:val="24"/>
                </w:rPr>
                <w:t>/74</w:t>
              </w:r>
            </w:hyperlink>
            <w:r w:rsidRPr="00907BFC">
              <w:rPr>
                <w:szCs w:val="24"/>
              </w:rPr>
              <w:t>), and precedents such as the establishment of the ITU Area Office in India in 2023.</w:t>
            </w:r>
          </w:p>
          <w:p w14:paraId="4F7092D1" w14:textId="77777777" w:rsidR="00AD3606" w:rsidRDefault="00AD3606" w:rsidP="006D47E7">
            <w:pPr>
              <w:rPr>
                <w:b/>
                <w:bCs/>
                <w:sz w:val="26"/>
                <w:szCs w:val="26"/>
              </w:rPr>
            </w:pPr>
            <w:r w:rsidRPr="00C0458D">
              <w:rPr>
                <w:b/>
                <w:bCs/>
                <w:sz w:val="26"/>
                <w:szCs w:val="26"/>
              </w:rPr>
              <w:t>Action required</w:t>
            </w:r>
            <w:r w:rsidR="00F16BAB" w:rsidRPr="00C0458D">
              <w:rPr>
                <w:b/>
                <w:bCs/>
                <w:sz w:val="26"/>
                <w:szCs w:val="26"/>
              </w:rPr>
              <w:t xml:space="preserve"> by the Council</w:t>
            </w:r>
          </w:p>
          <w:p w14:paraId="705AB693" w14:textId="77777777" w:rsidR="00907BFC" w:rsidRPr="00907BFC" w:rsidRDefault="00907BFC" w:rsidP="006D47E7">
            <w:pPr>
              <w:spacing w:before="100"/>
              <w:rPr>
                <w:szCs w:val="24"/>
              </w:rPr>
            </w:pPr>
            <w:r w:rsidRPr="00907BFC">
              <w:rPr>
                <w:szCs w:val="24"/>
              </w:rPr>
              <w:t>The Council is invited to:</w:t>
            </w:r>
          </w:p>
          <w:p w14:paraId="631B199D" w14:textId="0090E3D4" w:rsidR="00907BFC" w:rsidRPr="00907BFC" w:rsidRDefault="00907BFC" w:rsidP="00DD1F77">
            <w:pPr>
              <w:pStyle w:val="enumlev1"/>
              <w:spacing w:before="60"/>
              <w:jc w:val="both"/>
              <w:rPr>
                <w:szCs w:val="24"/>
              </w:rPr>
            </w:pPr>
            <w:r w:rsidRPr="00907BFC">
              <w:rPr>
                <w:szCs w:val="24"/>
              </w:rPr>
              <w:t>1</w:t>
            </w:r>
            <w:r w:rsidRPr="00907BFC">
              <w:rPr>
                <w:szCs w:val="24"/>
              </w:rPr>
              <w:tab/>
            </w:r>
            <w:r w:rsidRPr="00907BFC">
              <w:rPr>
                <w:b/>
                <w:bCs/>
                <w:szCs w:val="24"/>
              </w:rPr>
              <w:t>approve</w:t>
            </w:r>
            <w:r w:rsidRPr="00907BFC">
              <w:rPr>
                <w:szCs w:val="24"/>
              </w:rPr>
              <w:t xml:space="preserve"> the development of a detailed establishment plan for an </w:t>
            </w:r>
            <w:r w:rsidRPr="006001AE">
              <w:rPr>
                <w:szCs w:val="24"/>
              </w:rPr>
              <w:t>ITU Area Office in the Pacific, which will include resourcing and staffing requirements, guided by the</w:t>
            </w:r>
            <w:r w:rsidRPr="00907BFC">
              <w:rPr>
                <w:szCs w:val="24"/>
              </w:rPr>
              <w:t xml:space="preserve"> criteria set out by the Council in 2025 and drawing on precedents such as the establishment of the Area Office in India</w:t>
            </w:r>
            <w:r w:rsidR="006001AE">
              <w:rPr>
                <w:szCs w:val="24"/>
              </w:rPr>
              <w:t>;</w:t>
            </w:r>
          </w:p>
          <w:p w14:paraId="21B291C0" w14:textId="5981F12E" w:rsidR="00907BFC" w:rsidRPr="006001AE" w:rsidRDefault="00907BFC" w:rsidP="00DD1F77">
            <w:pPr>
              <w:pStyle w:val="enumlev1"/>
              <w:spacing w:before="60"/>
              <w:jc w:val="both"/>
              <w:rPr>
                <w:szCs w:val="24"/>
              </w:rPr>
            </w:pPr>
            <w:r w:rsidRPr="00907BFC">
              <w:rPr>
                <w:szCs w:val="24"/>
              </w:rPr>
              <w:t>2</w:t>
            </w:r>
            <w:r w:rsidRPr="00907BFC">
              <w:rPr>
                <w:szCs w:val="24"/>
              </w:rPr>
              <w:tab/>
            </w:r>
            <w:r w:rsidRPr="00907BFC">
              <w:rPr>
                <w:b/>
                <w:bCs/>
                <w:szCs w:val="24"/>
              </w:rPr>
              <w:t>request</w:t>
            </w:r>
            <w:r w:rsidRPr="00907BFC">
              <w:rPr>
                <w:szCs w:val="24"/>
              </w:rPr>
              <w:t xml:space="preserve"> the </w:t>
            </w:r>
            <w:r w:rsidR="006001AE" w:rsidRPr="00907BFC">
              <w:rPr>
                <w:szCs w:val="24"/>
              </w:rPr>
              <w:t xml:space="preserve">secretariat </w:t>
            </w:r>
            <w:r w:rsidRPr="00907BFC">
              <w:rPr>
                <w:szCs w:val="24"/>
              </w:rPr>
              <w:t xml:space="preserve">to provide this report to the Plenipotentiary Conference in 2026 for its consideration and potential approval and to Council 2027 to support progress towards establishment of an </w:t>
            </w:r>
            <w:r w:rsidRPr="006001AE">
              <w:rPr>
                <w:szCs w:val="24"/>
              </w:rPr>
              <w:t>ITU Area Office in the Pacific</w:t>
            </w:r>
            <w:r w:rsidR="006001AE">
              <w:rPr>
                <w:szCs w:val="24"/>
              </w:rPr>
              <w:t>;</w:t>
            </w:r>
          </w:p>
          <w:p w14:paraId="5A8E33F0" w14:textId="19A0CC4F" w:rsidR="00907BFC" w:rsidRPr="00907BFC" w:rsidRDefault="00907BFC" w:rsidP="00DD1F77">
            <w:pPr>
              <w:pStyle w:val="enumlev1"/>
              <w:spacing w:before="60"/>
              <w:jc w:val="both"/>
              <w:rPr>
                <w:szCs w:val="24"/>
              </w:rPr>
            </w:pPr>
            <w:r w:rsidRPr="00907BFC">
              <w:rPr>
                <w:szCs w:val="24"/>
              </w:rPr>
              <w:t>3</w:t>
            </w:r>
            <w:r w:rsidRPr="00907BFC">
              <w:rPr>
                <w:szCs w:val="24"/>
              </w:rPr>
              <w:tab/>
            </w:r>
            <w:r w:rsidRPr="00907BFC">
              <w:rPr>
                <w:b/>
                <w:bCs/>
                <w:szCs w:val="24"/>
              </w:rPr>
              <w:t>note</w:t>
            </w:r>
            <w:r w:rsidRPr="00907BFC">
              <w:rPr>
                <w:szCs w:val="24"/>
              </w:rPr>
              <w:t xml:space="preserve"> the points outlined under </w:t>
            </w:r>
            <w:r w:rsidRPr="006001AE">
              <w:rPr>
                <w:szCs w:val="24"/>
              </w:rPr>
              <w:t>Considerations</w:t>
            </w:r>
            <w:r w:rsidRPr="00907BFC">
              <w:rPr>
                <w:szCs w:val="24"/>
              </w:rPr>
              <w:t>.</w:t>
            </w:r>
          </w:p>
          <w:p w14:paraId="1B5D1387" w14:textId="77777777" w:rsidR="00C0458D" w:rsidRDefault="00C0458D" w:rsidP="006D47E7">
            <w:pPr>
              <w:spacing w:before="0"/>
            </w:pPr>
            <w:r>
              <w:t>_______________</w:t>
            </w:r>
          </w:p>
          <w:p w14:paraId="5CC2ED46" w14:textId="77777777" w:rsidR="00AD3606" w:rsidRPr="00C0458D" w:rsidRDefault="00AD3606" w:rsidP="006D47E7">
            <w:pPr>
              <w:rPr>
                <w:b/>
                <w:bCs/>
                <w:sz w:val="26"/>
                <w:szCs w:val="26"/>
              </w:rPr>
            </w:pPr>
            <w:r w:rsidRPr="00C0458D">
              <w:rPr>
                <w:b/>
                <w:bCs/>
                <w:sz w:val="26"/>
                <w:szCs w:val="26"/>
              </w:rPr>
              <w:t>References</w:t>
            </w:r>
          </w:p>
          <w:p w14:paraId="3D156EFF" w14:textId="2FE21C92" w:rsidR="00AD3606" w:rsidRPr="00DD1F77" w:rsidRDefault="00907BFC" w:rsidP="00004A6F">
            <w:pPr>
              <w:spacing w:before="80" w:after="80"/>
              <w:rPr>
                <w:i/>
                <w:iCs/>
                <w:spacing w:val="-2"/>
                <w:sz w:val="22"/>
                <w:szCs w:val="22"/>
              </w:rPr>
            </w:pPr>
            <w:r w:rsidRPr="00DD1F77">
              <w:rPr>
                <w:i/>
                <w:iCs/>
                <w:spacing w:val="-2"/>
                <w:sz w:val="22"/>
                <w:szCs w:val="22"/>
              </w:rPr>
              <w:t>Resolution</w:t>
            </w:r>
            <w:r w:rsidR="006001AE" w:rsidRPr="00DD1F77">
              <w:rPr>
                <w:i/>
                <w:iCs/>
                <w:spacing w:val="-2"/>
                <w:sz w:val="22"/>
                <w:szCs w:val="22"/>
              </w:rPr>
              <w:t>s</w:t>
            </w:r>
            <w:r w:rsidRPr="00DD1F77">
              <w:rPr>
                <w:i/>
                <w:iCs/>
                <w:spacing w:val="-2"/>
                <w:sz w:val="22"/>
                <w:szCs w:val="22"/>
              </w:rPr>
              <w:t xml:space="preserve"> </w:t>
            </w:r>
            <w:hyperlink r:id="rId10" w:history="1">
              <w:r w:rsidRPr="00DD1F77">
                <w:rPr>
                  <w:rStyle w:val="Hyperlink"/>
                  <w:i/>
                  <w:iCs/>
                  <w:spacing w:val="-2"/>
                  <w:sz w:val="22"/>
                  <w:szCs w:val="22"/>
                </w:rPr>
                <w:t>25 (Rev. Bucharest, 2022)</w:t>
              </w:r>
            </w:hyperlink>
            <w:r w:rsidR="00137946" w:rsidRPr="00DD1F77">
              <w:rPr>
                <w:i/>
                <w:iCs/>
                <w:spacing w:val="-2"/>
                <w:sz w:val="22"/>
                <w:szCs w:val="22"/>
              </w:rPr>
              <w:t xml:space="preserve"> and </w:t>
            </w:r>
            <w:hyperlink r:id="rId11" w:history="1">
              <w:r w:rsidRPr="00DD1F77">
                <w:rPr>
                  <w:rStyle w:val="Hyperlink"/>
                  <w:i/>
                  <w:iCs/>
                  <w:spacing w:val="-2"/>
                  <w:sz w:val="22"/>
                  <w:szCs w:val="22"/>
                </w:rPr>
                <w:t>158</w:t>
              </w:r>
              <w:r w:rsidR="00137946" w:rsidRPr="00DD1F77">
                <w:rPr>
                  <w:rStyle w:val="Hyperlink"/>
                  <w:i/>
                  <w:iCs/>
                  <w:spacing w:val="-2"/>
                  <w:sz w:val="22"/>
                  <w:szCs w:val="22"/>
                </w:rPr>
                <w:t xml:space="preserve"> </w:t>
              </w:r>
              <w:r w:rsidR="00575D73" w:rsidRPr="00DD1F77">
                <w:rPr>
                  <w:rStyle w:val="Hyperlink"/>
                  <w:i/>
                  <w:iCs/>
                  <w:spacing w:val="-2"/>
                  <w:sz w:val="22"/>
                  <w:szCs w:val="22"/>
                </w:rPr>
                <w:t>(Rev. Busan, 2014)</w:t>
              </w:r>
            </w:hyperlink>
            <w:r w:rsidR="00575D73" w:rsidRPr="00DD1F77">
              <w:rPr>
                <w:i/>
                <w:iCs/>
                <w:spacing w:val="-2"/>
                <w:sz w:val="22"/>
                <w:szCs w:val="22"/>
              </w:rPr>
              <w:t xml:space="preserve"> </w:t>
            </w:r>
            <w:r w:rsidR="00137946" w:rsidRPr="00DD1F77">
              <w:rPr>
                <w:i/>
                <w:iCs/>
                <w:spacing w:val="-2"/>
                <w:sz w:val="22"/>
                <w:szCs w:val="22"/>
              </w:rPr>
              <w:t>of the Plenipotentiary Conference;</w:t>
            </w:r>
            <w:r w:rsidRPr="00DD1F77">
              <w:rPr>
                <w:i/>
                <w:iCs/>
                <w:spacing w:val="-2"/>
                <w:sz w:val="22"/>
                <w:szCs w:val="22"/>
              </w:rPr>
              <w:t xml:space="preserve"> PwC Report on ITU’s Regional Presence (</w:t>
            </w:r>
            <w:r w:rsidR="006D47E7" w:rsidRPr="00DD1F77">
              <w:rPr>
                <w:i/>
                <w:iCs/>
                <w:spacing w:val="-2"/>
                <w:sz w:val="22"/>
                <w:szCs w:val="22"/>
              </w:rPr>
              <w:t xml:space="preserve">Document </w:t>
            </w:r>
            <w:hyperlink r:id="rId12" w:history="1">
              <w:proofErr w:type="spellStart"/>
              <w:r w:rsidRPr="00DD1F77">
                <w:rPr>
                  <w:rStyle w:val="Hyperlink"/>
                  <w:i/>
                  <w:iCs/>
                  <w:spacing w:val="-2"/>
                  <w:sz w:val="22"/>
                  <w:szCs w:val="22"/>
                </w:rPr>
                <w:t>C20</w:t>
              </w:r>
              <w:proofErr w:type="spellEnd"/>
              <w:r w:rsidRPr="00DD1F77">
                <w:rPr>
                  <w:rStyle w:val="Hyperlink"/>
                  <w:i/>
                  <w:iCs/>
                  <w:spacing w:val="-2"/>
                  <w:sz w:val="22"/>
                  <w:szCs w:val="22"/>
                </w:rPr>
                <w:t>/74</w:t>
              </w:r>
            </w:hyperlink>
            <w:r w:rsidRPr="00DD1F77">
              <w:rPr>
                <w:i/>
                <w:iCs/>
                <w:spacing w:val="-2"/>
                <w:sz w:val="22"/>
                <w:szCs w:val="22"/>
              </w:rPr>
              <w:t>)</w:t>
            </w:r>
            <w:r w:rsidR="00137946" w:rsidRPr="00DD1F77">
              <w:rPr>
                <w:i/>
                <w:iCs/>
                <w:spacing w:val="-2"/>
                <w:sz w:val="22"/>
                <w:szCs w:val="22"/>
              </w:rPr>
              <w:t>;</w:t>
            </w:r>
            <w:r w:rsidR="006001AE" w:rsidRPr="00DD1F77">
              <w:rPr>
                <w:i/>
                <w:iCs/>
                <w:spacing w:val="-2"/>
                <w:sz w:val="22"/>
                <w:szCs w:val="22"/>
              </w:rPr>
              <w:t xml:space="preserve"> </w:t>
            </w:r>
            <w:r w:rsidRPr="00DD1F77">
              <w:rPr>
                <w:i/>
                <w:iCs/>
                <w:spacing w:val="-2"/>
                <w:sz w:val="22"/>
                <w:szCs w:val="22"/>
              </w:rPr>
              <w:t xml:space="preserve">Annex 1 to Document </w:t>
            </w:r>
            <w:hyperlink r:id="rId13" w:history="1">
              <w:proofErr w:type="spellStart"/>
              <w:r w:rsidRPr="00DD1F77">
                <w:rPr>
                  <w:rStyle w:val="Hyperlink"/>
                  <w:i/>
                  <w:iCs/>
                  <w:spacing w:val="-2"/>
                  <w:sz w:val="22"/>
                  <w:szCs w:val="22"/>
                </w:rPr>
                <w:t>TDAG</w:t>
              </w:r>
              <w:proofErr w:type="spellEnd"/>
              <w:r w:rsidRPr="00DD1F77">
                <w:rPr>
                  <w:rStyle w:val="Hyperlink"/>
                  <w:i/>
                  <w:iCs/>
                  <w:spacing w:val="-2"/>
                  <w:sz w:val="22"/>
                  <w:szCs w:val="22"/>
                </w:rPr>
                <w:t>-26/2(</w:t>
              </w:r>
              <w:proofErr w:type="spellStart"/>
              <w:r w:rsidRPr="00DD1F77">
                <w:rPr>
                  <w:rStyle w:val="Hyperlink"/>
                  <w:i/>
                  <w:iCs/>
                  <w:spacing w:val="-2"/>
                  <w:sz w:val="22"/>
                  <w:szCs w:val="22"/>
                </w:rPr>
                <w:t>Add.1</w:t>
              </w:r>
              <w:proofErr w:type="spellEnd"/>
              <w:r w:rsidRPr="00DD1F77">
                <w:rPr>
                  <w:rStyle w:val="Hyperlink"/>
                  <w:i/>
                  <w:iCs/>
                  <w:spacing w:val="-2"/>
                  <w:sz w:val="22"/>
                  <w:szCs w:val="22"/>
                </w:rPr>
                <w:t>)</w:t>
              </w:r>
            </w:hyperlink>
            <w:r w:rsidR="00137946" w:rsidRPr="00DD1F77">
              <w:rPr>
                <w:i/>
                <w:iCs/>
                <w:spacing w:val="-2"/>
                <w:sz w:val="22"/>
                <w:szCs w:val="22"/>
              </w:rPr>
              <w:t>;</w:t>
            </w:r>
            <w:r w:rsidRPr="00DD1F77">
              <w:rPr>
                <w:i/>
                <w:iCs/>
                <w:spacing w:val="-2"/>
                <w:sz w:val="22"/>
                <w:szCs w:val="22"/>
              </w:rPr>
              <w:t xml:space="preserve"> Resolution</w:t>
            </w:r>
            <w:r w:rsidR="006001AE" w:rsidRPr="00DD1F77">
              <w:rPr>
                <w:i/>
                <w:iCs/>
                <w:spacing w:val="-2"/>
                <w:sz w:val="22"/>
                <w:szCs w:val="22"/>
              </w:rPr>
              <w:t>s</w:t>
            </w:r>
            <w:r w:rsidRPr="00DD1F77">
              <w:rPr>
                <w:i/>
                <w:iCs/>
                <w:spacing w:val="-2"/>
                <w:sz w:val="22"/>
                <w:szCs w:val="22"/>
              </w:rPr>
              <w:t xml:space="preserve"> </w:t>
            </w:r>
            <w:hyperlink r:id="rId14" w:history="1">
              <w:r w:rsidRPr="00DD1F77">
                <w:rPr>
                  <w:rStyle w:val="Hyperlink"/>
                  <w:i/>
                  <w:iCs/>
                  <w:spacing w:val="-2"/>
                  <w:sz w:val="22"/>
                  <w:szCs w:val="22"/>
                </w:rPr>
                <w:t>94 (Baku, 2025), 16 (Rev. Baku, 2025),</w:t>
              </w:r>
              <w:r w:rsidR="006001AE" w:rsidRPr="00DD1F77">
                <w:rPr>
                  <w:rStyle w:val="Hyperlink"/>
                  <w:i/>
                  <w:iCs/>
                  <w:spacing w:val="-2"/>
                  <w:sz w:val="22"/>
                  <w:szCs w:val="22"/>
                </w:rPr>
                <w:t xml:space="preserve"> </w:t>
              </w:r>
              <w:r w:rsidRPr="00DD1F77">
                <w:rPr>
                  <w:rStyle w:val="Hyperlink"/>
                  <w:i/>
                  <w:iCs/>
                  <w:spacing w:val="-2"/>
                  <w:sz w:val="22"/>
                  <w:szCs w:val="22"/>
                </w:rPr>
                <w:t>17 (Rev. Baku, 2025)</w:t>
              </w:r>
            </w:hyperlink>
            <w:r w:rsidR="00137946" w:rsidRPr="00DD1F77">
              <w:rPr>
                <w:i/>
                <w:iCs/>
                <w:spacing w:val="-2"/>
                <w:sz w:val="22"/>
                <w:szCs w:val="22"/>
              </w:rPr>
              <w:t xml:space="preserve"> of the World Telecommunication Development Conference</w:t>
            </w:r>
            <w:r w:rsidRPr="00DD1F77">
              <w:rPr>
                <w:i/>
                <w:iCs/>
                <w:spacing w:val="-2"/>
                <w:sz w:val="22"/>
                <w:szCs w:val="22"/>
              </w:rPr>
              <w:t xml:space="preserve">, Asia and the Pacific Regional Initiative 1 (Rev. Baku, 2025), Council </w:t>
            </w:r>
            <w:r w:rsidR="0031467E" w:rsidRPr="00DD1F77">
              <w:rPr>
                <w:i/>
                <w:iCs/>
                <w:spacing w:val="-2"/>
                <w:sz w:val="22"/>
                <w:szCs w:val="22"/>
              </w:rPr>
              <w:t xml:space="preserve">Documents </w:t>
            </w:r>
            <w:hyperlink r:id="rId15" w:history="1">
              <w:proofErr w:type="spellStart"/>
              <w:r w:rsidRPr="00DD1F77">
                <w:rPr>
                  <w:rStyle w:val="Hyperlink"/>
                  <w:i/>
                  <w:iCs/>
                  <w:spacing w:val="-2"/>
                  <w:sz w:val="22"/>
                  <w:szCs w:val="22"/>
                </w:rPr>
                <w:t>C26</w:t>
              </w:r>
              <w:proofErr w:type="spellEnd"/>
              <w:r w:rsidRPr="00DD1F77">
                <w:rPr>
                  <w:rStyle w:val="Hyperlink"/>
                  <w:i/>
                  <w:iCs/>
                  <w:spacing w:val="-2"/>
                  <w:sz w:val="22"/>
                  <w:szCs w:val="22"/>
                </w:rPr>
                <w:t>/42</w:t>
              </w:r>
            </w:hyperlink>
            <w:r w:rsidRPr="00DD1F77">
              <w:rPr>
                <w:i/>
                <w:iCs/>
                <w:spacing w:val="-2"/>
                <w:sz w:val="22"/>
                <w:szCs w:val="22"/>
              </w:rPr>
              <w:t xml:space="preserve">, </w:t>
            </w:r>
            <w:hyperlink r:id="rId16" w:history="1">
              <w:proofErr w:type="spellStart"/>
              <w:r w:rsidRPr="00DD1F77">
                <w:rPr>
                  <w:rStyle w:val="Hyperlink"/>
                  <w:i/>
                  <w:iCs/>
                  <w:spacing w:val="-2"/>
                  <w:sz w:val="22"/>
                  <w:szCs w:val="22"/>
                </w:rPr>
                <w:t>C26</w:t>
              </w:r>
              <w:proofErr w:type="spellEnd"/>
              <w:r w:rsidRPr="00DD1F77">
                <w:rPr>
                  <w:rStyle w:val="Hyperlink"/>
                  <w:i/>
                  <w:iCs/>
                  <w:spacing w:val="-2"/>
                  <w:sz w:val="22"/>
                  <w:szCs w:val="22"/>
                </w:rPr>
                <w:t>/24</w:t>
              </w:r>
            </w:hyperlink>
            <w:r w:rsidRPr="00DD1F77">
              <w:rPr>
                <w:i/>
                <w:iCs/>
                <w:spacing w:val="-2"/>
                <w:sz w:val="22"/>
                <w:szCs w:val="22"/>
              </w:rPr>
              <w:t xml:space="preserve"> and </w:t>
            </w:r>
            <w:hyperlink r:id="rId17" w:history="1">
              <w:proofErr w:type="spellStart"/>
              <w:r w:rsidRPr="00DD1F77">
                <w:rPr>
                  <w:rStyle w:val="Hyperlink"/>
                  <w:i/>
                  <w:iCs/>
                  <w:spacing w:val="-2"/>
                  <w:sz w:val="22"/>
                  <w:szCs w:val="22"/>
                </w:rPr>
                <w:t>C24</w:t>
              </w:r>
              <w:proofErr w:type="spellEnd"/>
              <w:r w:rsidRPr="00DD1F77">
                <w:rPr>
                  <w:rStyle w:val="Hyperlink"/>
                  <w:i/>
                  <w:iCs/>
                  <w:spacing w:val="-2"/>
                  <w:sz w:val="22"/>
                  <w:szCs w:val="22"/>
                </w:rPr>
                <w:t>/66</w:t>
              </w:r>
            </w:hyperlink>
            <w:r w:rsidRPr="00DD1F77">
              <w:rPr>
                <w:i/>
                <w:iCs/>
                <w:spacing w:val="-2"/>
                <w:sz w:val="22"/>
                <w:szCs w:val="22"/>
              </w:rPr>
              <w:t>.</w:t>
            </w:r>
          </w:p>
        </w:tc>
      </w:tr>
    </w:tbl>
    <w:p w14:paraId="541C0180" w14:textId="77777777" w:rsidR="0090147A" w:rsidRPr="006D47E7" w:rsidRDefault="0090147A">
      <w:pPr>
        <w:tabs>
          <w:tab w:val="clear" w:pos="567"/>
          <w:tab w:val="clear" w:pos="1134"/>
          <w:tab w:val="clear" w:pos="1701"/>
          <w:tab w:val="clear" w:pos="2268"/>
          <w:tab w:val="clear" w:pos="2835"/>
        </w:tabs>
        <w:overflowPunct/>
        <w:autoSpaceDE/>
        <w:autoSpaceDN/>
        <w:adjustRightInd/>
        <w:spacing w:before="0"/>
        <w:textAlignment w:val="auto"/>
        <w:rPr>
          <w:b/>
          <w:sz w:val="10"/>
          <w:szCs w:val="10"/>
        </w:rPr>
      </w:pPr>
      <w:bookmarkStart w:id="10" w:name="_Hlk133421428"/>
      <w:bookmarkEnd w:id="2"/>
      <w:bookmarkEnd w:id="9"/>
      <w:bookmarkEnd w:id="3"/>
      <w:bookmarkEnd w:id="4"/>
      <w:r w:rsidRPr="006D47E7">
        <w:rPr>
          <w:sz w:val="10"/>
          <w:szCs w:val="10"/>
        </w:rPr>
        <w:br w:type="page"/>
      </w:r>
    </w:p>
    <w:p w14:paraId="7060966C" w14:textId="6C3B6BB6" w:rsidR="00907BFC" w:rsidRDefault="00907BFC" w:rsidP="006D47E7">
      <w:pPr>
        <w:pStyle w:val="Heading1"/>
        <w:rPr>
          <w:sz w:val="24"/>
          <w:lang w:eastAsia="en-AU"/>
        </w:rPr>
      </w:pPr>
      <w:bookmarkStart w:id="11" w:name="qihohzvlpo8g" w:colFirst="0" w:colLast="0"/>
      <w:bookmarkStart w:id="12" w:name="14dxu02mqndo" w:colFirst="0" w:colLast="0"/>
      <w:bookmarkStart w:id="13" w:name="_5d8pocrq837e" w:colFirst="0" w:colLast="0"/>
      <w:bookmarkStart w:id="14" w:name="_5kgb5vba2nub" w:colFirst="0" w:colLast="0"/>
      <w:bookmarkEnd w:id="5"/>
      <w:bookmarkEnd w:id="10"/>
      <w:bookmarkEnd w:id="11"/>
      <w:bookmarkEnd w:id="12"/>
      <w:bookmarkEnd w:id="13"/>
      <w:bookmarkEnd w:id="14"/>
      <w:r>
        <w:lastRenderedPageBreak/>
        <w:t>1</w:t>
      </w:r>
      <w:r w:rsidR="006D47E7">
        <w:tab/>
      </w:r>
      <w:r>
        <w:t>Summary</w:t>
      </w:r>
    </w:p>
    <w:p w14:paraId="314D1124" w14:textId="493E5E3E" w:rsidR="00DF1EC6" w:rsidRPr="00875A71" w:rsidRDefault="00DF1EC6" w:rsidP="00875A71">
      <w:pPr>
        <w:jc w:val="both"/>
      </w:pPr>
      <w:r w:rsidRPr="00875A71">
        <w:t xml:space="preserve">This contribution invites the Council to consider establishing an ITU Area Office in the Pacific. Based on PP Resolution </w:t>
      </w:r>
      <w:hyperlink r:id="rId18" w:history="1">
        <w:r w:rsidRPr="00875A71">
          <w:rPr>
            <w:rStyle w:val="Hyperlink"/>
            <w:spacing w:val="-2"/>
          </w:rPr>
          <w:t>25 (Rev. Bucharest, 2022)</w:t>
        </w:r>
      </w:hyperlink>
      <w:r w:rsidRPr="00875A71">
        <w:t>, PwC report on ITU’s Regional Presence (</w:t>
      </w:r>
      <w:r w:rsidR="006C445E" w:rsidRPr="00875A71">
        <w:t xml:space="preserve">Document </w:t>
      </w:r>
      <w:hyperlink r:id="rId19" w:history="1">
        <w:proofErr w:type="spellStart"/>
        <w:r w:rsidRPr="00875A71">
          <w:rPr>
            <w:rStyle w:val="Hyperlink"/>
            <w:spacing w:val="-2"/>
          </w:rPr>
          <w:t>C20</w:t>
        </w:r>
        <w:proofErr w:type="spellEnd"/>
        <w:r w:rsidRPr="00875A71">
          <w:rPr>
            <w:rStyle w:val="Hyperlink"/>
            <w:spacing w:val="-2"/>
          </w:rPr>
          <w:t>/74</w:t>
        </w:r>
      </w:hyperlink>
      <w:r w:rsidRPr="00875A71">
        <w:t>), WTDC Resolution</w:t>
      </w:r>
      <w:r w:rsidR="006C445E" w:rsidRPr="00875A71">
        <w:t>s</w:t>
      </w:r>
      <w:r w:rsidRPr="00875A71">
        <w:t xml:space="preserve"> </w:t>
      </w:r>
      <w:hyperlink r:id="rId20" w:history="1">
        <w:r w:rsidRPr="00875A71">
          <w:rPr>
            <w:rStyle w:val="Hyperlink"/>
            <w:spacing w:val="-2"/>
          </w:rPr>
          <w:t>16 (Rev. Baku, 2025), 17 (Rev. Baku, 2025)</w:t>
        </w:r>
        <w:r w:rsidR="006C445E" w:rsidRPr="00875A71">
          <w:rPr>
            <w:rStyle w:val="Hyperlink"/>
            <w:spacing w:val="-2"/>
          </w:rPr>
          <w:t xml:space="preserve"> and</w:t>
        </w:r>
        <w:r w:rsidRPr="00875A71">
          <w:rPr>
            <w:rStyle w:val="Hyperlink"/>
            <w:spacing w:val="-2"/>
          </w:rPr>
          <w:t xml:space="preserve"> 94</w:t>
        </w:r>
        <w:r w:rsidR="00875A71">
          <w:rPr>
            <w:rStyle w:val="Hyperlink"/>
            <w:spacing w:val="-2"/>
          </w:rPr>
          <w:t> </w:t>
        </w:r>
        <w:r w:rsidRPr="00875A71">
          <w:rPr>
            <w:rStyle w:val="Hyperlink"/>
            <w:spacing w:val="-2"/>
          </w:rPr>
          <w:t>(Baku,</w:t>
        </w:r>
        <w:r w:rsidR="00875A71">
          <w:rPr>
            <w:rStyle w:val="Hyperlink"/>
            <w:spacing w:val="-2"/>
          </w:rPr>
          <w:t> </w:t>
        </w:r>
        <w:r w:rsidRPr="00875A71">
          <w:rPr>
            <w:rStyle w:val="Hyperlink"/>
            <w:spacing w:val="-2"/>
          </w:rPr>
          <w:t>2025)</w:t>
        </w:r>
      </w:hyperlink>
      <w:r w:rsidRPr="00875A71">
        <w:t>, ASP Regional Initiative 1, ongoing discussions on ITU regional presence (</w:t>
      </w:r>
      <w:r w:rsidR="006C445E" w:rsidRPr="00875A71">
        <w:t>Document</w:t>
      </w:r>
      <w:r w:rsidR="00875A71">
        <w:t> </w:t>
      </w:r>
      <w:proofErr w:type="spellStart"/>
      <w:r w:rsidR="008E45B8" w:rsidRPr="00875A71">
        <w:fldChar w:fldCharType="begin"/>
      </w:r>
      <w:r w:rsidR="008E45B8" w:rsidRPr="00875A71">
        <w:instrText>HYPERLINK "https://www.itu.int/md/S26-CL-C-0024/en"</w:instrText>
      </w:r>
      <w:r w:rsidR="008E45B8" w:rsidRPr="00875A71">
        <w:fldChar w:fldCharType="separate"/>
      </w:r>
      <w:r w:rsidRPr="00875A71">
        <w:rPr>
          <w:rStyle w:val="Hyperlink"/>
          <w:spacing w:val="-2"/>
        </w:rPr>
        <w:t>C26</w:t>
      </w:r>
      <w:proofErr w:type="spellEnd"/>
      <w:r w:rsidRPr="00875A71">
        <w:rPr>
          <w:rStyle w:val="Hyperlink"/>
          <w:spacing w:val="-2"/>
        </w:rPr>
        <w:t>/24</w:t>
      </w:r>
      <w:r w:rsidR="008E45B8" w:rsidRPr="00875A71">
        <w:fldChar w:fldCharType="end"/>
      </w:r>
      <w:r w:rsidRPr="00875A71">
        <w:t>) and previous Council discussions on the criteria to establish new ITU regional and area offices (</w:t>
      </w:r>
      <w:r w:rsidR="006C445E" w:rsidRPr="00875A71">
        <w:t xml:space="preserve">Document </w:t>
      </w:r>
      <w:hyperlink r:id="rId21" w:history="1">
        <w:proofErr w:type="spellStart"/>
        <w:r w:rsidRPr="00875A71">
          <w:rPr>
            <w:rStyle w:val="Hyperlink"/>
            <w:spacing w:val="-2"/>
          </w:rPr>
          <w:t>C24</w:t>
        </w:r>
        <w:proofErr w:type="spellEnd"/>
        <w:r w:rsidRPr="00875A71">
          <w:rPr>
            <w:rStyle w:val="Hyperlink"/>
            <w:spacing w:val="-2"/>
          </w:rPr>
          <w:t>/66</w:t>
        </w:r>
      </w:hyperlink>
      <w:r w:rsidRPr="00875A71">
        <w:t>), the ITU Regional Office for Asia and the Pacific conducted a Pacific needs assessment and situational analysis with the support of the Government of Australia. The summary of the needs assessment and situational analysis was presented to the 33</w:t>
      </w:r>
      <w:r w:rsidRPr="00875A71">
        <w:rPr>
          <w:vertAlign w:val="superscript"/>
        </w:rPr>
        <w:t>rd</w:t>
      </w:r>
      <w:r w:rsidRPr="00875A71">
        <w:t xml:space="preserve"> session of the </w:t>
      </w:r>
      <w:proofErr w:type="spellStart"/>
      <w:r w:rsidRPr="00875A71">
        <w:t>TDAG</w:t>
      </w:r>
      <w:proofErr w:type="spellEnd"/>
      <w:r w:rsidRPr="00875A71">
        <w:t xml:space="preserve"> in April 2026 (</w:t>
      </w:r>
      <w:proofErr w:type="spellStart"/>
      <w:r w:rsidRPr="00875A71">
        <w:t>TDAG</w:t>
      </w:r>
      <w:proofErr w:type="spellEnd"/>
      <w:r w:rsidRPr="00875A71">
        <w:t xml:space="preserve"> Annex 1 to Document</w:t>
      </w:r>
      <w:r w:rsidR="00875A71">
        <w:t> </w:t>
      </w:r>
      <w:proofErr w:type="spellStart"/>
      <w:r w:rsidR="00875A71" w:rsidRPr="00875A71">
        <w:fldChar w:fldCharType="begin"/>
      </w:r>
      <w:r w:rsidR="00875A71" w:rsidRPr="00875A71">
        <w:instrText>HYPERLINK "https://www.itu.int/dms_pub/itu-d/md/26/tdag33/c/D26-TDAG33-C-0002!N1-A1!MSW-E.docx"</w:instrText>
      </w:r>
      <w:r w:rsidR="00875A71" w:rsidRPr="00875A71">
        <w:fldChar w:fldCharType="separate"/>
      </w:r>
      <w:r w:rsidRPr="00875A71">
        <w:rPr>
          <w:rStyle w:val="Hyperlink"/>
          <w:spacing w:val="-2"/>
        </w:rPr>
        <w:t>TDAG</w:t>
      </w:r>
      <w:proofErr w:type="spellEnd"/>
      <w:r w:rsidR="008E45B8" w:rsidRPr="00875A71">
        <w:rPr>
          <w:rStyle w:val="Hyperlink"/>
          <w:spacing w:val="-2"/>
        </w:rPr>
        <w:noBreakHyphen/>
      </w:r>
      <w:r w:rsidRPr="00875A71">
        <w:rPr>
          <w:rStyle w:val="Hyperlink"/>
          <w:spacing w:val="-2"/>
        </w:rPr>
        <w:t>26/2(</w:t>
      </w:r>
      <w:proofErr w:type="spellStart"/>
      <w:r w:rsidRPr="00875A71">
        <w:rPr>
          <w:rStyle w:val="Hyperlink"/>
          <w:spacing w:val="-2"/>
        </w:rPr>
        <w:t>Add.1</w:t>
      </w:r>
      <w:proofErr w:type="spellEnd"/>
      <w:r w:rsidRPr="00875A71">
        <w:rPr>
          <w:rStyle w:val="Hyperlink"/>
          <w:spacing w:val="-2"/>
        </w:rPr>
        <w:t>)</w:t>
      </w:r>
      <w:r w:rsidR="00875A71" w:rsidRPr="00875A71">
        <w:fldChar w:fldCharType="end"/>
      </w:r>
      <w:r w:rsidRPr="00875A71">
        <w:t>).</w:t>
      </w:r>
    </w:p>
    <w:p w14:paraId="749762D9" w14:textId="77777777" w:rsidR="00DF1EC6" w:rsidRDefault="00DF1EC6" w:rsidP="006D47E7">
      <w:pPr>
        <w:jc w:val="both"/>
      </w:pPr>
      <w:r>
        <w:t xml:space="preserve">Taking into account the outcomes of the needs assessment and situational analysis, the Council is requested to approve the development of a detailed establishment plan for an ITU Area Office in the Pacific prepared by the Secretariat, guided by the criteria set out by the Council in 2025 and drawing on precedents such as the establishment of the Area Office in India. The establishment plan would include resourcing and staffing requirements, as well as a proposed location. </w:t>
      </w:r>
    </w:p>
    <w:p w14:paraId="6EB817B0" w14:textId="77777777" w:rsidR="00DF1EC6" w:rsidRDefault="00DF1EC6" w:rsidP="006D47E7">
      <w:pPr>
        <w:jc w:val="both"/>
      </w:pPr>
      <w:r>
        <w:t xml:space="preserve">The Secretariat would provide this report to the Plenipotentiary Conference in 2026 (PP-26) for its approval and Council 2027 to support progress towards establishment of an </w:t>
      </w:r>
      <w:r>
        <w:rPr>
          <w:b/>
          <w:bCs/>
        </w:rPr>
        <w:t>ITU Area Office in the Pacific</w:t>
      </w:r>
      <w:r>
        <w:t>.</w:t>
      </w:r>
    </w:p>
    <w:p w14:paraId="2771BAB1" w14:textId="0BCB359E" w:rsidR="00DF1EC6" w:rsidRDefault="00DF1EC6" w:rsidP="006D47E7">
      <w:pPr>
        <w:pStyle w:val="Heading1"/>
      </w:pPr>
      <w:r>
        <w:t>2</w:t>
      </w:r>
      <w:r w:rsidR="006D47E7">
        <w:tab/>
      </w:r>
      <w:r>
        <w:t>Background</w:t>
      </w:r>
    </w:p>
    <w:p w14:paraId="5113E69A" w14:textId="467E2AF5" w:rsidR="00DF1EC6" w:rsidRDefault="00DF1EC6" w:rsidP="006D47E7">
      <w:pPr>
        <w:jc w:val="both"/>
      </w:pPr>
      <w:r>
        <w:t>Based on the previous Council discussions on the criteria to establish new ITU regional and area offices (</w:t>
      </w:r>
      <w:r w:rsidR="006C445E">
        <w:t xml:space="preserve">Document </w:t>
      </w:r>
      <w:proofErr w:type="spellStart"/>
      <w:r>
        <w:t>C24</w:t>
      </w:r>
      <w:proofErr w:type="spellEnd"/>
      <w:r>
        <w:t>/66), the ITU Regional Office for Asia and the Pacific conducted a Pacific needs assessment and situational analysis as part of the project “Feasibility Study: Addressing the Special Telecommunications/ICT Needs of the Pacific Small Island Developing States (PSIDS)”, funded by the Department of Infrastructure, Transport, Regional Development, Communications, Sport, and the Arts (</w:t>
      </w:r>
      <w:proofErr w:type="spellStart"/>
      <w:r>
        <w:t>DITRDCSA</w:t>
      </w:r>
      <w:proofErr w:type="spellEnd"/>
      <w:r>
        <w:t xml:space="preserve">) of Australia. The study identified unique and urgent ICT and telecommunication needs of PSIDS and proposed a set of programmatic priorities, </w:t>
      </w:r>
      <w:proofErr w:type="gramStart"/>
      <w:r>
        <w:t>taking into account</w:t>
      </w:r>
      <w:proofErr w:type="gramEnd"/>
      <w:r>
        <w:t xml:space="preserve"> the vast geographical coverage, small economies, time differences with Geneva and Bangkok, among others. The findings were discussed with the representatives of PSIDS in February 2025 in Suva, Fiji, after which several rounds of updates were made to the report before the finalization. The summary of the need assessment and situational analysis was presented to the 2026 </w:t>
      </w:r>
      <w:proofErr w:type="spellStart"/>
      <w:r>
        <w:t>TDAG</w:t>
      </w:r>
      <w:proofErr w:type="spellEnd"/>
      <w:r>
        <w:t xml:space="preserve"> session as Annex 1 to Addendum 1 of the </w:t>
      </w:r>
      <w:proofErr w:type="spellStart"/>
      <w:r>
        <w:t>TDAG</w:t>
      </w:r>
      <w:proofErr w:type="spellEnd"/>
      <w:r>
        <w:t xml:space="preserve"> </w:t>
      </w:r>
      <w:r w:rsidR="006C445E">
        <w:t xml:space="preserve">Document </w:t>
      </w:r>
      <w:r>
        <w:t xml:space="preserve">2 (Annex 1 to Document </w:t>
      </w:r>
      <w:proofErr w:type="spellStart"/>
      <w:r>
        <w:t>TDAG</w:t>
      </w:r>
      <w:proofErr w:type="spellEnd"/>
      <w:r>
        <w:t>-26/2(</w:t>
      </w:r>
      <w:proofErr w:type="spellStart"/>
      <w:r>
        <w:t>Add.1</w:t>
      </w:r>
      <w:proofErr w:type="spellEnd"/>
      <w:r>
        <w:t xml:space="preserve">)). </w:t>
      </w:r>
    </w:p>
    <w:p w14:paraId="038274AC" w14:textId="77777777" w:rsidR="00DF1EC6" w:rsidRPr="007E0EF1" w:rsidRDefault="00DF1EC6" w:rsidP="006D47E7">
      <w:pPr>
        <w:jc w:val="both"/>
      </w:pPr>
      <w:r w:rsidRPr="007E0EF1">
        <w:t>The needs assessment and situation</w:t>
      </w:r>
      <w:r>
        <w:t>al</w:t>
      </w:r>
      <w:r w:rsidRPr="007E0EF1">
        <w:t xml:space="preserve"> analysis found that the PSIDS face structural and contextual challenges that continue to hinder their digital transformation. Core infrastructure gaps, including low and uneven broadband penetration, reliance on single undersea cables, and limited rural access, constrain connectivity. Affordability remains a significant barrier, with internet costs far exceeding global targets and consuming a disproportionate share of household income in several countries. Fragmented regulatory environments and limited harmonization across jurisdictions further discourage private investment and complicate regional cooperation.</w:t>
      </w:r>
    </w:p>
    <w:p w14:paraId="3EC28BFA" w14:textId="77777777" w:rsidR="00DF1EC6" w:rsidRPr="007E0EF1" w:rsidRDefault="00DF1EC6" w:rsidP="006D47E7">
      <w:pPr>
        <w:jc w:val="both"/>
      </w:pPr>
      <w:r w:rsidRPr="007E0EF1">
        <w:t xml:space="preserve">Capacity constraints deepen the digital divide. Most PSIDS face a shortage of skilled ICT professionals and limited institutional capacity, affecting the development and maintenance </w:t>
      </w:r>
      <w:r w:rsidRPr="007E0EF1">
        <w:lastRenderedPageBreak/>
        <w:t>of digital services. Cybersecurity preparedness is weak, e-waste management systems are underdeveloped, and digital infrastructure is highly vulnerable to climate-related disruptions. These challenges are compounded by high capital costs, financial dependence on external support, and uneven progress in digital government, where human capital exists but often lacks the enabling systems for effective service delivery.</w:t>
      </w:r>
    </w:p>
    <w:p w14:paraId="4880D714" w14:textId="77777777" w:rsidR="00DF1EC6" w:rsidRPr="007E0EF1" w:rsidRDefault="00DF1EC6" w:rsidP="006D47E7">
      <w:pPr>
        <w:jc w:val="both"/>
      </w:pPr>
      <w:r w:rsidRPr="007E0EF1">
        <w:t>Despite these constraints, digital transformation is widely recognized as a critical enabler of sustainable development. Encouraging progress has been made, mobile penetration is rising, internet usage is expanding, and many countries are developing ICT strategies, digital government services, and cybersecurity frameworks. This affirms that digital transformation is not only central to inclusive growth but also essential for building resilience and fostering sub-regional integration.</w:t>
      </w:r>
    </w:p>
    <w:p w14:paraId="11C7EB44" w14:textId="77777777" w:rsidR="00DF1EC6" w:rsidRPr="007E0EF1" w:rsidRDefault="00DF1EC6" w:rsidP="006D47E7">
      <w:pPr>
        <w:jc w:val="both"/>
      </w:pPr>
      <w:r w:rsidRPr="007E0EF1">
        <w:t>However, the subregion’s heavy reliance on development support remains. ITU, with its longstanding role as a trusted technical partner, has played a pivotal role through policy guidance, capacity building, and the promotion of inclusive and resilient connectivity. Yet, as the digital needs of PSIDS grow more complex, driven by climate risks, natural hazards, emerging technologies, and rising public expectations, stakeholders increasingly recognize the value of a more embedded, sub-regionally tailored delivery model for greater impact.</w:t>
      </w:r>
    </w:p>
    <w:p w14:paraId="3D9950BE" w14:textId="77777777" w:rsidR="00DF1EC6" w:rsidRPr="007E0EF1" w:rsidRDefault="00DF1EC6" w:rsidP="006D47E7">
      <w:pPr>
        <w:jc w:val="both"/>
      </w:pPr>
      <w:r w:rsidRPr="007E0EF1">
        <w:t xml:space="preserve">This sentiment is echoed in the Pacific consensus and outcomes, most notably the 2023 Pacific ICT Ministers’ </w:t>
      </w:r>
      <w:proofErr w:type="spellStart"/>
      <w:r w:rsidRPr="007E0EF1">
        <w:t>Lagatoi</w:t>
      </w:r>
      <w:proofErr w:type="spellEnd"/>
      <w:r w:rsidRPr="007E0EF1">
        <w:t xml:space="preserve"> Declaration, which called on partners including ITU to strengthen their presence and deepen engagement in the Pacific. This provides a clear mandate to explore enhanced and sustained support mechanisms in the subregion.</w:t>
      </w:r>
    </w:p>
    <w:p w14:paraId="3DBB55FA" w14:textId="14371CF5" w:rsidR="00DF1EC6" w:rsidRPr="00875A71" w:rsidRDefault="00DF1EC6" w:rsidP="006D47E7">
      <w:pPr>
        <w:jc w:val="both"/>
        <w:rPr>
          <w:spacing w:val="-2"/>
        </w:rPr>
      </w:pPr>
      <w:r w:rsidRPr="00875A71">
        <w:rPr>
          <w:spacing w:val="-2"/>
        </w:rPr>
        <w:t xml:space="preserve">Individual PSIDS, due to size and capacity limitations, cannot sustainably manage complex digital transformation programmes alone. A subregional approach, coordination and cooperation offer a more viable and cost-effective path forward to address the challenges and opportunities unique to the Pacific context. An integrated approach for the Pacific would also be very well aligned with the vision of the </w:t>
      </w:r>
      <w:proofErr w:type="spellStart"/>
      <w:r w:rsidRPr="00875A71">
        <w:rPr>
          <w:spacing w:val="-2"/>
        </w:rPr>
        <w:t>Lagatoi</w:t>
      </w:r>
      <w:proofErr w:type="spellEnd"/>
      <w:r w:rsidRPr="00875A71">
        <w:rPr>
          <w:spacing w:val="-2"/>
        </w:rPr>
        <w:t xml:space="preserve"> </w:t>
      </w:r>
      <w:r w:rsidR="005A0FFD" w:rsidRPr="00875A71">
        <w:rPr>
          <w:spacing w:val="-2"/>
        </w:rPr>
        <w:t>Declaration</w:t>
      </w:r>
      <w:r w:rsidRPr="00875A71">
        <w:rPr>
          <w:spacing w:val="-2"/>
        </w:rPr>
        <w:t>. Such an integrated subregional approach would be best implemented with the ITU presence in the Pacific in the same time zones.</w:t>
      </w:r>
    </w:p>
    <w:p w14:paraId="56DE2033" w14:textId="4B91B38C" w:rsidR="00DF1EC6" w:rsidRDefault="00DF1EC6" w:rsidP="006D47E7">
      <w:pPr>
        <w:pStyle w:val="Heading1"/>
      </w:pPr>
      <w:r>
        <w:t>3</w:t>
      </w:r>
      <w:r w:rsidR="00EA054C">
        <w:tab/>
      </w:r>
      <w:r>
        <w:t>Considerations</w:t>
      </w:r>
    </w:p>
    <w:p w14:paraId="22863034" w14:textId="5D8EFDB0" w:rsidR="00DF1EC6" w:rsidRDefault="00DF1EC6" w:rsidP="006D47E7">
      <w:pPr>
        <w:pStyle w:val="Heading2"/>
      </w:pPr>
      <w:r>
        <w:t>3.1</w:t>
      </w:r>
      <w:r w:rsidR="00EA054C">
        <w:tab/>
      </w:r>
      <w:r>
        <w:t xml:space="preserve">Alignment with Council 2025 </w:t>
      </w:r>
      <w:r w:rsidR="006C445E">
        <w:t xml:space="preserve">criteria for opening a new </w:t>
      </w:r>
      <w:r>
        <w:t>Area Office</w:t>
      </w:r>
    </w:p>
    <w:p w14:paraId="10F3EF0B" w14:textId="76292C7C" w:rsidR="00DF1EC6" w:rsidRPr="005A0FFD" w:rsidRDefault="00DF1EC6" w:rsidP="00EA054C">
      <w:pPr>
        <w:jc w:val="both"/>
        <w:rPr>
          <w:spacing w:val="-2"/>
        </w:rPr>
      </w:pPr>
      <w:r w:rsidRPr="005A0FFD">
        <w:rPr>
          <w:spacing w:val="-2"/>
        </w:rPr>
        <w:t xml:space="preserve">The 2025 session of the Council approved the criteria for the opening of new Area Office of ITU. Taking into consideration the approved criteria and outcomes of the consultations and ongoing discussions, the establishment plan of the Pacific Area Office could consider </w:t>
      </w:r>
      <w:r w:rsidR="00875A71" w:rsidRPr="005A0FFD">
        <w:rPr>
          <w:spacing w:val="-2"/>
        </w:rPr>
        <w:t xml:space="preserve">two </w:t>
      </w:r>
      <w:r w:rsidRPr="005A0FFD">
        <w:rPr>
          <w:spacing w:val="-2"/>
        </w:rPr>
        <w:t>options:</w:t>
      </w:r>
    </w:p>
    <w:p w14:paraId="79263CA7" w14:textId="1D1D94AE" w:rsidR="00DF1EC6" w:rsidRPr="00EA054C" w:rsidRDefault="00EA054C" w:rsidP="00EA054C">
      <w:pPr>
        <w:pStyle w:val="enumlev1"/>
      </w:pPr>
      <w:r>
        <w:t>–</w:t>
      </w:r>
      <w:r>
        <w:tab/>
      </w:r>
      <w:r w:rsidR="00DF1EC6" w:rsidRPr="00EA054C">
        <w:t>Fiji</w:t>
      </w:r>
    </w:p>
    <w:p w14:paraId="4AF1D3B2" w14:textId="64D03BB8" w:rsidR="00DF1EC6" w:rsidRPr="00EA054C" w:rsidRDefault="00EA054C" w:rsidP="00EA054C">
      <w:pPr>
        <w:pStyle w:val="enumlev1"/>
      </w:pPr>
      <w:r>
        <w:rPr>
          <w:rFonts w:eastAsia="Calibri"/>
        </w:rPr>
        <w:t>–</w:t>
      </w:r>
      <w:r>
        <w:rPr>
          <w:rFonts w:eastAsia="Calibri"/>
        </w:rPr>
        <w:tab/>
      </w:r>
      <w:r w:rsidR="00DF1EC6" w:rsidRPr="00EA054C">
        <w:t>Fiji and/or Samoa, Tonga and PNG (using a distributed staffing model)</w:t>
      </w:r>
      <w:r>
        <w:t>.</w:t>
      </w:r>
    </w:p>
    <w:p w14:paraId="3A532569" w14:textId="77777777" w:rsidR="00DF1EC6" w:rsidRDefault="00DF1EC6" w:rsidP="00EA054C">
      <w:pPr>
        <w:jc w:val="both"/>
      </w:pPr>
      <w:r>
        <w:t>As part of the aforementioned project, the financial details are being collected and analysed in the feasibility assessment.</w:t>
      </w:r>
    </w:p>
    <w:p w14:paraId="22CF0D81" w14:textId="0D7BE0A4" w:rsidR="00DF1EC6" w:rsidRDefault="00DF1EC6" w:rsidP="006D47E7">
      <w:pPr>
        <w:pStyle w:val="Heading2"/>
      </w:pPr>
      <w:r>
        <w:t>3.2</w:t>
      </w:r>
      <w:r w:rsidR="00EA054C">
        <w:tab/>
      </w:r>
      <w:r>
        <w:t xml:space="preserve">Strategic </w:t>
      </w:r>
      <w:r w:rsidR="00875A71">
        <w:t>importance</w:t>
      </w:r>
    </w:p>
    <w:p w14:paraId="7C45D7F7" w14:textId="77777777" w:rsidR="00DF1EC6" w:rsidRDefault="00DF1EC6" w:rsidP="005A0FFD">
      <w:pPr>
        <w:keepNext/>
        <w:jc w:val="both"/>
      </w:pPr>
      <w:r>
        <w:t>Based on the needs assessment and situational analysis, an Area Office in the Pacific is expected to bring the below benefits among others:</w:t>
      </w:r>
    </w:p>
    <w:p w14:paraId="1E7B1139" w14:textId="0E287486" w:rsidR="00DF1EC6" w:rsidRPr="00EA054C" w:rsidRDefault="00EA054C" w:rsidP="00EA054C">
      <w:pPr>
        <w:pStyle w:val="enumlev1"/>
        <w:jc w:val="both"/>
      </w:pPr>
      <w:r>
        <w:t>–</w:t>
      </w:r>
      <w:r>
        <w:tab/>
      </w:r>
      <w:r w:rsidRPr="00EA054C">
        <w:t xml:space="preserve">bring </w:t>
      </w:r>
      <w:r w:rsidR="00DF1EC6" w:rsidRPr="00EA054C">
        <w:t>ITU closer to SIDS to accelerate digital transformation efforts and enable technical cooperation and collaboration in the same time zones;</w:t>
      </w:r>
    </w:p>
    <w:p w14:paraId="72508029" w14:textId="5CFFE3B7" w:rsidR="00DF1EC6" w:rsidRPr="00EA054C" w:rsidRDefault="00EA054C" w:rsidP="00EA054C">
      <w:pPr>
        <w:pStyle w:val="enumlev1"/>
        <w:jc w:val="both"/>
      </w:pPr>
      <w:r>
        <w:lastRenderedPageBreak/>
        <w:t>–</w:t>
      </w:r>
      <w:r>
        <w:tab/>
      </w:r>
      <w:r w:rsidRPr="00EA054C">
        <w:t xml:space="preserve">strengthen </w:t>
      </w:r>
      <w:r w:rsidR="00DF1EC6" w:rsidRPr="00EA054C">
        <w:t>provision of tailored support in critical and priority areas of the PSIDS such as emergency telecommunication, infrastructure development, and their participation and engagement in standardization and radiocommunication;</w:t>
      </w:r>
    </w:p>
    <w:p w14:paraId="1551978A" w14:textId="4C4D5B75" w:rsidR="00DF1EC6" w:rsidRPr="00EA054C" w:rsidRDefault="00EA054C" w:rsidP="00EA054C">
      <w:pPr>
        <w:pStyle w:val="enumlev1"/>
        <w:jc w:val="both"/>
      </w:pPr>
      <w:r>
        <w:t>–</w:t>
      </w:r>
      <w:r>
        <w:tab/>
      </w:r>
      <w:r w:rsidRPr="00EA054C">
        <w:t xml:space="preserve">enable </w:t>
      </w:r>
      <w:r w:rsidR="00DF1EC6" w:rsidRPr="00EA054C">
        <w:t>more efficient project implementation and donor coordination;</w:t>
      </w:r>
    </w:p>
    <w:p w14:paraId="762F394F" w14:textId="52BB5ED5" w:rsidR="00DF1EC6" w:rsidRPr="00EA054C" w:rsidRDefault="00EA054C" w:rsidP="00EA054C">
      <w:pPr>
        <w:pStyle w:val="enumlev1"/>
        <w:jc w:val="both"/>
      </w:pPr>
      <w:r>
        <w:t>–</w:t>
      </w:r>
      <w:r>
        <w:tab/>
      </w:r>
      <w:r w:rsidRPr="00EA054C">
        <w:t xml:space="preserve">enhance </w:t>
      </w:r>
      <w:r w:rsidR="00DF1EC6" w:rsidRPr="00EA054C">
        <w:t>visibility and uptake of ITU standards, tools, and programmes.</w:t>
      </w:r>
    </w:p>
    <w:p w14:paraId="0CB6840A" w14:textId="7CC58EBE" w:rsidR="00DF1EC6" w:rsidRDefault="00DF1EC6" w:rsidP="006D47E7">
      <w:pPr>
        <w:pStyle w:val="Heading2"/>
      </w:pPr>
      <w:r>
        <w:t>3.3</w:t>
      </w:r>
      <w:r w:rsidR="00EA054C">
        <w:tab/>
      </w:r>
      <w:r>
        <w:t xml:space="preserve">Staffing </w:t>
      </w:r>
      <w:r w:rsidR="00875A71">
        <w:t>requirements</w:t>
      </w:r>
    </w:p>
    <w:p w14:paraId="50F41C51" w14:textId="77777777" w:rsidR="00DF1EC6" w:rsidRDefault="00DF1EC6" w:rsidP="00EA054C">
      <w:pPr>
        <w:jc w:val="both"/>
      </w:pPr>
      <w:r>
        <w:t>A minimum staffing complement is required to ensure that the Office can operate effectively:</w:t>
      </w:r>
    </w:p>
    <w:p w14:paraId="3FEF4178" w14:textId="7CF90CFA" w:rsidR="00DF1EC6" w:rsidRDefault="00907BFC" w:rsidP="006D47E7">
      <w:pPr>
        <w:pStyle w:val="enumlev1"/>
      </w:pPr>
      <w:r>
        <w:t>1</w:t>
      </w:r>
      <w:r>
        <w:tab/>
      </w:r>
      <w:r w:rsidR="00DF1EC6">
        <w:t>Head of Area Office (</w:t>
      </w:r>
      <w:proofErr w:type="spellStart"/>
      <w:r w:rsidR="00DF1EC6">
        <w:t>P5</w:t>
      </w:r>
      <w:proofErr w:type="spellEnd"/>
      <w:r w:rsidR="00DF1EC6">
        <w:t>)</w:t>
      </w:r>
    </w:p>
    <w:p w14:paraId="58AF5D9A" w14:textId="7973C588" w:rsidR="00DF1EC6" w:rsidRDefault="00907BFC" w:rsidP="006D47E7">
      <w:pPr>
        <w:pStyle w:val="enumlev1"/>
      </w:pPr>
      <w:r>
        <w:t>2</w:t>
      </w:r>
      <w:r>
        <w:tab/>
      </w:r>
      <w:r w:rsidR="00DF1EC6">
        <w:t>Programme Officer (</w:t>
      </w:r>
      <w:proofErr w:type="spellStart"/>
      <w:r w:rsidR="00DF1EC6">
        <w:t>P3</w:t>
      </w:r>
      <w:proofErr w:type="spellEnd"/>
      <w:r w:rsidR="00DF1EC6">
        <w:t>)</w:t>
      </w:r>
    </w:p>
    <w:p w14:paraId="5AA6C1F3" w14:textId="696DF634" w:rsidR="00DF1EC6" w:rsidRDefault="00907BFC" w:rsidP="006D47E7">
      <w:pPr>
        <w:pStyle w:val="enumlev1"/>
      </w:pPr>
      <w:r>
        <w:t>3</w:t>
      </w:r>
      <w:r>
        <w:tab/>
      </w:r>
      <w:r w:rsidR="00DF1EC6">
        <w:t>Administrative/Operations Officer (</w:t>
      </w:r>
      <w:proofErr w:type="spellStart"/>
      <w:r w:rsidR="00DF1EC6">
        <w:t>G5</w:t>
      </w:r>
      <w:proofErr w:type="spellEnd"/>
      <w:r w:rsidR="00DF1EC6">
        <w:t>)</w:t>
      </w:r>
      <w:r w:rsidR="006C445E">
        <w:t>.</w:t>
      </w:r>
    </w:p>
    <w:p w14:paraId="4A6B5B6C" w14:textId="77777777" w:rsidR="00DF1EC6" w:rsidRDefault="00DF1EC6" w:rsidP="00EA054C">
      <w:pPr>
        <w:jc w:val="both"/>
      </w:pPr>
      <w:r>
        <w:t>This model mirrors other Area Offices and ensures both technical and administrative capacity.</w:t>
      </w:r>
    </w:p>
    <w:p w14:paraId="139F1767" w14:textId="500F58BC" w:rsidR="00DF1EC6" w:rsidRDefault="00DF1EC6" w:rsidP="00EA054C">
      <w:pPr>
        <w:jc w:val="both"/>
      </w:pPr>
      <w:r>
        <w:t>Taking into account the CHF 10.8 million surplus reported in the current financial period (</w:t>
      </w:r>
      <w:r w:rsidR="008E45B8">
        <w:t xml:space="preserve">Document </w:t>
      </w:r>
      <w:hyperlink r:id="rId22" w:history="1">
        <w:proofErr w:type="spellStart"/>
        <w:r w:rsidRPr="00875A71">
          <w:rPr>
            <w:rStyle w:val="Hyperlink"/>
          </w:rPr>
          <w:t>C26</w:t>
        </w:r>
        <w:proofErr w:type="spellEnd"/>
        <w:r w:rsidRPr="00875A71">
          <w:rPr>
            <w:rStyle w:val="Hyperlink"/>
          </w:rPr>
          <w:t>/42</w:t>
        </w:r>
      </w:hyperlink>
      <w:r>
        <w:t>) and pending PP-26 approval, the establishment of 3 posts in the Area Office could be supported through a portion of the funding allocated to supporting Regional Initiatives (CHF 1.3 million).</w:t>
      </w:r>
    </w:p>
    <w:p w14:paraId="2DC31F7A" w14:textId="77777777" w:rsidR="007A3FCD" w:rsidRPr="007A3FCD" w:rsidRDefault="007A3FCD" w:rsidP="0032202E">
      <w:pPr>
        <w:pStyle w:val="Reasons"/>
        <w:rPr>
          <w:rFonts w:asciiTheme="minorHAnsi" w:hAnsiTheme="minorHAnsi" w:cstheme="minorHAnsi"/>
        </w:rPr>
      </w:pPr>
    </w:p>
    <w:p w14:paraId="319B4C5C" w14:textId="77777777" w:rsidR="007A3FCD" w:rsidRPr="00C0458D" w:rsidRDefault="007A3FCD" w:rsidP="007A3FCD">
      <w:pPr>
        <w:jc w:val="center"/>
      </w:pPr>
      <w:r>
        <w:t>______________</w:t>
      </w:r>
    </w:p>
    <w:sectPr w:rsidR="007A3FCD" w:rsidRPr="00C0458D" w:rsidSect="00DD1F77">
      <w:footerReference w:type="default" r:id="rId23"/>
      <w:headerReference w:type="first" r:id="rId24"/>
      <w:footerReference w:type="first" r:id="rId25"/>
      <w:pgSz w:w="11907" w:h="16834"/>
      <w:pgMar w:top="1247" w:right="1418" w:bottom="1247" w:left="1418"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C61F" w14:textId="77777777" w:rsidR="00DF1EC6" w:rsidRDefault="00DF1EC6">
      <w:r>
        <w:separator/>
      </w:r>
    </w:p>
  </w:endnote>
  <w:endnote w:type="continuationSeparator" w:id="0">
    <w:p w14:paraId="60499BDE" w14:textId="77777777" w:rsidR="00DF1EC6" w:rsidRDefault="00DF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5002EFF" w:usb1="C200ACFF"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7005BAF" w14:textId="77777777" w:rsidTr="0042469C">
      <w:trPr>
        <w:jc w:val="center"/>
      </w:trPr>
      <w:tc>
        <w:tcPr>
          <w:tcW w:w="1803" w:type="dxa"/>
          <w:vAlign w:val="center"/>
        </w:tcPr>
        <w:p w14:paraId="6CF7FEC4" w14:textId="77777777" w:rsidR="00EE49E8" w:rsidRDefault="00C6520B" w:rsidP="00EE49E8">
          <w:pPr>
            <w:pStyle w:val="Header"/>
            <w:jc w:val="left"/>
            <w:rPr>
              <w:noProof/>
            </w:rPr>
          </w:pPr>
          <w:r>
            <w:rPr>
              <w:noProof/>
            </w:rPr>
            <w:t>gDoc #</w:t>
          </w:r>
        </w:p>
      </w:tc>
      <w:tc>
        <w:tcPr>
          <w:tcW w:w="8261" w:type="dxa"/>
        </w:tcPr>
        <w:p w14:paraId="00F58BC9" w14:textId="43C83A8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D47E7">
            <w:rPr>
              <w:bCs/>
            </w:rPr>
            <w:t>85</w:t>
          </w:r>
          <w:r w:rsidRPr="00623AE3">
            <w:rPr>
              <w:bCs/>
            </w:rPr>
            <w:t>-E</w:t>
          </w:r>
          <w:r>
            <w:rPr>
              <w:bCs/>
            </w:rPr>
            <w:tab/>
          </w:r>
          <w:r>
            <w:fldChar w:fldCharType="begin"/>
          </w:r>
          <w:r>
            <w:instrText>PAGE</w:instrText>
          </w:r>
          <w:r>
            <w:fldChar w:fldCharType="separate"/>
          </w:r>
          <w:r>
            <w:t>1</w:t>
          </w:r>
          <w:r>
            <w:rPr>
              <w:noProof/>
            </w:rPr>
            <w:fldChar w:fldCharType="end"/>
          </w:r>
        </w:p>
      </w:tc>
    </w:tr>
  </w:tbl>
  <w:p w14:paraId="13CA3539"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20EE80E" w14:textId="77777777" w:rsidTr="006B77F1">
      <w:trPr>
        <w:jc w:val="center"/>
      </w:trPr>
      <w:tc>
        <w:tcPr>
          <w:tcW w:w="1803" w:type="dxa"/>
          <w:vAlign w:val="center"/>
        </w:tcPr>
        <w:p w14:paraId="06C225E2"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6133FA1C" w14:textId="5BB68F2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6D47E7">
            <w:rPr>
              <w:bCs/>
            </w:rPr>
            <w:t>85</w:t>
          </w:r>
          <w:r w:rsidRPr="00623AE3">
            <w:rPr>
              <w:bCs/>
            </w:rPr>
            <w:t>-E</w:t>
          </w:r>
          <w:r>
            <w:rPr>
              <w:bCs/>
            </w:rPr>
            <w:tab/>
          </w:r>
          <w:r>
            <w:fldChar w:fldCharType="begin"/>
          </w:r>
          <w:r>
            <w:instrText>PAGE</w:instrText>
          </w:r>
          <w:r>
            <w:fldChar w:fldCharType="separate"/>
          </w:r>
          <w:r>
            <w:t>1</w:t>
          </w:r>
          <w:r>
            <w:rPr>
              <w:noProof/>
            </w:rPr>
            <w:fldChar w:fldCharType="end"/>
          </w:r>
        </w:p>
      </w:tc>
    </w:tr>
  </w:tbl>
  <w:p w14:paraId="30E9196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5542" w14:textId="77777777" w:rsidR="00DF1EC6" w:rsidRDefault="00DF1EC6">
      <w:r>
        <w:t>____________________</w:t>
      </w:r>
    </w:p>
  </w:footnote>
  <w:footnote w:type="continuationSeparator" w:id="0">
    <w:p w14:paraId="258EED09" w14:textId="77777777" w:rsidR="00DF1EC6" w:rsidRDefault="00DF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72DE"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D27208"/>
    <w:multiLevelType w:val="multilevel"/>
    <w:tmpl w:val="E468E610"/>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9F6514A"/>
    <w:multiLevelType w:val="multilevel"/>
    <w:tmpl w:val="744AB02A"/>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C3E3C5B"/>
    <w:multiLevelType w:val="multilevel"/>
    <w:tmpl w:val="67DCBBD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5C987396"/>
    <w:multiLevelType w:val="multilevel"/>
    <w:tmpl w:val="1E9A44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374816267">
    <w:abstractNumId w:val="0"/>
  </w:num>
  <w:num w:numId="2" w16cid:durableId="1529760477">
    <w:abstractNumId w:val="2"/>
  </w:num>
  <w:num w:numId="3" w16cid:durableId="1392466005">
    <w:abstractNumId w:val="3"/>
  </w:num>
  <w:num w:numId="4" w16cid:durableId="280645776">
    <w:abstractNumId w:val="1"/>
  </w:num>
  <w:num w:numId="5" w16cid:durableId="135314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C6"/>
    <w:rsid w:val="00004A6F"/>
    <w:rsid w:val="000210D4"/>
    <w:rsid w:val="0006007D"/>
    <w:rsid w:val="00063016"/>
    <w:rsid w:val="00066795"/>
    <w:rsid w:val="00076AF6"/>
    <w:rsid w:val="00084ABF"/>
    <w:rsid w:val="00085CF2"/>
    <w:rsid w:val="000B1705"/>
    <w:rsid w:val="000D75B2"/>
    <w:rsid w:val="000E372C"/>
    <w:rsid w:val="000F5DDB"/>
    <w:rsid w:val="001121F5"/>
    <w:rsid w:val="00137946"/>
    <w:rsid w:val="001400DC"/>
    <w:rsid w:val="00140CE1"/>
    <w:rsid w:val="0015189A"/>
    <w:rsid w:val="0017539C"/>
    <w:rsid w:val="00175AC2"/>
    <w:rsid w:val="0017609F"/>
    <w:rsid w:val="00176F47"/>
    <w:rsid w:val="001A3154"/>
    <w:rsid w:val="001A62F2"/>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1467E"/>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34AF9"/>
    <w:rsid w:val="00552A65"/>
    <w:rsid w:val="00564FBC"/>
    <w:rsid w:val="00575D73"/>
    <w:rsid w:val="005800BC"/>
    <w:rsid w:val="00582442"/>
    <w:rsid w:val="005A0FFD"/>
    <w:rsid w:val="005F3269"/>
    <w:rsid w:val="006001AE"/>
    <w:rsid w:val="0061071E"/>
    <w:rsid w:val="00623AE3"/>
    <w:rsid w:val="0064737F"/>
    <w:rsid w:val="006535F1"/>
    <w:rsid w:val="0065557D"/>
    <w:rsid w:val="00660D50"/>
    <w:rsid w:val="00662984"/>
    <w:rsid w:val="006716BB"/>
    <w:rsid w:val="006A2F4B"/>
    <w:rsid w:val="006B1859"/>
    <w:rsid w:val="006B6680"/>
    <w:rsid w:val="006B6DCC"/>
    <w:rsid w:val="006B77F1"/>
    <w:rsid w:val="006C445E"/>
    <w:rsid w:val="006D47E7"/>
    <w:rsid w:val="00702DEF"/>
    <w:rsid w:val="00706861"/>
    <w:rsid w:val="00722551"/>
    <w:rsid w:val="0075051B"/>
    <w:rsid w:val="00765C89"/>
    <w:rsid w:val="0077110E"/>
    <w:rsid w:val="00793188"/>
    <w:rsid w:val="00794D34"/>
    <w:rsid w:val="007A3FCD"/>
    <w:rsid w:val="007B19CF"/>
    <w:rsid w:val="007D01AF"/>
    <w:rsid w:val="00813E5E"/>
    <w:rsid w:val="0083581B"/>
    <w:rsid w:val="0084546D"/>
    <w:rsid w:val="00863874"/>
    <w:rsid w:val="00864AFF"/>
    <w:rsid w:val="00865925"/>
    <w:rsid w:val="00875A71"/>
    <w:rsid w:val="008B4A6A"/>
    <w:rsid w:val="008C7E27"/>
    <w:rsid w:val="008E45B8"/>
    <w:rsid w:val="008F7448"/>
    <w:rsid w:val="0090147A"/>
    <w:rsid w:val="00907BFC"/>
    <w:rsid w:val="009173EF"/>
    <w:rsid w:val="00932906"/>
    <w:rsid w:val="00954C49"/>
    <w:rsid w:val="00961B0B"/>
    <w:rsid w:val="00962D33"/>
    <w:rsid w:val="009842A1"/>
    <w:rsid w:val="0099147B"/>
    <w:rsid w:val="009A76A8"/>
    <w:rsid w:val="009B38C3"/>
    <w:rsid w:val="009E17BD"/>
    <w:rsid w:val="009E485A"/>
    <w:rsid w:val="00A04CEC"/>
    <w:rsid w:val="00A109AF"/>
    <w:rsid w:val="00A24614"/>
    <w:rsid w:val="00A27F92"/>
    <w:rsid w:val="00A32257"/>
    <w:rsid w:val="00A35095"/>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12C9B"/>
    <w:rsid w:val="00D22C42"/>
    <w:rsid w:val="00D65041"/>
    <w:rsid w:val="00DB1936"/>
    <w:rsid w:val="00DB384B"/>
    <w:rsid w:val="00DD1F77"/>
    <w:rsid w:val="00DE532B"/>
    <w:rsid w:val="00DF0189"/>
    <w:rsid w:val="00DF1EC6"/>
    <w:rsid w:val="00E06FD5"/>
    <w:rsid w:val="00E10E80"/>
    <w:rsid w:val="00E124F0"/>
    <w:rsid w:val="00E227F3"/>
    <w:rsid w:val="00E545C6"/>
    <w:rsid w:val="00E60F04"/>
    <w:rsid w:val="00E65B24"/>
    <w:rsid w:val="00E854E4"/>
    <w:rsid w:val="00E86DBF"/>
    <w:rsid w:val="00E950BD"/>
    <w:rsid w:val="00E969AF"/>
    <w:rsid w:val="00EA054C"/>
    <w:rsid w:val="00EB0D6F"/>
    <w:rsid w:val="00EB223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770F"/>
  <w15:docId w15:val="{7A3B0E55-7BD0-4F26-8326-FA703004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uiPriority w:val="9"/>
    <w:qFormat/>
    <w:rsid w:val="00B9131F"/>
    <w:pPr>
      <w:spacing w:before="240"/>
      <w:outlineLvl w:val="1"/>
    </w:pPr>
    <w:rPr>
      <w:sz w:val="24"/>
    </w:rPr>
  </w:style>
  <w:style w:type="paragraph" w:styleId="Heading3">
    <w:name w:val="heading 3"/>
    <w:basedOn w:val="Heading1"/>
    <w:next w:val="Normal"/>
    <w:uiPriority w:val="9"/>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84ABF"/>
    <w:pPr>
      <w:framePr w:hSpace="181" w:wrap="around" w:vAnchor="page" w:hAnchor="page" w:x="1589" w:y="2314"/>
      <w:spacing w:before="360"/>
    </w:pPr>
    <w:rPr>
      <w:rFonts w:cs="Times New Roman Bold"/>
      <w:b/>
      <w:spacing w:val="-2"/>
      <w:sz w:val="31"/>
      <w:szCs w:val="31"/>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66/en" TargetMode="External"/><Relationship Id="rId13" Type="http://schemas.openxmlformats.org/officeDocument/2006/relationships/hyperlink" Target="https://www.itu.int/dms_pub/itu-d/md/26/tdag33/c/D26-TDAG33-C-0002!N1-A1!MSW-E.docx" TargetMode="External"/><Relationship Id="rId18" Type="http://schemas.openxmlformats.org/officeDocument/2006/relationships/hyperlink" Target="https://www.itu.int/en/council/Documents/basic-texts-2023/RES-025-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S24-CL-C-0066/en" TargetMode="External"/><Relationship Id="rId7" Type="http://schemas.openxmlformats.org/officeDocument/2006/relationships/endnotes" Target="endnotes.xml"/><Relationship Id="rId12" Type="http://schemas.openxmlformats.org/officeDocument/2006/relationships/hyperlink" Target="https://www.itu.int/md/S20-CL-C-0074/en" TargetMode="External"/><Relationship Id="rId17" Type="http://schemas.openxmlformats.org/officeDocument/2006/relationships/hyperlink" Target="https://www.itu.int/md/S24-CL-C-0066/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6-CL-C-0024/en" TargetMode="External"/><Relationship Id="rId20" Type="http://schemas.openxmlformats.org/officeDocument/2006/relationships/hyperlink" Target="https://www.itu.int/pub/D-TDC-WTDC-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58-E.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6-CL-C-0042/en" TargetMode="External"/><Relationship Id="rId23" Type="http://schemas.openxmlformats.org/officeDocument/2006/relationships/footer" Target="footer1.xml"/><Relationship Id="rId10" Type="http://schemas.openxmlformats.org/officeDocument/2006/relationships/hyperlink" Target="https://www.itu.int/en/council/Documents/basic-texts-2023/RES-025-E.pdf" TargetMode="External"/><Relationship Id="rId19" Type="http://schemas.openxmlformats.org/officeDocument/2006/relationships/hyperlink" Target="https://www.itu.int/md/S20-CL-C-0074/en" TargetMode="External"/><Relationship Id="rId4" Type="http://schemas.openxmlformats.org/officeDocument/2006/relationships/settings" Target="settings.xml"/><Relationship Id="rId9" Type="http://schemas.openxmlformats.org/officeDocument/2006/relationships/hyperlink" Target="https://www.itu.int/md/S20-CL-C-0074/en" TargetMode="External"/><Relationship Id="rId14" Type="http://schemas.openxmlformats.org/officeDocument/2006/relationships/hyperlink" Target="https://www.itu.int/pub/D-TDC-WTDC-2025" TargetMode="External"/><Relationship Id="rId22" Type="http://schemas.openxmlformats.org/officeDocument/2006/relationships/hyperlink" Target="https://www.itu.int/md/S26-CL-C-0042/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147</TotalTime>
  <Pages>4</Pages>
  <Words>1469</Words>
  <Characters>9774</Characters>
  <Application>Microsoft Office Word</Application>
  <DocSecurity>0</DocSecurity>
  <Lines>195</Lines>
  <Paragraphs>123</Paragraphs>
  <ScaleCrop>false</ScaleCrop>
  <HeadingPairs>
    <vt:vector size="2" baseType="variant">
      <vt:variant>
        <vt:lpstr>Title</vt:lpstr>
      </vt:variant>
      <vt:variant>
        <vt:i4>1</vt:i4>
      </vt:variant>
    </vt:vector>
  </HeadingPairs>
  <TitlesOfParts>
    <vt:vector size="1" baseType="lpstr">
      <vt:lpstr>Proposal for the establishment of an ITU Area Office in the Pacific</vt:lpstr>
    </vt:vector>
  </TitlesOfParts>
  <Manager>General Secretariat</Manager>
  <Company>International Telecommunication Union (ITU)</Company>
  <LinksUpToDate>false</LinksUpToDate>
  <CharactersWithSpaces>11120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establishment of an ITU Area Office in the Pacific</dc:title>
  <dc:subject>ITU Council 2026</dc:subject>
  <cp:keywords>C26; C2026; Council 2026; PP26</cp:keywords>
  <dc:description/>
  <cp:lastPrinted>2000-07-18T13:30:00Z</cp:lastPrinted>
  <dcterms:created xsi:type="dcterms:W3CDTF">2026-04-14T17:03:00Z</dcterms:created>
  <dcterms:modified xsi:type="dcterms:W3CDTF">2026-04-15T15:00:00Z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