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B033A31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9022F4" w14:textId="3105B6CC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EA0AE6" w:rsidRPr="00EA0AE6">
              <w:rPr>
                <w:rFonts w:cstheme="minorHAnsi"/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27999C05" w14:textId="243DFAB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EA0AE6" w:rsidRPr="00EA0AE6">
              <w:rPr>
                <w:b/>
              </w:rPr>
              <w:t>85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2C84E8DC" w14:textId="77777777" w:rsidTr="00555C29">
        <w:trPr>
          <w:cantSplit/>
        </w:trPr>
        <w:tc>
          <w:tcPr>
            <w:tcW w:w="3969" w:type="dxa"/>
            <w:vMerge/>
          </w:tcPr>
          <w:p w14:paraId="55DC437D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E15FC81" w14:textId="2BF20B55" w:rsidR="00E24D59" w:rsidRPr="00E85629" w:rsidRDefault="00EA0AE6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16E4E7EA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01E60D7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19FB4B8" w14:textId="16FA9300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ED77B1" w:rsidRPr="00ED77B1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7CC5224E" w14:textId="77777777" w:rsidTr="00555C29">
        <w:trPr>
          <w:cantSplit/>
          <w:trHeight w:val="23"/>
        </w:trPr>
        <w:tc>
          <w:tcPr>
            <w:tcW w:w="3969" w:type="dxa"/>
          </w:tcPr>
          <w:p w14:paraId="66A1CA28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D54BAD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7D1AF64B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1C21135" w14:textId="65BC1631" w:rsidR="00E24D59" w:rsidRPr="00C24DAC" w:rsidRDefault="00ED77B1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F95837">
              <w:rPr>
                <w:rFonts w:hint="eastAsia"/>
              </w:rPr>
              <w:t>巴布亚新几内亚、澳大利亚、斐济（共和国）、基里巴斯（共和国）、马绍尔群岛（共和国）、密克罗尼西亚（联邦）、瑙鲁（共和国）、新西兰、帕劳（共和国）、所罗门群岛、萨摩亚（独立国）、汤加（王国）、图瓦卢和瓦努阿图的文稿</w:t>
            </w:r>
          </w:p>
        </w:tc>
      </w:tr>
      <w:tr w:rsidR="00E24D59" w:rsidRPr="00813E5E" w14:paraId="3479227E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67857F" w14:textId="0C09981B" w:rsidR="00E24D59" w:rsidRPr="00C24DAC" w:rsidRDefault="00ED77B1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ED77B1">
              <w:rPr>
                <w:rFonts w:hint="eastAsia"/>
              </w:rPr>
              <w:t>关于</w:t>
            </w:r>
            <w:r w:rsidRPr="00F95837">
              <w:rPr>
                <w:rFonts w:hint="eastAsia"/>
              </w:rPr>
              <w:t>在太平洋地区设立国际电联地区办事处的</w:t>
            </w:r>
            <w:r w:rsidRPr="00ED77B1">
              <w:rPr>
                <w:rFonts w:hint="eastAsia"/>
              </w:rPr>
              <w:t>提案</w:t>
            </w:r>
          </w:p>
        </w:tc>
      </w:tr>
      <w:tr w:rsidR="00E24D59" w:rsidRPr="00813E5E" w14:paraId="60E2EE29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62D0EF2" w14:textId="04C1ED93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F335A3B" w14:textId="70110497" w:rsidR="00EA0AE6" w:rsidRPr="00FB02EF" w:rsidRDefault="00ED77B1" w:rsidP="00C36C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0"/>
              <w:ind w:firstLineChars="200" w:firstLine="480"/>
              <w:jc w:val="both"/>
              <w:rPr>
                <w:rFonts w:eastAsiaTheme="majorEastAsia" w:cs="Calibri"/>
                <w:lang w:eastAsia="zh-CN"/>
              </w:rPr>
            </w:pPr>
            <w:r w:rsidRPr="00ED77B1">
              <w:rPr>
                <w:rFonts w:eastAsiaTheme="majorEastAsia" w:cs="Calibri" w:hint="eastAsia"/>
                <w:lang w:eastAsia="zh-CN"/>
              </w:rPr>
              <w:t>本文稿旨在请理事会考虑制定</w:t>
            </w:r>
            <w:r w:rsidR="006A1647">
              <w:rPr>
                <w:rFonts w:eastAsiaTheme="majorEastAsia" w:cs="Calibri" w:hint="eastAsia"/>
                <w:lang w:eastAsia="zh-CN"/>
              </w:rPr>
              <w:t>在</w:t>
            </w:r>
            <w:r w:rsidR="006A1647" w:rsidRPr="00ED77B1">
              <w:rPr>
                <w:rFonts w:eastAsiaTheme="majorEastAsia" w:cs="Calibri" w:hint="eastAsia"/>
                <w:lang w:eastAsia="zh-CN"/>
              </w:rPr>
              <w:t>太平洋地区</w:t>
            </w:r>
            <w:r w:rsidR="006A1647">
              <w:rPr>
                <w:rFonts w:eastAsiaTheme="majorEastAsia" w:cs="Calibri" w:hint="eastAsia"/>
                <w:lang w:eastAsia="zh-CN"/>
              </w:rPr>
              <w:t>设立</w:t>
            </w:r>
            <w:r w:rsidR="00175331" w:rsidRPr="00ED77B1">
              <w:rPr>
                <w:rFonts w:eastAsiaTheme="majorEastAsia" w:cs="Calibri" w:hint="eastAsia"/>
                <w:lang w:eastAsia="zh-CN"/>
              </w:rPr>
              <w:t>国际电联</w:t>
            </w:r>
            <w:r w:rsidR="006A1647" w:rsidRPr="006A1647">
              <w:rPr>
                <w:rFonts w:eastAsiaTheme="majorEastAsia" w:cs="Calibri" w:hint="eastAsia"/>
                <w:lang w:eastAsia="zh-CN"/>
              </w:rPr>
              <w:t>地区办事处</w:t>
            </w:r>
            <w:r w:rsidRPr="00ED77B1">
              <w:rPr>
                <w:rFonts w:eastAsiaTheme="majorEastAsia" w:cs="Calibri" w:hint="eastAsia"/>
                <w:lang w:eastAsia="zh-CN"/>
              </w:rPr>
              <w:t>的详细</w:t>
            </w:r>
            <w:r w:rsidR="00964978">
              <w:rPr>
                <w:rFonts w:eastAsiaTheme="majorEastAsia" w:cs="Calibri" w:hint="eastAsia"/>
                <w:lang w:eastAsia="zh-CN"/>
              </w:rPr>
              <w:t>设立</w:t>
            </w:r>
            <w:r w:rsidRPr="00ED77B1">
              <w:rPr>
                <w:rFonts w:eastAsiaTheme="majorEastAsia" w:cs="Calibri" w:hint="eastAsia"/>
                <w:lang w:eastAsia="zh-CN"/>
              </w:rPr>
              <w:t>计划</w:t>
            </w:r>
            <w:r w:rsidR="00641378">
              <w:rPr>
                <w:rFonts w:eastAsiaTheme="majorEastAsia" w:cs="Calibri" w:hint="eastAsia"/>
                <w:lang w:eastAsia="zh-CN"/>
              </w:rPr>
              <w:t>。</w:t>
            </w:r>
            <w:r w:rsidR="009E00F5">
              <w:rPr>
                <w:rFonts w:eastAsiaTheme="majorEastAsia" w:cs="Calibri" w:hint="eastAsia"/>
                <w:lang w:eastAsia="zh-CN"/>
              </w:rPr>
              <w:t>根据</w:t>
            </w:r>
            <w:r w:rsidR="00641378" w:rsidRPr="00FB02EF">
              <w:rPr>
                <w:rFonts w:eastAsiaTheme="majorEastAsia" w:cs="Calibri"/>
                <w:lang w:eastAsia="zh-CN"/>
              </w:rPr>
              <w:t>2025</w:t>
            </w:r>
            <w:r w:rsidRPr="00ED77B1">
              <w:rPr>
                <w:rFonts w:eastAsiaTheme="majorEastAsia" w:cs="Calibri" w:hint="eastAsia"/>
                <w:lang w:eastAsia="zh-CN"/>
              </w:rPr>
              <w:t>年</w:t>
            </w:r>
            <w:r w:rsidR="00705DAC">
              <w:rPr>
                <w:rFonts w:eastAsiaTheme="majorEastAsia" w:cs="Calibri" w:hint="eastAsia"/>
                <w:lang w:eastAsia="zh-CN"/>
              </w:rPr>
              <w:t>开展</w:t>
            </w:r>
            <w:r w:rsidRPr="00ED77B1">
              <w:rPr>
                <w:rFonts w:eastAsiaTheme="majorEastAsia" w:cs="Calibri" w:hint="eastAsia"/>
                <w:lang w:eastAsia="zh-CN"/>
              </w:rPr>
              <w:t>的</w:t>
            </w:r>
            <w:r w:rsidR="00451EE8" w:rsidRPr="00451EE8">
              <w:rPr>
                <w:rFonts w:eastAsiaTheme="majorEastAsia" w:cs="Calibri" w:hint="eastAsia"/>
                <w:lang w:eastAsia="zh-CN"/>
              </w:rPr>
              <w:t>情况分析</w:t>
            </w:r>
            <w:r w:rsidRPr="00ED77B1">
              <w:rPr>
                <w:rFonts w:eastAsiaTheme="majorEastAsia" w:cs="Calibri" w:hint="eastAsia"/>
                <w:lang w:eastAsia="zh-CN"/>
              </w:rPr>
              <w:t>和需求评估</w:t>
            </w:r>
            <w:r w:rsidR="00933054">
              <w:rPr>
                <w:rFonts w:eastAsiaTheme="majorEastAsia" w:cs="Calibri" w:hint="eastAsia"/>
                <w:lang w:eastAsia="zh-CN"/>
              </w:rPr>
              <w:t>，</w:t>
            </w:r>
            <w:r w:rsidRPr="00ED77B1">
              <w:rPr>
                <w:rFonts w:eastAsiaTheme="majorEastAsia" w:cs="Calibri" w:hint="eastAsia"/>
                <w:lang w:eastAsia="zh-CN"/>
              </w:rPr>
              <w:t>在太平洋地区设立</w:t>
            </w:r>
            <w:r w:rsidR="009E00F5" w:rsidRPr="00ED77B1">
              <w:rPr>
                <w:rFonts w:eastAsiaTheme="majorEastAsia" w:cs="Calibri" w:hint="eastAsia"/>
                <w:lang w:eastAsia="zh-CN"/>
              </w:rPr>
              <w:t>国际电联</w:t>
            </w:r>
            <w:r w:rsidR="00933054" w:rsidRPr="00933054">
              <w:rPr>
                <w:rFonts w:eastAsiaTheme="majorEastAsia" w:cs="Calibri" w:hint="eastAsia"/>
                <w:lang w:eastAsia="zh-CN"/>
              </w:rPr>
              <w:t>地区办事处</w:t>
            </w:r>
            <w:r w:rsidRPr="00ED77B1">
              <w:rPr>
                <w:rFonts w:eastAsiaTheme="majorEastAsia" w:cs="Calibri" w:hint="eastAsia"/>
                <w:lang w:eastAsia="zh-CN"/>
              </w:rPr>
              <w:t>将</w:t>
            </w:r>
            <w:r w:rsidR="00705DAC" w:rsidRPr="00ED77B1">
              <w:rPr>
                <w:rFonts w:eastAsiaTheme="majorEastAsia" w:cs="Calibri" w:hint="eastAsia"/>
                <w:lang w:eastAsia="zh-CN"/>
              </w:rPr>
              <w:t>通过国际电联的实地</w:t>
            </w:r>
            <w:r w:rsidR="00705DAC">
              <w:rPr>
                <w:rFonts w:eastAsiaTheme="majorEastAsia" w:cs="Calibri" w:hint="eastAsia"/>
                <w:lang w:eastAsia="zh-CN"/>
              </w:rPr>
              <w:t>工作及其</w:t>
            </w:r>
            <w:r w:rsidR="00705DAC" w:rsidRPr="00ED77B1">
              <w:rPr>
                <w:rFonts w:eastAsiaTheme="majorEastAsia" w:cs="Calibri" w:hint="eastAsia"/>
                <w:lang w:eastAsia="zh-CN"/>
              </w:rPr>
              <w:t>提供</w:t>
            </w:r>
            <w:r w:rsidR="00705DAC">
              <w:rPr>
                <w:rFonts w:eastAsiaTheme="majorEastAsia" w:cs="Calibri" w:hint="eastAsia"/>
                <w:lang w:eastAsia="zh-CN"/>
              </w:rPr>
              <w:t>的</w:t>
            </w:r>
            <w:r w:rsidR="00705DAC" w:rsidRPr="00ED77B1">
              <w:rPr>
                <w:rFonts w:eastAsiaTheme="majorEastAsia" w:cs="Calibri" w:hint="eastAsia"/>
                <w:lang w:eastAsia="zh-CN"/>
              </w:rPr>
              <w:t>项目和服务</w:t>
            </w:r>
            <w:r w:rsidR="00705DAC">
              <w:rPr>
                <w:rFonts w:eastAsiaTheme="majorEastAsia" w:cs="Calibri" w:hint="eastAsia"/>
                <w:lang w:eastAsia="zh-CN"/>
              </w:rPr>
              <w:t>，</w:t>
            </w:r>
            <w:r w:rsidRPr="00ED77B1">
              <w:rPr>
                <w:rFonts w:eastAsiaTheme="majorEastAsia" w:cs="Calibri" w:hint="eastAsia"/>
                <w:lang w:eastAsia="zh-CN"/>
              </w:rPr>
              <w:t>加强国际电联的区域代表性</w:t>
            </w:r>
            <w:r w:rsidR="00705DAC">
              <w:rPr>
                <w:rFonts w:eastAsiaTheme="majorEastAsia" w:cs="Calibri" w:hint="eastAsia"/>
                <w:lang w:eastAsia="zh-CN"/>
              </w:rPr>
              <w:t>及其</w:t>
            </w:r>
            <w:r w:rsidR="00757586">
              <w:rPr>
                <w:rFonts w:eastAsiaTheme="majorEastAsia" w:cs="Calibri" w:hint="eastAsia"/>
                <w:lang w:eastAsia="zh-CN"/>
              </w:rPr>
              <w:t>对</w:t>
            </w:r>
            <w:r w:rsidRPr="00ED77B1">
              <w:rPr>
                <w:rFonts w:eastAsiaTheme="majorEastAsia" w:cs="Calibri" w:hint="eastAsia"/>
                <w:lang w:eastAsia="zh-CN"/>
              </w:rPr>
              <w:t>太平洋小岛屿发展中国家</w:t>
            </w:r>
            <w:r w:rsidR="00933054">
              <w:rPr>
                <w:rFonts w:eastAsiaTheme="majorEastAsia" w:cs="Calibri" w:hint="eastAsia"/>
                <w:lang w:eastAsia="zh-CN"/>
              </w:rPr>
              <w:t>（</w:t>
            </w:r>
            <w:r w:rsidR="00933054" w:rsidRPr="00FB02EF">
              <w:rPr>
                <w:rFonts w:eastAsiaTheme="majorEastAsia" w:cs="Calibri"/>
                <w:lang w:eastAsia="zh-CN"/>
              </w:rPr>
              <w:t>PSIDS</w:t>
            </w:r>
            <w:r w:rsidR="00933054">
              <w:rPr>
                <w:rFonts w:eastAsiaTheme="majorEastAsia" w:cs="Calibri" w:hint="eastAsia"/>
                <w:lang w:eastAsia="zh-CN"/>
              </w:rPr>
              <w:t>）</w:t>
            </w:r>
            <w:r w:rsidR="00757586">
              <w:rPr>
                <w:rFonts w:eastAsiaTheme="majorEastAsia" w:cs="Calibri" w:hint="eastAsia"/>
                <w:lang w:eastAsia="zh-CN"/>
              </w:rPr>
              <w:t>的</w:t>
            </w:r>
            <w:r w:rsidRPr="00ED77B1">
              <w:rPr>
                <w:rFonts w:eastAsiaTheme="majorEastAsia" w:cs="Calibri" w:hint="eastAsia"/>
                <w:lang w:eastAsia="zh-CN"/>
              </w:rPr>
              <w:t>支持</w:t>
            </w:r>
            <w:r w:rsidR="00933054">
              <w:rPr>
                <w:rFonts w:eastAsiaTheme="majorEastAsia" w:cs="Calibri" w:hint="eastAsia"/>
                <w:lang w:eastAsia="zh-CN"/>
              </w:rPr>
              <w:t>。</w:t>
            </w:r>
          </w:p>
          <w:p w14:paraId="29A32538" w14:textId="79B2DD44" w:rsidR="003F086E" w:rsidRPr="00477D57" w:rsidRDefault="00ED77B1" w:rsidP="00C36C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0"/>
              <w:ind w:firstLineChars="200" w:firstLine="480"/>
              <w:jc w:val="both"/>
              <w:rPr>
                <w:rFonts w:asciiTheme="majorEastAsia" w:eastAsiaTheme="majorEastAsia" w:hAnsiTheme="majorEastAsia"/>
                <w:lang w:eastAsia="zh-CN"/>
              </w:rPr>
            </w:pPr>
            <w:r w:rsidRPr="00ED77B1">
              <w:rPr>
                <w:rFonts w:eastAsiaTheme="majorEastAsia" w:cs="Calibri" w:hint="eastAsia"/>
                <w:lang w:eastAsia="zh-CN"/>
              </w:rPr>
              <w:t>本提案</w:t>
            </w:r>
            <w:r w:rsidR="00E87A32">
              <w:rPr>
                <w:rFonts w:eastAsiaTheme="majorEastAsia" w:cs="Calibri" w:hint="eastAsia"/>
                <w:lang w:eastAsia="zh-CN"/>
              </w:rPr>
              <w:t>符合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全权代表大会第</w:t>
            </w:r>
            <w:r w:rsidR="00127802" w:rsidRPr="00FB02EF">
              <w:rPr>
                <w:rFonts w:eastAsiaTheme="majorEastAsia" w:cs="Calibri"/>
                <w:lang w:eastAsia="zh-CN"/>
              </w:rPr>
              <w:t>25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号决议</w:t>
            </w:r>
            <w:r w:rsidR="00127802">
              <w:rPr>
                <w:rFonts w:eastAsiaTheme="majorEastAsia" w:cs="Calibri" w:hint="eastAsia"/>
                <w:lang w:eastAsia="zh-CN"/>
              </w:rPr>
              <w:t>（</w:t>
            </w:r>
            <w:r w:rsidR="00127802" w:rsidRPr="00FB02EF">
              <w:rPr>
                <w:rFonts w:eastAsiaTheme="majorEastAsia" w:cs="Calibri"/>
                <w:lang w:eastAsia="zh-CN"/>
              </w:rPr>
              <w:t>2022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年</w:t>
            </w:r>
            <w:r w:rsidR="00127802">
              <w:rPr>
                <w:rFonts w:eastAsiaTheme="majorEastAsia" w:cs="Calibri" w:hint="eastAsia"/>
                <w:lang w:eastAsia="zh-CN"/>
              </w:rPr>
              <w:t>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布加勒斯特</w:t>
            </w:r>
            <w:r w:rsidR="00127802">
              <w:rPr>
                <w:rFonts w:eastAsiaTheme="majorEastAsia" w:cs="Calibri" w:hint="eastAsia"/>
                <w:lang w:eastAsia="zh-CN"/>
              </w:rPr>
              <w:t>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修订版</w:t>
            </w:r>
            <w:r w:rsidR="00127802">
              <w:rPr>
                <w:rFonts w:eastAsiaTheme="majorEastAsia" w:cs="Calibri" w:hint="eastAsia"/>
                <w:lang w:eastAsia="zh-CN"/>
              </w:rPr>
              <w:t>）、</w:t>
            </w:r>
            <w:r w:rsidR="00127802" w:rsidRPr="00ED77B1">
              <w:rPr>
                <w:rFonts w:eastAsiaTheme="majorEastAsia" w:cs="Calibri" w:hint="eastAsia"/>
                <w:lang w:eastAsia="zh-CN"/>
              </w:rPr>
              <w:t>相关的</w:t>
            </w:r>
            <w:r w:rsidR="00127802" w:rsidRPr="00FB02EF">
              <w:rPr>
                <w:rFonts w:eastAsiaTheme="majorEastAsia" w:cs="Calibri"/>
                <w:lang w:eastAsia="zh-CN"/>
              </w:rPr>
              <w:t>WTDC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第</w:t>
            </w:r>
            <w:r w:rsidR="00127802" w:rsidRPr="00FB02EF">
              <w:rPr>
                <w:rFonts w:eastAsiaTheme="majorEastAsia" w:cs="Calibri"/>
                <w:lang w:eastAsia="zh-CN"/>
              </w:rPr>
              <w:t>16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号决议</w:t>
            </w:r>
            <w:r w:rsidR="00127802">
              <w:rPr>
                <w:rFonts w:eastAsiaTheme="majorEastAsia" w:cs="Calibri" w:hint="eastAsia"/>
                <w:lang w:eastAsia="zh-CN"/>
              </w:rPr>
              <w:t>（</w:t>
            </w:r>
            <w:r w:rsidR="00127802" w:rsidRPr="00FB02EF">
              <w:rPr>
                <w:rFonts w:eastAsiaTheme="majorEastAsia" w:cs="Calibri"/>
                <w:lang w:eastAsia="zh-CN"/>
              </w:rPr>
              <w:t>2025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年</w:t>
            </w:r>
            <w:r w:rsidR="00127802">
              <w:rPr>
                <w:rFonts w:eastAsiaTheme="majorEastAsia" w:cs="Calibri" w:hint="eastAsia"/>
                <w:lang w:eastAsia="zh-CN"/>
              </w:rPr>
              <w:t>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巴库</w:t>
            </w:r>
            <w:r w:rsidR="00127802">
              <w:rPr>
                <w:rFonts w:eastAsiaTheme="majorEastAsia" w:cs="Calibri" w:hint="eastAsia"/>
                <w:lang w:eastAsia="zh-CN"/>
              </w:rPr>
              <w:t>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修订版</w:t>
            </w:r>
            <w:r w:rsidR="00127802">
              <w:rPr>
                <w:rFonts w:eastAsiaTheme="majorEastAsia" w:cs="Calibri" w:hint="eastAsia"/>
                <w:lang w:eastAsia="zh-CN"/>
              </w:rPr>
              <w:t>）</w:t>
            </w:r>
            <w:r w:rsidRPr="00ED77B1">
              <w:rPr>
                <w:rFonts w:eastAsiaTheme="majorEastAsia" w:cs="Calibri" w:hint="eastAsia"/>
                <w:lang w:eastAsia="zh-CN"/>
              </w:rPr>
              <w:t>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第</w:t>
            </w:r>
            <w:r w:rsidR="00127802" w:rsidRPr="00FB02EF">
              <w:rPr>
                <w:rFonts w:eastAsiaTheme="majorEastAsia" w:cs="Calibri"/>
                <w:lang w:eastAsia="zh-CN"/>
              </w:rPr>
              <w:t>94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号决议</w:t>
            </w:r>
            <w:r w:rsidR="00127802">
              <w:rPr>
                <w:rFonts w:eastAsiaTheme="majorEastAsia" w:cs="Calibri" w:hint="eastAsia"/>
                <w:lang w:eastAsia="zh-CN"/>
              </w:rPr>
              <w:t>（</w:t>
            </w:r>
            <w:r w:rsidR="00127802" w:rsidRPr="00FB02EF">
              <w:rPr>
                <w:rFonts w:eastAsiaTheme="majorEastAsia" w:cs="Calibri"/>
                <w:lang w:eastAsia="zh-CN"/>
              </w:rPr>
              <w:t>2025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年</w:t>
            </w:r>
            <w:r w:rsidR="00127802">
              <w:rPr>
                <w:rFonts w:eastAsiaTheme="majorEastAsia" w:cs="Calibri" w:hint="eastAsia"/>
                <w:lang w:eastAsia="zh-CN"/>
              </w:rPr>
              <w:t>，</w:t>
            </w:r>
            <w:r w:rsidR="00127802" w:rsidRPr="00127802">
              <w:rPr>
                <w:rFonts w:eastAsiaTheme="majorEastAsia" w:cs="Calibri" w:hint="eastAsia"/>
                <w:lang w:eastAsia="zh-CN"/>
              </w:rPr>
              <w:t>巴库</w:t>
            </w:r>
            <w:r w:rsidR="00127802">
              <w:rPr>
                <w:rFonts w:eastAsiaTheme="majorEastAsia" w:cs="Calibri" w:hint="eastAsia"/>
                <w:lang w:eastAsia="zh-CN"/>
              </w:rPr>
              <w:t>）、</w:t>
            </w:r>
            <w:r w:rsidRPr="00ED77B1">
              <w:rPr>
                <w:rFonts w:eastAsiaTheme="majorEastAsia" w:cs="Calibri" w:hint="eastAsia"/>
                <w:lang w:eastAsia="zh-CN"/>
              </w:rPr>
              <w:t>理事会关于新地区办事处</w:t>
            </w:r>
            <w:r w:rsidR="0041330F">
              <w:rPr>
                <w:rFonts w:eastAsiaTheme="majorEastAsia" w:cs="Calibri" w:hint="eastAsia"/>
                <w:lang w:eastAsia="zh-CN"/>
              </w:rPr>
              <w:t>的</w:t>
            </w:r>
            <w:r w:rsidR="00127802" w:rsidRPr="00ED77B1">
              <w:rPr>
                <w:rFonts w:eastAsiaTheme="majorEastAsia" w:cs="Calibri" w:hint="eastAsia"/>
                <w:lang w:eastAsia="zh-CN"/>
              </w:rPr>
              <w:t>设立</w:t>
            </w:r>
            <w:r w:rsidRPr="00ED77B1">
              <w:rPr>
                <w:rFonts w:eastAsiaTheme="majorEastAsia" w:cs="Calibri" w:hint="eastAsia"/>
                <w:lang w:eastAsia="zh-CN"/>
              </w:rPr>
              <w:t>标准的讨论</w:t>
            </w:r>
            <w:r w:rsidR="00127802">
              <w:rPr>
                <w:rFonts w:eastAsiaTheme="majorEastAsia" w:cs="Calibri" w:hint="eastAsia"/>
                <w:lang w:eastAsia="zh-CN"/>
              </w:rPr>
              <w:t>（</w:t>
            </w:r>
            <w:hyperlink r:id="rId8" w:history="1">
              <w:proofErr w:type="spellStart"/>
              <w:r w:rsidR="00127802" w:rsidRPr="00FB02EF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C24</w:t>
              </w:r>
              <w:proofErr w:type="spellEnd"/>
              <w:r w:rsidR="00127802" w:rsidRPr="00FB02EF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/66</w:t>
              </w:r>
            </w:hyperlink>
            <w:r w:rsidR="00127802" w:rsidRPr="00ED77B1">
              <w:rPr>
                <w:rFonts w:eastAsiaTheme="majorEastAsia" w:cs="Calibri" w:hint="eastAsia"/>
                <w:lang w:eastAsia="zh-CN"/>
              </w:rPr>
              <w:t>号文件</w:t>
            </w:r>
            <w:r w:rsidR="00127802">
              <w:rPr>
                <w:rFonts w:eastAsiaTheme="majorEastAsia" w:cs="Calibri" w:hint="eastAsia"/>
                <w:lang w:eastAsia="zh-CN"/>
              </w:rPr>
              <w:t>）、</w:t>
            </w:r>
            <w:r w:rsidRPr="00ED77B1">
              <w:rPr>
                <w:rFonts w:eastAsiaTheme="majorEastAsia" w:cs="Calibri" w:hint="eastAsia"/>
                <w:lang w:eastAsia="zh-CN"/>
              </w:rPr>
              <w:t>亚太</w:t>
            </w:r>
            <w:r w:rsidR="00EB5022" w:rsidRPr="00EB5022">
              <w:rPr>
                <w:rFonts w:eastAsiaTheme="majorEastAsia" w:cs="Calibri" w:hint="eastAsia"/>
                <w:lang w:eastAsia="zh-CN"/>
              </w:rPr>
              <w:t>区域性举措</w:t>
            </w:r>
            <w:r w:rsidR="00127802" w:rsidRPr="00FB02EF">
              <w:rPr>
                <w:rFonts w:eastAsiaTheme="majorEastAsia" w:cs="Calibri"/>
                <w:lang w:eastAsia="zh-CN"/>
              </w:rPr>
              <w:t>1</w:t>
            </w:r>
            <w:r w:rsidR="00127802">
              <w:rPr>
                <w:rFonts w:eastAsiaTheme="majorEastAsia" w:cs="Calibri" w:hint="eastAsia"/>
                <w:lang w:eastAsia="zh-CN"/>
              </w:rPr>
              <w:t>、</w:t>
            </w:r>
            <w:r w:rsidRPr="00ED77B1">
              <w:rPr>
                <w:rFonts w:eastAsiaTheme="majorEastAsia" w:cs="Calibri" w:hint="eastAsia"/>
                <w:lang w:eastAsia="zh-CN"/>
              </w:rPr>
              <w:t>普华永道对区域代表处的审查</w:t>
            </w:r>
            <w:r w:rsidR="00E87A32">
              <w:rPr>
                <w:rFonts w:eastAsiaTheme="majorEastAsia" w:cs="Calibri" w:hint="eastAsia"/>
                <w:lang w:eastAsia="zh-CN"/>
              </w:rPr>
              <w:t>（</w:t>
            </w:r>
            <w:hyperlink r:id="rId9" w:history="1">
              <w:proofErr w:type="spellStart"/>
              <w:r w:rsidR="00E87A32" w:rsidRPr="00FB02EF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C20</w:t>
              </w:r>
              <w:proofErr w:type="spellEnd"/>
              <w:r w:rsidR="00E87A32" w:rsidRPr="00FB02EF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/74</w:t>
              </w:r>
            </w:hyperlink>
            <w:r w:rsidR="00E87A32" w:rsidRPr="00ED77B1">
              <w:rPr>
                <w:rFonts w:eastAsiaTheme="majorEastAsia" w:cs="Calibri" w:hint="eastAsia"/>
                <w:lang w:eastAsia="zh-CN"/>
              </w:rPr>
              <w:t>号文件</w:t>
            </w:r>
            <w:r w:rsidR="00E87A32">
              <w:rPr>
                <w:rFonts w:eastAsiaTheme="majorEastAsia" w:cs="Calibri" w:hint="eastAsia"/>
                <w:lang w:eastAsia="zh-CN"/>
              </w:rPr>
              <w:t>）</w:t>
            </w:r>
            <w:r w:rsidRPr="00ED77B1">
              <w:rPr>
                <w:rFonts w:eastAsiaTheme="majorEastAsia" w:cs="Calibri" w:hint="eastAsia"/>
                <w:lang w:eastAsia="zh-CN"/>
              </w:rPr>
              <w:t>以及</w:t>
            </w:r>
            <w:r w:rsidR="00E87A32" w:rsidRPr="00FB02EF">
              <w:rPr>
                <w:rFonts w:eastAsiaTheme="majorEastAsia" w:cs="Calibri"/>
                <w:lang w:eastAsia="zh-CN"/>
              </w:rPr>
              <w:t>2023</w:t>
            </w:r>
            <w:r w:rsidRPr="00ED77B1">
              <w:rPr>
                <w:rFonts w:eastAsiaTheme="majorEastAsia" w:cs="Calibri" w:hint="eastAsia"/>
                <w:lang w:eastAsia="zh-CN"/>
              </w:rPr>
              <w:t>年在印度设立国际电联地区办事处等先例</w:t>
            </w:r>
            <w:r w:rsidR="00E87A32">
              <w:rPr>
                <w:rFonts w:eastAsiaTheme="majorEastAsia" w:cs="Calibri" w:hint="eastAsia"/>
                <w:lang w:eastAsia="zh-CN"/>
              </w:rPr>
              <w:t>。</w:t>
            </w:r>
          </w:p>
          <w:p w14:paraId="72D79DDF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087A709E" w14:textId="5765A91F" w:rsidR="00EA0AE6" w:rsidRPr="00FB02EF" w:rsidRDefault="00ED77B1" w:rsidP="00C36C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00"/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ED77B1">
              <w:rPr>
                <w:rFonts w:eastAsiaTheme="majorEastAsia" w:cs="Calibri" w:hint="eastAsia"/>
                <w:lang w:eastAsia="zh-CN"/>
              </w:rPr>
              <w:t>请理事会</w:t>
            </w:r>
            <w:r w:rsidR="00E87A32">
              <w:rPr>
                <w:rFonts w:eastAsiaTheme="majorEastAsia" w:cs="Calibri" w:hint="eastAsia"/>
                <w:lang w:eastAsia="zh-CN"/>
              </w:rPr>
              <w:t>：</w:t>
            </w:r>
          </w:p>
          <w:p w14:paraId="5C3F15E5" w14:textId="1D98CBCF" w:rsidR="00EA0AE6" w:rsidRPr="00FB02EF" w:rsidRDefault="00EA0AE6" w:rsidP="00FB02EF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/>
              <w:ind w:left="567" w:hanging="567"/>
              <w:jc w:val="both"/>
              <w:rPr>
                <w:rFonts w:eastAsiaTheme="majorEastAsia" w:cs="Calibri"/>
                <w:lang w:eastAsia="zh-CN"/>
              </w:rPr>
            </w:pPr>
            <w:r w:rsidRPr="00FB02EF">
              <w:rPr>
                <w:rFonts w:eastAsiaTheme="majorEastAsia" w:cs="Calibri"/>
                <w:lang w:eastAsia="zh-CN"/>
              </w:rPr>
              <w:t>1</w:t>
            </w:r>
            <w:r w:rsidRPr="00FB02EF">
              <w:rPr>
                <w:rFonts w:eastAsiaTheme="majorEastAsia" w:cs="Calibri"/>
                <w:lang w:eastAsia="zh-CN"/>
              </w:rPr>
              <w:tab/>
            </w:r>
            <w:r w:rsidR="00E87A32" w:rsidRPr="00E87A32">
              <w:rPr>
                <w:rFonts w:eastAsiaTheme="majorEastAsia" w:cs="Calibri" w:hint="eastAsia"/>
                <w:b/>
                <w:bCs/>
                <w:lang w:eastAsia="zh-CN"/>
              </w:rPr>
              <w:t>批准</w:t>
            </w:r>
            <w:r w:rsidR="00F95837">
              <w:rPr>
                <w:rFonts w:eastAsiaTheme="majorEastAsia" w:cs="Calibri" w:hint="eastAsia"/>
                <w:lang w:eastAsia="zh-CN"/>
              </w:rPr>
              <w:t>以</w:t>
            </w:r>
            <w:r w:rsidR="00F95837" w:rsidRPr="00ED77B1">
              <w:rPr>
                <w:rFonts w:eastAsiaTheme="majorEastAsia" w:cs="Calibri" w:hint="eastAsia"/>
                <w:lang w:eastAsia="zh-CN"/>
              </w:rPr>
              <w:t>理事会</w:t>
            </w:r>
            <w:r w:rsidR="00F95837" w:rsidRPr="00FB02EF">
              <w:rPr>
                <w:rFonts w:eastAsiaTheme="majorEastAsia" w:cs="Calibri"/>
                <w:lang w:eastAsia="zh-CN"/>
              </w:rPr>
              <w:t>2025</w:t>
            </w:r>
            <w:r w:rsidR="00F95837" w:rsidRPr="00ED77B1">
              <w:rPr>
                <w:rFonts w:eastAsiaTheme="majorEastAsia" w:cs="Calibri" w:hint="eastAsia"/>
                <w:lang w:eastAsia="zh-CN"/>
              </w:rPr>
              <w:t>年</w:t>
            </w:r>
            <w:r w:rsidR="00F95837">
              <w:rPr>
                <w:rFonts w:eastAsiaTheme="majorEastAsia" w:cs="Calibri" w:hint="eastAsia"/>
                <w:lang w:eastAsia="zh-CN"/>
              </w:rPr>
              <w:t>制定</w:t>
            </w:r>
            <w:r w:rsidR="00F95837" w:rsidRPr="00ED77B1">
              <w:rPr>
                <w:rFonts w:eastAsiaTheme="majorEastAsia" w:cs="Calibri" w:hint="eastAsia"/>
                <w:lang w:eastAsia="zh-CN"/>
              </w:rPr>
              <w:t>的</w:t>
            </w:r>
            <w:r w:rsidR="00F95837">
              <w:rPr>
                <w:rFonts w:eastAsiaTheme="majorEastAsia" w:cs="Calibri" w:hint="eastAsia"/>
                <w:lang w:eastAsia="zh-CN"/>
              </w:rPr>
              <w:t>标准为</w:t>
            </w:r>
            <w:r w:rsidR="00F95837" w:rsidRPr="00ED77B1">
              <w:rPr>
                <w:rFonts w:eastAsiaTheme="majorEastAsia" w:cs="Calibri" w:hint="eastAsia"/>
                <w:lang w:eastAsia="zh-CN"/>
              </w:rPr>
              <w:t>指导</w:t>
            </w:r>
            <w:r w:rsidR="00F95837">
              <w:rPr>
                <w:rFonts w:eastAsiaTheme="majorEastAsia" w:cs="Calibri" w:hint="eastAsia"/>
                <w:lang w:eastAsia="zh-CN"/>
              </w:rPr>
              <w:t>，并</w:t>
            </w:r>
            <w:r w:rsidR="00F95837" w:rsidRPr="00ED77B1">
              <w:rPr>
                <w:rFonts w:eastAsiaTheme="majorEastAsia" w:cs="Calibri" w:hint="eastAsia"/>
                <w:lang w:eastAsia="zh-CN"/>
              </w:rPr>
              <w:t>借鉴在印度设立地区办事处等先例</w:t>
            </w:r>
            <w:r w:rsidR="00F95837">
              <w:rPr>
                <w:rFonts w:eastAsiaTheme="majorEastAsia" w:cs="Calibri" w:hint="eastAsia"/>
                <w:lang w:eastAsia="zh-CN"/>
              </w:rPr>
              <w:t>，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制定</w:t>
            </w:r>
            <w:r w:rsidR="006A1647">
              <w:rPr>
                <w:rFonts w:eastAsiaTheme="majorEastAsia" w:cs="Calibri" w:hint="eastAsia"/>
                <w:lang w:eastAsia="zh-CN"/>
              </w:rPr>
              <w:t>在</w:t>
            </w:r>
            <w:r w:rsidR="006A1647" w:rsidRPr="00ED77B1">
              <w:rPr>
                <w:rFonts w:eastAsiaTheme="majorEastAsia" w:cs="Calibri" w:hint="eastAsia"/>
                <w:lang w:eastAsia="zh-CN"/>
              </w:rPr>
              <w:t>太平洋地区设立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国际电联</w:t>
            </w:r>
            <w:r w:rsidR="006A1647" w:rsidRPr="006A1647">
              <w:rPr>
                <w:rFonts w:eastAsiaTheme="majorEastAsia" w:cs="Calibri" w:hint="eastAsia"/>
                <w:lang w:eastAsia="zh-CN"/>
              </w:rPr>
              <w:t>地区办事处</w:t>
            </w:r>
            <w:r w:rsidR="00746B38">
              <w:rPr>
                <w:rFonts w:eastAsiaTheme="majorEastAsia" w:cs="Calibri" w:hint="eastAsia"/>
                <w:lang w:eastAsia="zh-CN"/>
              </w:rPr>
              <w:t>的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详细</w:t>
            </w:r>
            <w:r w:rsidR="00964978" w:rsidRPr="00ED77B1">
              <w:rPr>
                <w:rFonts w:eastAsiaTheme="majorEastAsia" w:cs="Calibri" w:hint="eastAsia"/>
                <w:lang w:eastAsia="zh-CN"/>
              </w:rPr>
              <w:t>设立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计划</w:t>
            </w:r>
            <w:r w:rsidR="00746B38">
              <w:rPr>
                <w:rFonts w:eastAsiaTheme="majorEastAsia" w:cs="Calibri" w:hint="eastAsia"/>
                <w:lang w:eastAsia="zh-CN"/>
              </w:rPr>
              <w:t>，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其中将包括资源</w:t>
            </w:r>
            <w:r w:rsidR="00746B38">
              <w:rPr>
                <w:rFonts w:eastAsiaTheme="majorEastAsia" w:cs="Calibri" w:hint="eastAsia"/>
                <w:lang w:eastAsia="zh-CN"/>
              </w:rPr>
              <w:t>配置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和人员</w:t>
            </w:r>
            <w:r w:rsidR="00746B38">
              <w:rPr>
                <w:rFonts w:eastAsiaTheme="majorEastAsia" w:cs="Calibri" w:hint="eastAsia"/>
                <w:lang w:eastAsia="zh-CN"/>
              </w:rPr>
              <w:t>配备</w:t>
            </w:r>
            <w:r w:rsidR="00746B38" w:rsidRPr="00ED77B1">
              <w:rPr>
                <w:rFonts w:eastAsiaTheme="majorEastAsia" w:cs="Calibri" w:hint="eastAsia"/>
                <w:lang w:eastAsia="zh-CN"/>
              </w:rPr>
              <w:t>要求</w:t>
            </w:r>
            <w:r w:rsidR="00E87A32">
              <w:rPr>
                <w:rFonts w:eastAsiaTheme="majorEastAsia" w:cs="Calibri" w:hint="eastAsia"/>
                <w:lang w:eastAsia="zh-CN"/>
              </w:rPr>
              <w:t>；</w:t>
            </w:r>
          </w:p>
          <w:p w14:paraId="7B37CA61" w14:textId="4796144D" w:rsidR="00EA0AE6" w:rsidRPr="00FB02EF" w:rsidRDefault="00EA0AE6" w:rsidP="00FB02EF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/>
              <w:ind w:left="567" w:hanging="567"/>
              <w:jc w:val="both"/>
              <w:rPr>
                <w:rFonts w:eastAsiaTheme="majorEastAsia" w:cs="Calibri"/>
                <w:lang w:eastAsia="zh-CN"/>
              </w:rPr>
            </w:pPr>
            <w:r w:rsidRPr="00FB02EF">
              <w:rPr>
                <w:rFonts w:eastAsiaTheme="majorEastAsia" w:cs="Calibri"/>
                <w:lang w:eastAsia="zh-CN"/>
              </w:rPr>
              <w:t>2</w:t>
            </w:r>
            <w:r w:rsidRPr="00FB02EF">
              <w:rPr>
                <w:rFonts w:eastAsiaTheme="majorEastAsia" w:cs="Calibri"/>
                <w:lang w:eastAsia="zh-CN"/>
              </w:rPr>
              <w:tab/>
            </w:r>
            <w:r w:rsidR="00E87A32" w:rsidRPr="00E87A32">
              <w:rPr>
                <w:rFonts w:eastAsiaTheme="majorEastAsia" w:cs="Calibri" w:hint="eastAsia"/>
                <w:b/>
                <w:bCs/>
                <w:lang w:eastAsia="zh-CN"/>
              </w:rPr>
              <w:t>要求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秘书处将</w:t>
            </w:r>
            <w:r w:rsidR="00175331">
              <w:rPr>
                <w:rFonts w:eastAsiaTheme="majorEastAsia" w:cs="Calibri" w:hint="eastAsia"/>
                <w:lang w:eastAsia="zh-CN"/>
              </w:rPr>
              <w:t>本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报告提交</w:t>
            </w:r>
            <w:r w:rsidR="00E87A32" w:rsidRPr="00FB02EF">
              <w:rPr>
                <w:rFonts w:eastAsiaTheme="majorEastAsia" w:cs="Calibri"/>
                <w:lang w:eastAsia="zh-CN"/>
              </w:rPr>
              <w:t>2026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年全权代表大会审议</w:t>
            </w:r>
            <w:r w:rsidR="00E87A32">
              <w:rPr>
                <w:rFonts w:eastAsiaTheme="majorEastAsia" w:cs="Calibri" w:hint="eastAsia"/>
                <w:lang w:eastAsia="zh-CN"/>
              </w:rPr>
              <w:t>并可能予以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批准</w:t>
            </w:r>
            <w:r w:rsidR="00E87A32">
              <w:rPr>
                <w:rFonts w:eastAsiaTheme="majorEastAsia" w:cs="Calibri" w:hint="eastAsia"/>
                <w:lang w:eastAsia="zh-CN"/>
              </w:rPr>
              <w:t>，</w:t>
            </w:r>
            <w:r w:rsidR="00976898">
              <w:rPr>
                <w:rFonts w:eastAsiaTheme="majorEastAsia" w:cs="Calibri" w:hint="eastAsia"/>
                <w:lang w:eastAsia="zh-CN"/>
              </w:rPr>
              <w:t>并</w:t>
            </w:r>
            <w:r w:rsidR="00E87A32">
              <w:rPr>
                <w:rFonts w:eastAsiaTheme="majorEastAsia" w:cs="Calibri" w:hint="eastAsia"/>
                <w:lang w:eastAsia="zh-CN"/>
              </w:rPr>
              <w:t>提交给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理事会</w:t>
            </w:r>
            <w:r w:rsidR="00E87A32" w:rsidRPr="00FB02EF">
              <w:rPr>
                <w:rFonts w:eastAsiaTheme="majorEastAsia" w:cs="Calibri"/>
                <w:lang w:eastAsia="zh-CN"/>
              </w:rPr>
              <w:t>2027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年会议</w:t>
            </w:r>
            <w:r w:rsidR="00E87A32">
              <w:rPr>
                <w:rFonts w:eastAsiaTheme="majorEastAsia" w:cs="Calibri" w:hint="eastAsia"/>
                <w:lang w:eastAsia="zh-CN"/>
              </w:rPr>
              <w:t>，</w:t>
            </w:r>
            <w:r w:rsidR="00ED77B1" w:rsidRPr="00ED77B1">
              <w:rPr>
                <w:rFonts w:eastAsiaTheme="majorEastAsia" w:cs="Calibri" w:hint="eastAsia"/>
                <w:lang w:eastAsia="zh-CN"/>
              </w:rPr>
              <w:t>以</w:t>
            </w:r>
            <w:r w:rsidR="00AE235F">
              <w:rPr>
                <w:rFonts w:eastAsiaTheme="majorEastAsia" w:cs="Calibri" w:hint="eastAsia"/>
                <w:lang w:eastAsia="zh-CN"/>
              </w:rPr>
              <w:t>支持</w:t>
            </w:r>
            <w:r w:rsidR="00AE235F" w:rsidRPr="00044459">
              <w:rPr>
                <w:rFonts w:eastAsiaTheme="majorEastAsia" w:cs="Calibri" w:hint="eastAsia"/>
                <w:lang w:eastAsia="zh-CN"/>
              </w:rPr>
              <w:t>推进</w:t>
            </w:r>
            <w:r w:rsidR="006A1647" w:rsidRPr="00044459">
              <w:rPr>
                <w:rFonts w:eastAsiaTheme="majorEastAsia" w:cs="Calibri" w:hint="eastAsia"/>
                <w:lang w:eastAsia="zh-CN"/>
              </w:rPr>
              <w:t>在太</w:t>
            </w:r>
            <w:r w:rsidR="006A1647" w:rsidRPr="00175331">
              <w:rPr>
                <w:rFonts w:eastAsiaTheme="majorEastAsia" w:cs="Calibri" w:hint="eastAsia"/>
                <w:lang w:eastAsia="zh-CN"/>
              </w:rPr>
              <w:t>平洋地区</w:t>
            </w:r>
            <w:r w:rsidR="00AE235F">
              <w:rPr>
                <w:rFonts w:eastAsiaTheme="majorEastAsia" w:cs="Calibri" w:hint="eastAsia"/>
                <w:lang w:eastAsia="zh-CN"/>
              </w:rPr>
              <w:t>设立</w:t>
            </w:r>
            <w:r w:rsidR="00AE235F" w:rsidRPr="00175331">
              <w:rPr>
                <w:rFonts w:eastAsiaTheme="majorEastAsia" w:cs="Calibri" w:hint="eastAsia"/>
                <w:lang w:eastAsia="zh-CN"/>
              </w:rPr>
              <w:t>国际电联</w:t>
            </w:r>
            <w:r w:rsidR="006A1647" w:rsidRPr="006A1647">
              <w:rPr>
                <w:rFonts w:eastAsiaTheme="majorEastAsia" w:cs="Calibri" w:hint="eastAsia"/>
                <w:lang w:eastAsia="zh-CN"/>
              </w:rPr>
              <w:t>地区办事处</w:t>
            </w:r>
            <w:r w:rsidR="00ED77B1" w:rsidRPr="00175331">
              <w:rPr>
                <w:rFonts w:eastAsiaTheme="majorEastAsia" w:cs="Calibri" w:hint="eastAsia"/>
                <w:lang w:eastAsia="zh-CN"/>
              </w:rPr>
              <w:t>的</w:t>
            </w:r>
            <w:r w:rsidR="00AE235F">
              <w:rPr>
                <w:rFonts w:eastAsiaTheme="majorEastAsia" w:cs="Calibri" w:hint="eastAsia"/>
                <w:lang w:eastAsia="zh-CN"/>
              </w:rPr>
              <w:t>工作</w:t>
            </w:r>
            <w:r w:rsidR="00E87A32">
              <w:rPr>
                <w:rFonts w:eastAsiaTheme="majorEastAsia" w:cs="Calibri" w:hint="eastAsia"/>
                <w:lang w:eastAsia="zh-CN"/>
              </w:rPr>
              <w:t>；</w:t>
            </w:r>
          </w:p>
          <w:p w14:paraId="54D06D9F" w14:textId="443AC324" w:rsidR="003F086E" w:rsidRPr="00FB02EF" w:rsidRDefault="00EA0AE6" w:rsidP="00FB02EF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/>
              <w:ind w:left="567" w:hanging="567"/>
              <w:jc w:val="both"/>
              <w:rPr>
                <w:rFonts w:eastAsiaTheme="majorEastAsia" w:cs="Calibri"/>
                <w:lang w:eastAsia="zh-CN"/>
              </w:rPr>
            </w:pPr>
            <w:r w:rsidRPr="00FB02EF">
              <w:rPr>
                <w:rFonts w:eastAsiaTheme="majorEastAsia" w:cs="Calibri"/>
                <w:lang w:eastAsia="zh-CN"/>
              </w:rPr>
              <w:t>3</w:t>
            </w:r>
            <w:r w:rsidRPr="00FB02EF">
              <w:rPr>
                <w:rFonts w:eastAsiaTheme="majorEastAsia" w:cs="Calibri"/>
                <w:lang w:eastAsia="zh-CN"/>
              </w:rPr>
              <w:tab/>
            </w:r>
            <w:r w:rsidR="00E87A32">
              <w:rPr>
                <w:rFonts w:eastAsiaTheme="majorEastAsia" w:cs="Calibri" w:hint="eastAsia"/>
                <w:lang w:eastAsia="zh-CN"/>
              </w:rPr>
              <w:t>将“</w:t>
            </w:r>
            <w:r w:rsidR="00E87A32" w:rsidRPr="00ED77B1">
              <w:rPr>
                <w:rFonts w:eastAsiaTheme="majorEastAsia" w:cs="Calibri" w:hint="eastAsia"/>
                <w:lang w:eastAsia="zh-CN"/>
              </w:rPr>
              <w:t>考虑</w:t>
            </w:r>
            <w:r w:rsidR="00E87A32">
              <w:rPr>
                <w:rFonts w:eastAsiaTheme="majorEastAsia" w:cs="Calibri" w:hint="eastAsia"/>
                <w:lang w:eastAsia="zh-CN"/>
              </w:rPr>
              <w:t>因素”部分</w:t>
            </w:r>
            <w:r w:rsidR="00976898">
              <w:rPr>
                <w:rFonts w:eastAsiaTheme="majorEastAsia" w:cs="Calibri" w:hint="eastAsia"/>
                <w:lang w:eastAsia="zh-CN"/>
              </w:rPr>
              <w:t>所述</w:t>
            </w:r>
            <w:r w:rsidR="00044459">
              <w:rPr>
                <w:rFonts w:eastAsiaTheme="majorEastAsia" w:cs="Calibri" w:hint="eastAsia"/>
                <w:lang w:eastAsia="zh-CN"/>
              </w:rPr>
              <w:t>的</w:t>
            </w:r>
            <w:r w:rsidR="00E87A32">
              <w:rPr>
                <w:rFonts w:eastAsiaTheme="majorEastAsia" w:cs="Calibri" w:hint="eastAsia"/>
                <w:lang w:eastAsia="zh-CN"/>
              </w:rPr>
              <w:t>要点</w:t>
            </w:r>
            <w:r w:rsidR="00E87A32" w:rsidRPr="00E87A32">
              <w:rPr>
                <w:rFonts w:eastAsiaTheme="majorEastAsia" w:cs="Calibri" w:hint="eastAsia"/>
                <w:b/>
                <w:bCs/>
                <w:lang w:eastAsia="zh-CN"/>
              </w:rPr>
              <w:t>记录在案</w:t>
            </w:r>
            <w:r w:rsidR="00E87A32">
              <w:rPr>
                <w:rFonts w:eastAsiaTheme="majorEastAsia" w:cs="Calibri" w:hint="eastAsia"/>
                <w:lang w:eastAsia="zh-CN"/>
              </w:rPr>
              <w:t>。</w:t>
            </w:r>
          </w:p>
          <w:p w14:paraId="0F8BC788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00725DF0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3E8A7623" w14:textId="41E71CDB" w:rsidR="00E24D59" w:rsidRPr="00FB02EF" w:rsidRDefault="009F5253" w:rsidP="00C36C67">
            <w:pPr>
              <w:spacing w:after="120"/>
              <w:ind w:firstLineChars="200" w:firstLine="440"/>
              <w:rPr>
                <w:rFonts w:eastAsiaTheme="majorEastAsia" w:cs="Calibri"/>
                <w:i/>
                <w:iCs/>
                <w:sz w:val="22"/>
                <w:szCs w:val="22"/>
                <w:lang w:eastAsia="zh-CN"/>
              </w:rPr>
            </w:pPr>
            <w:r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全权代表大会</w:t>
            </w:r>
            <w:r>
              <w:fldChar w:fldCharType="begin"/>
            </w:r>
            <w:r>
              <w:rPr>
                <w:lang w:eastAsia="zh-CN"/>
              </w:rPr>
              <w:instrText>HYPERLINK "https://www.itu.int/en/council/Documents/basic-texts-2023/RES-025-C.pdf"</w:instrText>
            </w:r>
            <w:r>
              <w:fldChar w:fldCharType="separate"/>
            </w:r>
            <w:r w:rsidRPr="009F5253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第</w:t>
            </w:r>
            <w:r w:rsidRPr="009F5253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25</w:t>
            </w:r>
            <w:r w:rsidRPr="009F5253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号决议</w:t>
            </w:r>
            <w:r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（</w:t>
            </w:r>
            <w:r w:rsidRPr="009F5253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2022</w:t>
            </w:r>
            <w:r w:rsidRPr="009F5253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年，布加勒斯特，修订版</w:t>
            </w:r>
            <w:r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）</w:t>
            </w:r>
            <w:r>
              <w:fldChar w:fldCharType="end"/>
            </w:r>
            <w:r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和</w:t>
            </w:r>
            <w:hyperlink r:id="rId10" w:history="1"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158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号决议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2014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年，釜山，修订版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</w:hyperlink>
            <w:r w:rsidRPr="009F5253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；普华永道关于国际电联区域代表处的报告</w:t>
            </w:r>
            <w:r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（</w:t>
            </w:r>
            <w:hyperlink r:id="rId11" w:history="1">
              <w:proofErr w:type="spellStart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C20</w:t>
              </w:r>
              <w:proofErr w:type="spellEnd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/74</w:t>
              </w:r>
            </w:hyperlink>
            <w:r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</w:t>
            </w:r>
            <w:r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）；</w:t>
            </w:r>
            <w:hyperlink r:id="rId12" w:history="1">
              <w:proofErr w:type="spellStart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TDAG</w:t>
              </w:r>
              <w:proofErr w:type="spellEnd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-</w:t>
              </w:r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lastRenderedPageBreak/>
                <w:t>26/2(</w:t>
              </w:r>
              <w:proofErr w:type="spellStart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Add.1</w:t>
              </w:r>
              <w:proofErr w:type="spellEnd"/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)</w:t>
              </w:r>
            </w:hyperlink>
            <w:r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号文件附件</w:t>
            </w:r>
            <w:r w:rsidRPr="009F5253">
              <w:rPr>
                <w:rFonts w:eastAsiaTheme="majorEastAsia" w:cs="Calibri"/>
                <w:sz w:val="22"/>
                <w:szCs w:val="22"/>
                <w:lang w:eastAsia="zh-CN"/>
              </w:rPr>
              <w:t>1</w:t>
            </w:r>
            <w:r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世界电信发展大会</w:t>
            </w:r>
            <w:hyperlink r:id="rId13" w:history="1"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94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号决议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2025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巴库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  <w:r w:rsidRPr="00FD6A71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、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="00EA0AE6" w:rsidRPr="009F5253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16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号决议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2025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巴库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修订版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  <w:r w:rsidRPr="00FD6A71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、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17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号决议（</w:t>
              </w:r>
              <w:r w:rsidRPr="009F5253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2025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巴库</w:t>
              </w:r>
              <w:r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Pr="009F5253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修订版）</w:t>
              </w:r>
            </w:hyperlink>
            <w:r w:rsidR="00C36C67">
              <w:rPr>
                <w:rFonts w:ascii="STKaiti" w:eastAsia="STKaiti" w:hAnsi="STKaiti" w:hint="eastAsia"/>
                <w:sz w:val="22"/>
                <w:szCs w:val="18"/>
                <w:lang w:eastAsia="zh-CN"/>
              </w:rPr>
              <w:t>；</w:t>
            </w:r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亚太</w:t>
            </w:r>
            <w:r w:rsidR="00EB5022" w:rsidRPr="00EB502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区域性举措</w:t>
            </w:r>
            <w:r w:rsidR="001B0D6B" w:rsidRPr="001B0D6B">
              <w:rPr>
                <w:rFonts w:eastAsiaTheme="majorEastAsia" w:cs="Calibri"/>
                <w:sz w:val="22"/>
                <w:szCs w:val="22"/>
                <w:lang w:eastAsia="zh-CN"/>
              </w:rPr>
              <w:t>1</w:t>
            </w:r>
            <w:r w:rsid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（</w:t>
            </w:r>
            <w:r w:rsidR="001B0D6B" w:rsidRPr="001B0D6B">
              <w:rPr>
                <w:rFonts w:eastAsiaTheme="majorEastAsia" w:cs="Calibri"/>
                <w:sz w:val="22"/>
                <w:szCs w:val="22"/>
                <w:lang w:eastAsia="zh-CN"/>
              </w:rPr>
              <w:t>2025</w:t>
            </w:r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年</w:t>
            </w:r>
            <w:r w:rsid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，</w:t>
            </w:r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巴库</w:t>
            </w:r>
            <w:r w:rsid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，</w:t>
            </w:r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修订版</w:t>
            </w:r>
            <w:r w:rsid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）</w:t>
            </w:r>
            <w:r w:rsidR="00C36C67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="001B0D6B"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理事会</w:t>
            </w:r>
            <w:hyperlink r:id="rId14" w:history="1">
              <w:proofErr w:type="spellStart"/>
              <w:r w:rsidR="00EA0AE6" w:rsidRPr="001B0D6B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C26</w:t>
              </w:r>
              <w:proofErr w:type="spellEnd"/>
              <w:r w:rsidR="00EA0AE6" w:rsidRPr="001B0D6B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/42</w:t>
              </w:r>
            </w:hyperlink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、</w:t>
            </w:r>
            <w:r w:rsidR="00EA0AE6">
              <w:fldChar w:fldCharType="begin"/>
            </w:r>
            <w:r w:rsidR="00EA0AE6">
              <w:rPr>
                <w:lang w:eastAsia="zh-CN"/>
              </w:rPr>
              <w:instrText>HYPERLINK "https://www.itu.int/md/S26-CL-C-0024/ch"</w:instrText>
            </w:r>
            <w:r w:rsidR="00EA0AE6">
              <w:fldChar w:fldCharType="separate"/>
            </w:r>
            <w:proofErr w:type="spellStart"/>
            <w:r w:rsidR="00EA0AE6" w:rsidRPr="001B0D6B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C26</w:t>
            </w:r>
            <w:proofErr w:type="spellEnd"/>
            <w:r w:rsidR="00EA0AE6" w:rsidRPr="001B0D6B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/24</w:t>
            </w:r>
            <w:r w:rsidR="00EA0AE6">
              <w:fldChar w:fldCharType="end"/>
            </w:r>
            <w:r w:rsidR="001B0D6B" w:rsidRPr="001B0D6B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和</w:t>
            </w:r>
            <w:r w:rsidR="00EA0AE6">
              <w:fldChar w:fldCharType="begin"/>
            </w:r>
            <w:r w:rsidR="00EA0AE6">
              <w:rPr>
                <w:lang w:eastAsia="zh-CN"/>
              </w:rPr>
              <w:instrText>HYPERLINK "https://www.itu.int/md/S24-CL-C-0066/ch"</w:instrText>
            </w:r>
            <w:r w:rsidR="00EA0AE6">
              <w:fldChar w:fldCharType="separate"/>
            </w:r>
            <w:proofErr w:type="spellStart"/>
            <w:r w:rsidR="00EA0AE6" w:rsidRPr="001B0D6B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C24</w:t>
            </w:r>
            <w:proofErr w:type="spellEnd"/>
            <w:r w:rsidR="00EA0AE6" w:rsidRPr="001B0D6B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/66</w:t>
            </w:r>
            <w:r w:rsidR="00EA0AE6">
              <w:fldChar w:fldCharType="end"/>
            </w:r>
            <w:r w:rsidR="001B0D6B" w:rsidRPr="00ED77B1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</w:t>
            </w:r>
            <w:r w:rsidR="001B0D6B" w:rsidRPr="00044459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。</w:t>
            </w:r>
          </w:p>
        </w:tc>
      </w:tr>
      <w:bookmarkEnd w:id="2"/>
      <w:bookmarkEnd w:id="6"/>
    </w:tbl>
    <w:p w14:paraId="7CD79134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74EA70D2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F1FE1AB" w14:textId="6F897E1E" w:rsidR="00EA0AE6" w:rsidRPr="00FB02EF" w:rsidRDefault="00EA0AE6" w:rsidP="00FB02EF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lastRenderedPageBreak/>
        <w:t>1</w:t>
      </w:r>
      <w:r w:rsidRPr="00FB02EF">
        <w:rPr>
          <w:rFonts w:eastAsia="Times New Roman"/>
          <w:lang w:eastAsia="zh-CN"/>
        </w:rPr>
        <w:tab/>
      </w:r>
      <w:r w:rsidR="001B0D6B">
        <w:rPr>
          <w:rFonts w:ascii="SimSun" w:hAnsi="SimSun" w:cs="SimSun" w:hint="eastAsia"/>
          <w:lang w:eastAsia="zh-CN"/>
        </w:rPr>
        <w:t>综述</w:t>
      </w:r>
    </w:p>
    <w:p w14:paraId="652136CF" w14:textId="71673725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本文稿请理事会考虑在太平洋地区设立国际电联</w:t>
      </w:r>
      <w:r w:rsidR="00EB5022" w:rsidRPr="00EB5022">
        <w:rPr>
          <w:rFonts w:hint="eastAsia"/>
          <w:lang w:eastAsia="zh-CN"/>
        </w:rPr>
        <w:t>地区办事处</w:t>
      </w:r>
      <w:r w:rsidR="00EB5022">
        <w:rPr>
          <w:rFonts w:hint="eastAsia"/>
          <w:lang w:eastAsia="zh-CN"/>
        </w:rPr>
        <w:t>。</w:t>
      </w:r>
      <w:r w:rsidR="00451EE8">
        <w:rPr>
          <w:rFonts w:hint="eastAsia"/>
          <w:lang w:eastAsia="zh-CN"/>
        </w:rPr>
        <w:t>依据</w:t>
      </w:r>
      <w:r w:rsidRPr="00ED77B1">
        <w:rPr>
          <w:rFonts w:hint="eastAsia"/>
          <w:lang w:eastAsia="zh-CN"/>
        </w:rPr>
        <w:t>全权代表大会</w:t>
      </w:r>
      <w:hyperlink r:id="rId15" w:history="1"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第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25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号决议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（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2022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年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布加勒斯特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修订版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）</w:t>
        </w:r>
      </w:hyperlink>
      <w:r w:rsidR="00EB5022">
        <w:rPr>
          <w:rFonts w:hint="eastAsia"/>
          <w:lang w:eastAsia="zh-CN"/>
        </w:rPr>
        <w:t>、</w:t>
      </w:r>
      <w:r w:rsidR="00EB5022" w:rsidRPr="00EB5022">
        <w:rPr>
          <w:rFonts w:hint="eastAsia"/>
          <w:lang w:eastAsia="zh-CN"/>
        </w:rPr>
        <w:t>普华永道关于国际电联区域代表处的</w:t>
      </w:r>
      <w:r w:rsidRPr="00ED77B1">
        <w:rPr>
          <w:rFonts w:hint="eastAsia"/>
          <w:lang w:eastAsia="zh-CN"/>
        </w:rPr>
        <w:t>报告</w:t>
      </w:r>
      <w:r w:rsidR="00EB5022">
        <w:rPr>
          <w:rFonts w:hint="eastAsia"/>
          <w:lang w:eastAsia="zh-CN"/>
        </w:rPr>
        <w:t>（</w:t>
      </w:r>
      <w:hyperlink r:id="rId16" w:history="1">
        <w:proofErr w:type="spellStart"/>
        <w:r w:rsidR="00EB5022" w:rsidRPr="00EA0AE6">
          <w:rPr>
            <w:rStyle w:val="Hyperlink"/>
            <w:rFonts w:eastAsia="SimSun"/>
            <w:noProof w:val="0"/>
            <w:lang w:eastAsia="zh-CN"/>
          </w:rPr>
          <w:t>C20</w:t>
        </w:r>
        <w:proofErr w:type="spellEnd"/>
        <w:r w:rsidR="00EB5022" w:rsidRPr="00EA0AE6">
          <w:rPr>
            <w:rStyle w:val="Hyperlink"/>
            <w:rFonts w:eastAsia="SimSun"/>
            <w:noProof w:val="0"/>
            <w:lang w:eastAsia="zh-CN"/>
          </w:rPr>
          <w:t>/74</w:t>
        </w:r>
      </w:hyperlink>
      <w:r w:rsidR="00EB5022" w:rsidRPr="00ED77B1">
        <w:rPr>
          <w:rFonts w:hint="eastAsia"/>
          <w:lang w:eastAsia="zh-CN"/>
        </w:rPr>
        <w:t>号文件</w:t>
      </w:r>
      <w:r w:rsidR="00EB5022">
        <w:rPr>
          <w:rFonts w:hint="eastAsia"/>
          <w:lang w:eastAsia="zh-CN"/>
        </w:rPr>
        <w:t>）、</w:t>
      </w:r>
      <w:r w:rsidR="00EB5022" w:rsidRPr="00EB5022">
        <w:rPr>
          <w:rFonts w:hint="eastAsia"/>
          <w:lang w:eastAsia="zh-CN"/>
        </w:rPr>
        <w:t>世界电信发展大会</w:t>
      </w:r>
      <w:r w:rsidR="00EB5022">
        <w:rPr>
          <w:rFonts w:hint="eastAsia"/>
          <w:lang w:eastAsia="zh-CN"/>
        </w:rPr>
        <w:t>（</w:t>
      </w:r>
      <w:r w:rsidR="00EB5022" w:rsidRPr="00EA0AE6">
        <w:rPr>
          <w:lang w:eastAsia="zh-CN"/>
        </w:rPr>
        <w:t>WTDC</w:t>
      </w:r>
      <w:r w:rsidR="00EB5022">
        <w:rPr>
          <w:rFonts w:hint="eastAsia"/>
          <w:lang w:eastAsia="zh-CN"/>
        </w:rPr>
        <w:t>）</w:t>
      </w:r>
      <w:hyperlink r:id="rId17" w:history="1"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第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16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号决议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（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2025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年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巴库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修订版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）、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第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17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号决议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（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2025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年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巴库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修订版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）和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第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94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号决议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（</w:t>
        </w:r>
        <w:r w:rsidR="00EB5022" w:rsidRPr="00EB5022">
          <w:rPr>
            <w:rStyle w:val="Hyperlink"/>
            <w:rFonts w:eastAsia="SimSun"/>
            <w:noProof w:val="0"/>
            <w:lang w:eastAsia="zh-CN"/>
          </w:rPr>
          <w:t>2025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年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，</w:t>
        </w:r>
        <w:r w:rsidR="00EB5022" w:rsidRPr="00EB5022">
          <w:rPr>
            <w:rStyle w:val="Hyperlink"/>
            <w:rFonts w:eastAsia="SimSun" w:hint="eastAsia"/>
            <w:noProof w:val="0"/>
            <w:lang w:eastAsia="zh-CN"/>
          </w:rPr>
          <w:t>巴库</w:t>
        </w:r>
        <w:r w:rsidR="00EB5022">
          <w:rPr>
            <w:rStyle w:val="Hyperlink"/>
            <w:rFonts w:eastAsia="SimSun" w:hint="eastAsia"/>
            <w:noProof w:val="0"/>
            <w:lang w:eastAsia="zh-CN"/>
          </w:rPr>
          <w:t>）</w:t>
        </w:r>
      </w:hyperlink>
      <w:r w:rsidR="00EB5022">
        <w:rPr>
          <w:rFonts w:hint="eastAsia"/>
          <w:lang w:eastAsia="zh-CN"/>
        </w:rPr>
        <w:t>、</w:t>
      </w:r>
      <w:r w:rsidRPr="00ED77B1">
        <w:rPr>
          <w:rFonts w:hint="eastAsia"/>
          <w:lang w:eastAsia="zh-CN"/>
        </w:rPr>
        <w:t>亚太</w:t>
      </w:r>
      <w:r w:rsidR="00EB5022" w:rsidRPr="00EB5022">
        <w:rPr>
          <w:rFonts w:hint="eastAsia"/>
          <w:lang w:eastAsia="zh-CN"/>
        </w:rPr>
        <w:t>区域性举措</w:t>
      </w:r>
      <w:r w:rsidR="00EB5022" w:rsidRPr="00EA0AE6">
        <w:rPr>
          <w:lang w:eastAsia="zh-CN"/>
        </w:rPr>
        <w:t>1</w:t>
      </w:r>
      <w:r w:rsidR="00EB5022">
        <w:rPr>
          <w:rFonts w:hint="eastAsia"/>
          <w:lang w:eastAsia="zh-CN"/>
        </w:rPr>
        <w:t>、</w:t>
      </w:r>
      <w:r w:rsidRPr="00ED77B1">
        <w:rPr>
          <w:rFonts w:hint="eastAsia"/>
          <w:lang w:eastAsia="zh-CN"/>
        </w:rPr>
        <w:t>正在进行的关于</w:t>
      </w:r>
      <w:r w:rsidR="00EB5022" w:rsidRPr="00EB5022">
        <w:rPr>
          <w:rFonts w:hint="eastAsia"/>
          <w:lang w:eastAsia="zh-CN"/>
        </w:rPr>
        <w:t>国际电联区域代表处</w:t>
      </w:r>
      <w:r w:rsidRPr="00ED77B1">
        <w:rPr>
          <w:rFonts w:hint="eastAsia"/>
          <w:lang w:eastAsia="zh-CN"/>
        </w:rPr>
        <w:t>的讨论</w:t>
      </w:r>
      <w:r w:rsidR="00EB5022">
        <w:rPr>
          <w:rFonts w:hint="eastAsia"/>
          <w:lang w:eastAsia="zh-CN"/>
        </w:rPr>
        <w:t>（</w:t>
      </w:r>
      <w:hyperlink r:id="rId18" w:history="1">
        <w:proofErr w:type="spellStart"/>
        <w:r w:rsidR="00EB5022" w:rsidRPr="00EA0AE6">
          <w:rPr>
            <w:rStyle w:val="Hyperlink"/>
            <w:rFonts w:eastAsia="SimSun"/>
            <w:noProof w:val="0"/>
            <w:lang w:eastAsia="zh-CN"/>
          </w:rPr>
          <w:t>C26</w:t>
        </w:r>
        <w:proofErr w:type="spellEnd"/>
        <w:r w:rsidR="00EB5022" w:rsidRPr="00EA0AE6">
          <w:rPr>
            <w:rStyle w:val="Hyperlink"/>
            <w:rFonts w:eastAsia="SimSun"/>
            <w:noProof w:val="0"/>
            <w:lang w:eastAsia="zh-CN"/>
          </w:rPr>
          <w:t>/24</w:t>
        </w:r>
      </w:hyperlink>
      <w:r w:rsidR="00EB5022" w:rsidRPr="00ED77B1">
        <w:rPr>
          <w:rFonts w:hint="eastAsia"/>
          <w:lang w:eastAsia="zh-CN"/>
        </w:rPr>
        <w:t>号文件</w:t>
      </w:r>
      <w:r w:rsidR="00EB5022">
        <w:rPr>
          <w:rFonts w:hint="eastAsia"/>
          <w:lang w:eastAsia="zh-CN"/>
        </w:rPr>
        <w:t>）</w:t>
      </w:r>
      <w:r w:rsidRPr="00ED77B1">
        <w:rPr>
          <w:rFonts w:hint="eastAsia"/>
          <w:lang w:eastAsia="zh-CN"/>
        </w:rPr>
        <w:t>以及理事会此前关于</w:t>
      </w:r>
      <w:r w:rsidR="00652D1C">
        <w:rPr>
          <w:rFonts w:hint="eastAsia"/>
          <w:lang w:eastAsia="zh-CN"/>
        </w:rPr>
        <w:t>设立</w:t>
      </w:r>
      <w:r w:rsidRPr="00ED77B1">
        <w:rPr>
          <w:rFonts w:hint="eastAsia"/>
          <w:lang w:eastAsia="zh-CN"/>
        </w:rPr>
        <w:t>新的国际电联</w:t>
      </w:r>
      <w:r w:rsidR="008B126F" w:rsidRPr="008B126F">
        <w:rPr>
          <w:rFonts w:hint="eastAsia"/>
          <w:lang w:eastAsia="zh-CN"/>
        </w:rPr>
        <w:t>区域代表处和地区办事处</w:t>
      </w:r>
      <w:r w:rsidR="00615A75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标准的讨论</w:t>
      </w:r>
      <w:r w:rsidR="008B126F">
        <w:rPr>
          <w:rFonts w:hint="eastAsia"/>
          <w:lang w:eastAsia="zh-CN"/>
        </w:rPr>
        <w:t>（</w:t>
      </w:r>
      <w:hyperlink r:id="rId19" w:history="1">
        <w:proofErr w:type="spellStart"/>
        <w:r w:rsidR="008B126F" w:rsidRPr="00EA0AE6">
          <w:rPr>
            <w:rStyle w:val="Hyperlink"/>
            <w:rFonts w:eastAsia="SimSun"/>
            <w:noProof w:val="0"/>
            <w:lang w:eastAsia="zh-CN"/>
          </w:rPr>
          <w:t>C24</w:t>
        </w:r>
        <w:proofErr w:type="spellEnd"/>
        <w:r w:rsidR="008B126F" w:rsidRPr="00EA0AE6">
          <w:rPr>
            <w:rStyle w:val="Hyperlink"/>
            <w:rFonts w:eastAsia="SimSun"/>
            <w:noProof w:val="0"/>
            <w:lang w:eastAsia="zh-CN"/>
          </w:rPr>
          <w:t>/66</w:t>
        </w:r>
      </w:hyperlink>
      <w:r w:rsidR="008B126F" w:rsidRPr="00ED77B1">
        <w:rPr>
          <w:rFonts w:hint="eastAsia"/>
          <w:lang w:eastAsia="zh-CN"/>
        </w:rPr>
        <w:t>号文件</w:t>
      </w:r>
      <w:r w:rsidR="008B126F">
        <w:rPr>
          <w:rFonts w:hint="eastAsia"/>
          <w:lang w:eastAsia="zh-CN"/>
        </w:rPr>
        <w:t>），</w:t>
      </w:r>
      <w:r w:rsidRPr="00ED77B1">
        <w:rPr>
          <w:rFonts w:hint="eastAsia"/>
          <w:lang w:eastAsia="zh-CN"/>
        </w:rPr>
        <w:t>国际电联</w:t>
      </w:r>
      <w:r w:rsidR="008B126F" w:rsidRPr="008B126F">
        <w:rPr>
          <w:rFonts w:hint="eastAsia"/>
          <w:lang w:eastAsia="zh-CN"/>
        </w:rPr>
        <w:t>亚太区域代表处</w:t>
      </w:r>
      <w:r w:rsidRPr="00ED77B1">
        <w:rPr>
          <w:rFonts w:hint="eastAsia"/>
          <w:lang w:eastAsia="zh-CN"/>
        </w:rPr>
        <w:t>在澳大利亚政府的支持下</w:t>
      </w:r>
      <w:r w:rsidR="008B126F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开展了太平洋地区需求评估和</w:t>
      </w:r>
      <w:r w:rsidR="00451EE8" w:rsidRPr="00451EE8">
        <w:rPr>
          <w:rFonts w:hint="eastAsia"/>
          <w:lang w:eastAsia="zh-CN"/>
        </w:rPr>
        <w:t>情况分析</w:t>
      </w:r>
      <w:r w:rsidR="008B126F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需求评估</w:t>
      </w:r>
      <w:r w:rsidR="00451EE8">
        <w:rPr>
          <w:rFonts w:hint="eastAsia"/>
          <w:lang w:eastAsia="zh-CN"/>
        </w:rPr>
        <w:t>与</w:t>
      </w:r>
      <w:r w:rsidR="00451EE8" w:rsidRPr="00451EE8">
        <w:rPr>
          <w:rFonts w:hint="eastAsia"/>
          <w:lang w:eastAsia="zh-CN"/>
        </w:rPr>
        <w:t>情况分析</w:t>
      </w:r>
      <w:r w:rsidR="00372760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摘要已</w:t>
      </w:r>
      <w:r w:rsidR="008B126F" w:rsidRPr="00ED77B1">
        <w:rPr>
          <w:rFonts w:hint="eastAsia"/>
          <w:lang w:eastAsia="zh-CN"/>
        </w:rPr>
        <w:t>提交</w:t>
      </w:r>
      <w:r w:rsidR="00451EE8">
        <w:rPr>
          <w:rFonts w:hint="eastAsia"/>
          <w:lang w:eastAsia="zh-CN"/>
        </w:rPr>
        <w:t>给</w:t>
      </w:r>
      <w:r w:rsidR="008B126F" w:rsidRPr="00EA0AE6">
        <w:rPr>
          <w:lang w:eastAsia="zh-CN"/>
        </w:rPr>
        <w:t>2026</w:t>
      </w:r>
      <w:r w:rsidRPr="00ED77B1">
        <w:rPr>
          <w:rFonts w:hint="eastAsia"/>
          <w:lang w:eastAsia="zh-CN"/>
        </w:rPr>
        <w:t>年</w:t>
      </w:r>
      <w:r w:rsidRPr="00ED77B1">
        <w:rPr>
          <w:rFonts w:hint="eastAsia"/>
          <w:lang w:eastAsia="zh-CN"/>
        </w:rPr>
        <w:t>4</w:t>
      </w:r>
      <w:r w:rsidRPr="00ED77B1">
        <w:rPr>
          <w:rFonts w:hint="eastAsia"/>
          <w:lang w:eastAsia="zh-CN"/>
        </w:rPr>
        <w:t>月</w:t>
      </w:r>
      <w:r w:rsidR="008B126F">
        <w:rPr>
          <w:rFonts w:hint="eastAsia"/>
          <w:lang w:eastAsia="zh-CN"/>
        </w:rPr>
        <w:t>举行的</w:t>
      </w:r>
      <w:r w:rsidR="008B126F" w:rsidRPr="008B126F">
        <w:rPr>
          <w:rFonts w:hint="eastAsia"/>
          <w:lang w:eastAsia="zh-CN"/>
        </w:rPr>
        <w:t>电信发展顾问组</w:t>
      </w:r>
      <w:r w:rsidR="008B126F">
        <w:rPr>
          <w:rFonts w:hint="eastAsia"/>
          <w:lang w:eastAsia="zh-CN"/>
        </w:rPr>
        <w:t>（</w:t>
      </w:r>
      <w:r w:rsidR="008B126F" w:rsidRPr="00EA0AE6">
        <w:rPr>
          <w:lang w:eastAsia="zh-CN"/>
        </w:rPr>
        <w:t>TDAG</w:t>
      </w:r>
      <w:r w:rsidR="008B126F">
        <w:rPr>
          <w:rFonts w:hint="eastAsia"/>
          <w:lang w:eastAsia="zh-CN"/>
        </w:rPr>
        <w:t>）</w:t>
      </w:r>
      <w:r w:rsidRPr="00ED77B1">
        <w:rPr>
          <w:rFonts w:hint="eastAsia"/>
          <w:lang w:eastAsia="zh-CN"/>
        </w:rPr>
        <w:t>第</w:t>
      </w:r>
      <w:r w:rsidR="008B126F" w:rsidRPr="00EA0AE6">
        <w:rPr>
          <w:lang w:eastAsia="zh-CN"/>
        </w:rPr>
        <w:t>33</w:t>
      </w:r>
      <w:r w:rsidRPr="00ED77B1">
        <w:rPr>
          <w:rFonts w:hint="eastAsia"/>
          <w:lang w:eastAsia="zh-CN"/>
        </w:rPr>
        <w:t>次会议</w:t>
      </w:r>
      <w:r w:rsidR="008B126F">
        <w:rPr>
          <w:rFonts w:hint="eastAsia"/>
          <w:lang w:eastAsia="zh-CN"/>
        </w:rPr>
        <w:t>（</w:t>
      </w:r>
      <w:r w:rsidR="008B126F" w:rsidRPr="00EA0AE6">
        <w:rPr>
          <w:lang w:eastAsia="zh-CN"/>
        </w:rPr>
        <w:t>TDAG</w:t>
      </w:r>
      <w:r w:rsidR="00A446BA" w:rsidRPr="00A446BA">
        <w:rPr>
          <w:lang w:eastAsia="zh-CN"/>
        </w:rPr>
        <w:t xml:space="preserve"> </w:t>
      </w:r>
      <w:r w:rsidR="008B126F">
        <w:fldChar w:fldCharType="begin"/>
      </w:r>
      <w:r w:rsidR="008B126F">
        <w:rPr>
          <w:lang w:eastAsia="zh-CN"/>
        </w:rPr>
        <w:instrText>HYPERLINK "https://view.officeapps.live.com/op/view.aspx?src=https%3A%2F%2Fwww.itu.int%2Fdms_pub%2Fitu-d%2Fmd%2F26%2Ftdag33%2Fc%2FD26-TDAG33-C-0002!N1-A1!MSW-C.docx&amp;wdOrigin=BROWSELINK"</w:instrText>
      </w:r>
      <w:r w:rsidR="008B126F">
        <w:fldChar w:fldCharType="separate"/>
      </w:r>
      <w:r w:rsidR="008B126F" w:rsidRPr="00EA0AE6">
        <w:rPr>
          <w:rStyle w:val="Hyperlink"/>
          <w:rFonts w:eastAsia="SimSun"/>
          <w:noProof w:val="0"/>
          <w:lang w:eastAsia="zh-CN"/>
        </w:rPr>
        <w:t>TDAG</w:t>
      </w:r>
      <w:r w:rsidR="008B126F" w:rsidRPr="00EA0AE6">
        <w:rPr>
          <w:rStyle w:val="Hyperlink"/>
          <w:rFonts w:eastAsia="SimSun"/>
          <w:noProof w:val="0"/>
          <w:lang w:eastAsia="zh-CN"/>
        </w:rPr>
        <w:noBreakHyphen/>
        <w:t>26/2(Add.1)</w:t>
      </w:r>
      <w:r w:rsidR="008B126F">
        <w:fldChar w:fldCharType="end"/>
      </w:r>
      <w:r w:rsidR="008B126F" w:rsidRPr="00ED77B1">
        <w:rPr>
          <w:rFonts w:hint="eastAsia"/>
          <w:lang w:eastAsia="zh-CN"/>
        </w:rPr>
        <w:t>号文件附件</w:t>
      </w:r>
      <w:r w:rsidR="008B126F" w:rsidRPr="00EA0AE6">
        <w:rPr>
          <w:lang w:eastAsia="zh-CN"/>
        </w:rPr>
        <w:t>1</w:t>
      </w:r>
      <w:r w:rsidR="008B126F">
        <w:rPr>
          <w:rFonts w:hint="eastAsia"/>
          <w:lang w:eastAsia="zh-CN"/>
        </w:rPr>
        <w:t>）。</w:t>
      </w:r>
    </w:p>
    <w:p w14:paraId="46408D4C" w14:textId="39FCBCEE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考虑到需求评估和</w:t>
      </w:r>
      <w:r w:rsidR="00451EE8" w:rsidRPr="00451EE8">
        <w:rPr>
          <w:rFonts w:hint="eastAsia"/>
          <w:lang w:eastAsia="zh-CN"/>
        </w:rPr>
        <w:t>情况分析</w:t>
      </w:r>
      <w:r w:rsidRPr="00ED77B1">
        <w:rPr>
          <w:rFonts w:hint="eastAsia"/>
          <w:lang w:eastAsia="zh-CN"/>
        </w:rPr>
        <w:t>的结果</w:t>
      </w:r>
      <w:r w:rsidR="008B126F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请理事会批准秘书处</w:t>
      </w:r>
      <w:r w:rsidR="008B126F">
        <w:rPr>
          <w:rFonts w:hint="eastAsia"/>
          <w:lang w:eastAsia="zh-CN"/>
        </w:rPr>
        <w:t>以</w:t>
      </w:r>
      <w:r w:rsidRPr="00ED77B1">
        <w:rPr>
          <w:rFonts w:hint="eastAsia"/>
          <w:lang w:eastAsia="zh-CN"/>
        </w:rPr>
        <w:t>理事会</w:t>
      </w:r>
      <w:r w:rsidR="008B126F" w:rsidRPr="00EA0AE6">
        <w:rPr>
          <w:lang w:eastAsia="zh-CN"/>
        </w:rPr>
        <w:t>2025</w:t>
      </w:r>
      <w:r w:rsidRPr="00ED77B1">
        <w:rPr>
          <w:rFonts w:hint="eastAsia"/>
          <w:lang w:eastAsia="zh-CN"/>
        </w:rPr>
        <w:t>年制定的标准为指导并借鉴在印度设立地区办事处等先例</w:t>
      </w:r>
      <w:r w:rsidR="006A1647">
        <w:rPr>
          <w:rFonts w:hint="eastAsia"/>
          <w:lang w:eastAsia="zh-CN"/>
        </w:rPr>
        <w:t>，制定在</w:t>
      </w:r>
      <w:r w:rsidR="006A1647" w:rsidRPr="00ED77B1">
        <w:rPr>
          <w:rFonts w:hint="eastAsia"/>
          <w:lang w:eastAsia="zh-CN"/>
        </w:rPr>
        <w:t>太平洋</w:t>
      </w:r>
      <w:r w:rsidR="006A1647" w:rsidRPr="005115CC">
        <w:rPr>
          <w:rFonts w:hint="eastAsia"/>
          <w:lang w:eastAsia="zh-CN"/>
        </w:rPr>
        <w:t>地区</w:t>
      </w:r>
      <w:r w:rsidR="006A1647" w:rsidRPr="00ED77B1">
        <w:rPr>
          <w:rFonts w:hint="eastAsia"/>
          <w:lang w:eastAsia="zh-CN"/>
        </w:rPr>
        <w:t>设立国际电联</w:t>
      </w:r>
      <w:r w:rsidR="006A1647" w:rsidRPr="006A1647">
        <w:rPr>
          <w:rFonts w:hint="eastAsia"/>
          <w:lang w:eastAsia="zh-CN"/>
        </w:rPr>
        <w:t>地区办事处</w:t>
      </w:r>
      <w:r w:rsidR="006A1647">
        <w:rPr>
          <w:rFonts w:hint="eastAsia"/>
          <w:lang w:eastAsia="zh-CN"/>
        </w:rPr>
        <w:t>的</w:t>
      </w:r>
      <w:r w:rsidR="006A1647" w:rsidRPr="00ED77B1">
        <w:rPr>
          <w:rFonts w:hint="eastAsia"/>
          <w:lang w:eastAsia="zh-CN"/>
        </w:rPr>
        <w:t>详细</w:t>
      </w:r>
      <w:r w:rsidR="00964978" w:rsidRPr="00ED77B1">
        <w:rPr>
          <w:rFonts w:eastAsiaTheme="majorEastAsia" w:cs="Calibri" w:hint="eastAsia"/>
          <w:lang w:eastAsia="zh-CN"/>
        </w:rPr>
        <w:t>设立</w:t>
      </w:r>
      <w:r w:rsidR="006A1647" w:rsidRPr="00ED77B1">
        <w:rPr>
          <w:rFonts w:hint="eastAsia"/>
          <w:lang w:eastAsia="zh-CN"/>
        </w:rPr>
        <w:t>计划</w:t>
      </w:r>
      <w:r w:rsidR="006A1647">
        <w:rPr>
          <w:rFonts w:hint="eastAsia"/>
          <w:lang w:eastAsia="zh-CN"/>
        </w:rPr>
        <w:t>，该</w:t>
      </w:r>
      <w:r w:rsidR="00964978" w:rsidRPr="00ED77B1">
        <w:rPr>
          <w:rFonts w:eastAsiaTheme="majorEastAsia" w:cs="Calibri" w:hint="eastAsia"/>
          <w:lang w:eastAsia="zh-CN"/>
        </w:rPr>
        <w:t>设立</w:t>
      </w:r>
      <w:r w:rsidRPr="00ED77B1">
        <w:rPr>
          <w:rFonts w:hint="eastAsia"/>
          <w:lang w:eastAsia="zh-CN"/>
        </w:rPr>
        <w:t>计划将包括资源</w:t>
      </w:r>
      <w:r w:rsidR="005115CC">
        <w:rPr>
          <w:rFonts w:hint="eastAsia"/>
          <w:lang w:eastAsia="zh-CN"/>
        </w:rPr>
        <w:t>配置和</w:t>
      </w:r>
      <w:r w:rsidRPr="00ED77B1">
        <w:rPr>
          <w:rFonts w:hint="eastAsia"/>
          <w:lang w:eastAsia="zh-CN"/>
        </w:rPr>
        <w:t>人员</w:t>
      </w:r>
      <w:r w:rsidR="006A1647">
        <w:rPr>
          <w:rFonts w:hint="eastAsia"/>
          <w:lang w:eastAsia="zh-CN"/>
        </w:rPr>
        <w:t>配备</w:t>
      </w:r>
      <w:r w:rsidRPr="00ED77B1">
        <w:rPr>
          <w:rFonts w:hint="eastAsia"/>
          <w:lang w:eastAsia="zh-CN"/>
        </w:rPr>
        <w:t>要求以及</w:t>
      </w:r>
      <w:r w:rsidR="006A1647">
        <w:rPr>
          <w:rFonts w:hint="eastAsia"/>
          <w:lang w:eastAsia="zh-CN"/>
        </w:rPr>
        <w:t>拟议的办公</w:t>
      </w:r>
      <w:r w:rsidRPr="00ED77B1">
        <w:rPr>
          <w:rFonts w:hint="eastAsia"/>
          <w:lang w:eastAsia="zh-CN"/>
        </w:rPr>
        <w:t>地点</w:t>
      </w:r>
      <w:r w:rsidR="005115CC" w:rsidRPr="00652D1C">
        <w:rPr>
          <w:rFonts w:hint="eastAsia"/>
          <w:lang w:eastAsia="zh-CN"/>
        </w:rPr>
        <w:t>。</w:t>
      </w:r>
    </w:p>
    <w:p w14:paraId="35797E3E" w14:textId="4157944F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秘书处将</w:t>
      </w:r>
      <w:r w:rsidR="005115CC">
        <w:rPr>
          <w:rFonts w:hint="eastAsia"/>
          <w:lang w:eastAsia="zh-CN"/>
        </w:rPr>
        <w:t>向</w:t>
      </w:r>
      <w:r w:rsidR="005115CC" w:rsidRPr="00EA0AE6">
        <w:rPr>
          <w:lang w:eastAsia="zh-CN"/>
        </w:rPr>
        <w:t>2026</w:t>
      </w:r>
      <w:r w:rsidR="005115CC" w:rsidRPr="00ED77B1">
        <w:rPr>
          <w:rFonts w:hint="eastAsia"/>
          <w:lang w:eastAsia="zh-CN"/>
        </w:rPr>
        <w:t>年</w:t>
      </w:r>
      <w:r w:rsidR="005115CC" w:rsidRPr="005115CC">
        <w:rPr>
          <w:rFonts w:hint="eastAsia"/>
          <w:lang w:eastAsia="zh-CN"/>
        </w:rPr>
        <w:t>全权代表大会</w:t>
      </w:r>
      <w:r w:rsidR="005115CC">
        <w:rPr>
          <w:rFonts w:hint="eastAsia"/>
          <w:lang w:eastAsia="zh-CN"/>
        </w:rPr>
        <w:t>（</w:t>
      </w:r>
      <w:r w:rsidR="005115CC" w:rsidRPr="00EA0AE6">
        <w:rPr>
          <w:lang w:eastAsia="zh-CN"/>
        </w:rPr>
        <w:t>PP-26</w:t>
      </w:r>
      <w:r w:rsidR="005115CC">
        <w:rPr>
          <w:rFonts w:hint="eastAsia"/>
          <w:lang w:eastAsia="zh-CN"/>
        </w:rPr>
        <w:t>）提交</w:t>
      </w:r>
      <w:r w:rsidR="00AE235F">
        <w:rPr>
          <w:rFonts w:hint="eastAsia"/>
          <w:lang w:eastAsia="zh-CN"/>
        </w:rPr>
        <w:t>本</w:t>
      </w:r>
      <w:r w:rsidRPr="00ED77B1">
        <w:rPr>
          <w:rFonts w:hint="eastAsia"/>
          <w:lang w:eastAsia="zh-CN"/>
        </w:rPr>
        <w:t>报告</w:t>
      </w:r>
      <w:r w:rsidR="00652D1C">
        <w:rPr>
          <w:rFonts w:hint="eastAsia"/>
          <w:lang w:eastAsia="zh-CN"/>
        </w:rPr>
        <w:t>以</w:t>
      </w:r>
      <w:r w:rsidR="005115CC">
        <w:rPr>
          <w:rFonts w:hint="eastAsia"/>
          <w:lang w:eastAsia="zh-CN"/>
        </w:rPr>
        <w:t>供其</w:t>
      </w:r>
      <w:r w:rsidRPr="00ED77B1">
        <w:rPr>
          <w:rFonts w:hint="eastAsia"/>
          <w:lang w:eastAsia="zh-CN"/>
        </w:rPr>
        <w:t>批准</w:t>
      </w:r>
      <w:r w:rsidR="005115CC">
        <w:rPr>
          <w:rFonts w:hint="eastAsia"/>
          <w:lang w:eastAsia="zh-CN"/>
        </w:rPr>
        <w:t>，</w:t>
      </w:r>
      <w:r w:rsidR="00AE235F">
        <w:rPr>
          <w:rFonts w:hint="eastAsia"/>
          <w:lang w:eastAsia="zh-CN"/>
        </w:rPr>
        <w:t>并</w:t>
      </w:r>
      <w:r w:rsidRPr="00ED77B1">
        <w:rPr>
          <w:rFonts w:hint="eastAsia"/>
          <w:lang w:eastAsia="zh-CN"/>
        </w:rPr>
        <w:t>提交</w:t>
      </w:r>
      <w:r w:rsidR="005115CC">
        <w:rPr>
          <w:rFonts w:hint="eastAsia"/>
          <w:lang w:eastAsia="zh-CN"/>
        </w:rPr>
        <w:t>给</w:t>
      </w:r>
      <w:r w:rsidRPr="00ED77B1">
        <w:rPr>
          <w:rFonts w:hint="eastAsia"/>
          <w:lang w:eastAsia="zh-CN"/>
        </w:rPr>
        <w:t>理事会</w:t>
      </w:r>
      <w:r w:rsidR="005115CC" w:rsidRPr="00EA0AE6">
        <w:rPr>
          <w:lang w:eastAsia="zh-CN"/>
        </w:rPr>
        <w:t>2027</w:t>
      </w:r>
      <w:r w:rsidRPr="00ED77B1">
        <w:rPr>
          <w:rFonts w:hint="eastAsia"/>
          <w:lang w:eastAsia="zh-CN"/>
        </w:rPr>
        <w:t>年会议</w:t>
      </w:r>
      <w:r w:rsidR="005115CC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以</w:t>
      </w:r>
      <w:r w:rsidR="00AE235F">
        <w:rPr>
          <w:rFonts w:hint="eastAsia"/>
          <w:lang w:eastAsia="zh-CN"/>
        </w:rPr>
        <w:t>支持推进</w:t>
      </w:r>
      <w:r w:rsidR="006A1647">
        <w:rPr>
          <w:rFonts w:hint="eastAsia"/>
          <w:lang w:eastAsia="zh-CN"/>
        </w:rPr>
        <w:t>在</w:t>
      </w:r>
      <w:r w:rsidR="006A1647" w:rsidRPr="005115CC">
        <w:rPr>
          <w:rFonts w:hint="eastAsia"/>
          <w:b/>
          <w:bCs/>
          <w:lang w:eastAsia="zh-CN"/>
        </w:rPr>
        <w:t>太平洋地</w:t>
      </w:r>
      <w:r w:rsidR="006A1647" w:rsidRPr="006A1647">
        <w:rPr>
          <w:rFonts w:hint="eastAsia"/>
          <w:b/>
          <w:bCs/>
          <w:lang w:eastAsia="zh-CN"/>
        </w:rPr>
        <w:t>区</w:t>
      </w:r>
      <w:r w:rsidR="00BF1498" w:rsidRPr="006A1647">
        <w:rPr>
          <w:rFonts w:hint="eastAsia"/>
          <w:b/>
          <w:bCs/>
          <w:lang w:eastAsia="zh-CN"/>
        </w:rPr>
        <w:t>设立</w:t>
      </w:r>
      <w:r w:rsidR="005115CC" w:rsidRPr="006A1647">
        <w:rPr>
          <w:rFonts w:hint="eastAsia"/>
          <w:b/>
          <w:bCs/>
          <w:lang w:eastAsia="zh-CN"/>
        </w:rPr>
        <w:t>国际</w:t>
      </w:r>
      <w:r w:rsidR="005115CC" w:rsidRPr="005115CC">
        <w:rPr>
          <w:rFonts w:hint="eastAsia"/>
          <w:b/>
          <w:bCs/>
          <w:lang w:eastAsia="zh-CN"/>
        </w:rPr>
        <w:t>电联</w:t>
      </w:r>
      <w:r w:rsidR="006A1647" w:rsidRPr="006A1647">
        <w:rPr>
          <w:rFonts w:hint="eastAsia"/>
          <w:b/>
          <w:bCs/>
          <w:lang w:eastAsia="zh-CN"/>
        </w:rPr>
        <w:t>地区办事处</w:t>
      </w:r>
      <w:r w:rsidR="005115CC">
        <w:rPr>
          <w:rFonts w:hint="eastAsia"/>
          <w:lang w:eastAsia="zh-CN"/>
        </w:rPr>
        <w:t>的</w:t>
      </w:r>
      <w:r w:rsidR="00BF1498">
        <w:rPr>
          <w:rFonts w:hint="eastAsia"/>
          <w:lang w:eastAsia="zh-CN"/>
        </w:rPr>
        <w:t>工作</w:t>
      </w:r>
      <w:r w:rsidR="005115CC">
        <w:rPr>
          <w:rFonts w:hint="eastAsia"/>
          <w:lang w:eastAsia="zh-CN"/>
        </w:rPr>
        <w:t>。</w:t>
      </w:r>
    </w:p>
    <w:p w14:paraId="10ECDE01" w14:textId="1D7375DE" w:rsidR="00EA0AE6" w:rsidRPr="00FB02EF" w:rsidRDefault="00EA0AE6" w:rsidP="00FB02EF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t>2</w:t>
      </w:r>
      <w:r w:rsidRPr="00FB02EF">
        <w:rPr>
          <w:rFonts w:eastAsia="Times New Roman"/>
          <w:lang w:eastAsia="zh-CN"/>
        </w:rPr>
        <w:tab/>
      </w:r>
      <w:r w:rsidR="00ED77B1" w:rsidRPr="00ED77B1">
        <w:rPr>
          <w:rFonts w:ascii="SimSun" w:hAnsi="SimSun" w:cs="SimSun" w:hint="eastAsia"/>
          <w:lang w:eastAsia="zh-CN"/>
        </w:rPr>
        <w:t>背景</w:t>
      </w:r>
    </w:p>
    <w:p w14:paraId="6A0D78CB" w14:textId="38B77D8E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根据理事会此前关于</w:t>
      </w:r>
      <w:r w:rsidR="00615A75" w:rsidRPr="00ED77B1">
        <w:rPr>
          <w:rFonts w:hint="eastAsia"/>
          <w:lang w:eastAsia="zh-CN"/>
        </w:rPr>
        <w:t>设立</w:t>
      </w:r>
      <w:r w:rsidRPr="00ED77B1">
        <w:rPr>
          <w:rFonts w:hint="eastAsia"/>
          <w:lang w:eastAsia="zh-CN"/>
        </w:rPr>
        <w:t>新的国际电联</w:t>
      </w:r>
      <w:r w:rsidR="005115CC" w:rsidRPr="005115CC">
        <w:rPr>
          <w:rFonts w:hint="eastAsia"/>
          <w:lang w:eastAsia="zh-CN"/>
        </w:rPr>
        <w:t>区域代表处和地区办事处</w:t>
      </w:r>
      <w:r w:rsidR="00615A75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标准的讨论</w:t>
      </w:r>
      <w:r w:rsidR="005115CC">
        <w:rPr>
          <w:rFonts w:hint="eastAsia"/>
          <w:lang w:eastAsia="zh-CN"/>
        </w:rPr>
        <w:t>（</w:t>
      </w:r>
      <w:r w:rsidR="005115CC" w:rsidRPr="00EA0AE6">
        <w:rPr>
          <w:lang w:eastAsia="zh-CN"/>
        </w:rPr>
        <w:t>C24/66</w:t>
      </w:r>
      <w:r w:rsidR="005115CC" w:rsidRPr="00ED77B1">
        <w:rPr>
          <w:rFonts w:hint="eastAsia"/>
          <w:lang w:eastAsia="zh-CN"/>
        </w:rPr>
        <w:t>号文件</w:t>
      </w:r>
      <w:r w:rsidR="005115CC">
        <w:rPr>
          <w:rFonts w:hint="eastAsia"/>
          <w:lang w:eastAsia="zh-CN"/>
        </w:rPr>
        <w:t>），</w:t>
      </w:r>
      <w:r w:rsidR="0096060B" w:rsidRPr="00ED77B1">
        <w:rPr>
          <w:rFonts w:hint="eastAsia"/>
          <w:lang w:eastAsia="zh-CN"/>
        </w:rPr>
        <w:t>作为</w:t>
      </w:r>
      <w:r w:rsidR="0096060B">
        <w:rPr>
          <w:rFonts w:hint="eastAsia"/>
          <w:lang w:eastAsia="zh-CN"/>
        </w:rPr>
        <w:t>“</w:t>
      </w:r>
      <w:r w:rsidR="0096060B" w:rsidRPr="00ED77B1">
        <w:rPr>
          <w:rFonts w:hint="eastAsia"/>
          <w:lang w:eastAsia="zh-CN"/>
        </w:rPr>
        <w:t>可行性研究</w:t>
      </w:r>
      <w:r w:rsidR="0096060B">
        <w:rPr>
          <w:rFonts w:hint="eastAsia"/>
          <w:lang w:eastAsia="zh-CN"/>
        </w:rPr>
        <w:t>：应对</w:t>
      </w:r>
      <w:r w:rsidR="0096060B" w:rsidRPr="00ED77B1">
        <w:rPr>
          <w:rFonts w:hint="eastAsia"/>
          <w:lang w:eastAsia="zh-CN"/>
        </w:rPr>
        <w:t>太平洋小岛屿发展中国家</w:t>
      </w:r>
      <w:r w:rsidR="0096060B">
        <w:rPr>
          <w:rFonts w:hint="eastAsia"/>
          <w:lang w:eastAsia="zh-CN"/>
        </w:rPr>
        <w:t>（</w:t>
      </w:r>
      <w:r w:rsidR="0096060B" w:rsidRPr="00EA0AE6">
        <w:rPr>
          <w:lang w:eastAsia="zh-CN"/>
        </w:rPr>
        <w:t>PSIDS</w:t>
      </w:r>
      <w:r w:rsidR="0096060B">
        <w:rPr>
          <w:rFonts w:hint="eastAsia"/>
          <w:lang w:eastAsia="zh-CN"/>
        </w:rPr>
        <w:t>）</w:t>
      </w:r>
      <w:r w:rsidR="0096060B" w:rsidRPr="00ED77B1">
        <w:rPr>
          <w:rFonts w:hint="eastAsia"/>
          <w:lang w:eastAsia="zh-CN"/>
        </w:rPr>
        <w:t>的</w:t>
      </w:r>
      <w:r w:rsidR="0096060B">
        <w:rPr>
          <w:rFonts w:hint="eastAsia"/>
          <w:lang w:eastAsia="zh-CN"/>
        </w:rPr>
        <w:t>具体</w:t>
      </w:r>
      <w:r w:rsidR="0096060B" w:rsidRPr="00ED77B1">
        <w:rPr>
          <w:rFonts w:hint="eastAsia"/>
          <w:lang w:eastAsia="zh-CN"/>
        </w:rPr>
        <w:t>电信</w:t>
      </w:r>
      <w:r w:rsidR="0096060B" w:rsidRPr="00EA0AE6">
        <w:rPr>
          <w:lang w:eastAsia="zh-CN"/>
        </w:rPr>
        <w:t>/ICT</w:t>
      </w:r>
      <w:r w:rsidR="0096060B" w:rsidRPr="00ED77B1">
        <w:rPr>
          <w:rFonts w:hint="eastAsia"/>
          <w:lang w:eastAsia="zh-CN"/>
        </w:rPr>
        <w:t>需求</w:t>
      </w:r>
      <w:r w:rsidR="0096060B">
        <w:rPr>
          <w:rFonts w:hint="eastAsia"/>
          <w:lang w:eastAsia="zh-CN"/>
        </w:rPr>
        <w:t>”</w:t>
      </w:r>
      <w:r w:rsidR="0096060B" w:rsidRPr="00ED77B1">
        <w:rPr>
          <w:rFonts w:hint="eastAsia"/>
          <w:lang w:eastAsia="zh-CN"/>
        </w:rPr>
        <w:t>项目的一部分</w:t>
      </w:r>
      <w:r w:rsidR="0096060B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国际电联</w:t>
      </w:r>
      <w:r w:rsidR="0096060B" w:rsidRPr="0096060B">
        <w:rPr>
          <w:rFonts w:hint="eastAsia"/>
          <w:lang w:eastAsia="zh-CN"/>
        </w:rPr>
        <w:t>亚太区域代表处</w:t>
      </w:r>
      <w:r w:rsidR="0096060B">
        <w:rPr>
          <w:rFonts w:hint="eastAsia"/>
          <w:lang w:eastAsia="zh-CN"/>
        </w:rPr>
        <w:t>在</w:t>
      </w:r>
      <w:r w:rsidR="0096060B" w:rsidRPr="00ED77B1">
        <w:rPr>
          <w:rFonts w:hint="eastAsia"/>
          <w:lang w:eastAsia="zh-CN"/>
        </w:rPr>
        <w:t>澳大利亚</w:t>
      </w:r>
      <w:r w:rsidR="0096060B" w:rsidRPr="0096060B">
        <w:rPr>
          <w:rFonts w:hint="eastAsia"/>
          <w:lang w:eastAsia="zh-CN"/>
        </w:rPr>
        <w:t>基础设施</w:t>
      </w:r>
      <w:r w:rsidR="0096060B">
        <w:rPr>
          <w:rFonts w:hint="eastAsia"/>
          <w:lang w:eastAsia="zh-CN"/>
        </w:rPr>
        <w:t>、</w:t>
      </w:r>
      <w:r w:rsidR="0096060B" w:rsidRPr="0096060B">
        <w:rPr>
          <w:rFonts w:hint="eastAsia"/>
          <w:lang w:eastAsia="zh-CN"/>
        </w:rPr>
        <w:t>交通</w:t>
      </w:r>
      <w:r w:rsidR="0096060B">
        <w:rPr>
          <w:rFonts w:hint="eastAsia"/>
          <w:lang w:eastAsia="zh-CN"/>
        </w:rPr>
        <w:t>、</w:t>
      </w:r>
      <w:r w:rsidR="00103086">
        <w:rPr>
          <w:rFonts w:hint="eastAsia"/>
          <w:lang w:eastAsia="zh-CN"/>
        </w:rPr>
        <w:t>区域</w:t>
      </w:r>
      <w:r w:rsidR="0096060B" w:rsidRPr="0096060B">
        <w:rPr>
          <w:rFonts w:hint="eastAsia"/>
          <w:lang w:eastAsia="zh-CN"/>
        </w:rPr>
        <w:t>发展</w:t>
      </w:r>
      <w:r w:rsidR="0096060B">
        <w:rPr>
          <w:rFonts w:hint="eastAsia"/>
          <w:lang w:eastAsia="zh-CN"/>
        </w:rPr>
        <w:t>、</w:t>
      </w:r>
      <w:r w:rsidR="0096060B" w:rsidRPr="0096060B">
        <w:rPr>
          <w:rFonts w:hint="eastAsia"/>
          <w:lang w:eastAsia="zh-CN"/>
        </w:rPr>
        <w:t>通信</w:t>
      </w:r>
      <w:r w:rsidR="0096060B">
        <w:rPr>
          <w:rFonts w:hint="eastAsia"/>
          <w:lang w:eastAsia="zh-CN"/>
        </w:rPr>
        <w:t>、</w:t>
      </w:r>
      <w:r w:rsidR="0096060B" w:rsidRPr="0096060B">
        <w:rPr>
          <w:rFonts w:hint="eastAsia"/>
          <w:lang w:eastAsia="zh-CN"/>
        </w:rPr>
        <w:t>体育和艺术部</w:t>
      </w:r>
      <w:r w:rsidR="0096060B">
        <w:rPr>
          <w:rFonts w:hint="eastAsia"/>
          <w:lang w:eastAsia="zh-CN"/>
        </w:rPr>
        <w:t>（</w:t>
      </w:r>
      <w:r w:rsidR="0096060B" w:rsidRPr="00EA0AE6">
        <w:rPr>
          <w:lang w:eastAsia="zh-CN"/>
        </w:rPr>
        <w:t>DITRDCSA</w:t>
      </w:r>
      <w:r w:rsidR="0096060B">
        <w:rPr>
          <w:rFonts w:hint="eastAsia"/>
          <w:lang w:eastAsia="zh-CN"/>
        </w:rPr>
        <w:t>）的</w:t>
      </w:r>
      <w:r w:rsidR="0096060B" w:rsidRPr="00ED77B1">
        <w:rPr>
          <w:rFonts w:hint="eastAsia"/>
          <w:lang w:eastAsia="zh-CN"/>
        </w:rPr>
        <w:t>资助</w:t>
      </w:r>
      <w:r w:rsidR="0096060B">
        <w:rPr>
          <w:rFonts w:hint="eastAsia"/>
          <w:lang w:eastAsia="zh-CN"/>
        </w:rPr>
        <w:t>下，</w:t>
      </w:r>
      <w:r w:rsidRPr="00ED77B1">
        <w:rPr>
          <w:rFonts w:hint="eastAsia"/>
          <w:lang w:eastAsia="zh-CN"/>
        </w:rPr>
        <w:t>开展了太平洋地区需求评估和</w:t>
      </w:r>
      <w:r w:rsidR="00103086" w:rsidRPr="00103086">
        <w:rPr>
          <w:rFonts w:hint="eastAsia"/>
          <w:lang w:eastAsia="zh-CN"/>
        </w:rPr>
        <w:t>情况分析</w:t>
      </w:r>
      <w:r w:rsidR="0096060B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该研究确定了</w:t>
      </w:r>
      <w:r w:rsidR="0096060B" w:rsidRPr="00EA0AE6">
        <w:rPr>
          <w:lang w:eastAsia="zh-CN"/>
        </w:rPr>
        <w:t>PSIDS</w:t>
      </w:r>
      <w:r w:rsidR="00103086" w:rsidRPr="00103086">
        <w:rPr>
          <w:rFonts w:hint="eastAsia"/>
          <w:lang w:eastAsia="zh-CN"/>
        </w:rPr>
        <w:t>独特且迫切</w:t>
      </w:r>
      <w:r w:rsidRPr="00ED77B1">
        <w:rPr>
          <w:rFonts w:hint="eastAsia"/>
          <w:lang w:eastAsia="zh-CN"/>
        </w:rPr>
        <w:t>的</w:t>
      </w:r>
      <w:r w:rsidR="0096060B" w:rsidRPr="00EA0AE6">
        <w:rPr>
          <w:lang w:eastAsia="zh-CN"/>
        </w:rPr>
        <w:t>ICT</w:t>
      </w:r>
      <w:r w:rsidRPr="00ED77B1">
        <w:rPr>
          <w:rFonts w:hint="eastAsia"/>
          <w:lang w:eastAsia="zh-CN"/>
        </w:rPr>
        <w:t>和电信需求</w:t>
      </w:r>
      <w:r w:rsidR="0096060B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并提出一</w:t>
      </w:r>
      <w:r w:rsidR="0096060B">
        <w:rPr>
          <w:rFonts w:hint="eastAsia"/>
          <w:lang w:eastAsia="zh-CN"/>
        </w:rPr>
        <w:t>系列</w:t>
      </w:r>
      <w:r w:rsidR="000668C3" w:rsidRPr="000668C3">
        <w:rPr>
          <w:rFonts w:hint="eastAsia"/>
          <w:lang w:eastAsia="zh-CN"/>
        </w:rPr>
        <w:t>规划优先事项</w:t>
      </w:r>
      <w:r w:rsidR="00AE0A9E">
        <w:rPr>
          <w:rFonts w:hint="eastAsia"/>
          <w:lang w:eastAsia="zh-CN"/>
        </w:rPr>
        <w:t>，</w:t>
      </w:r>
      <w:r w:rsidR="000668C3" w:rsidRPr="000668C3">
        <w:rPr>
          <w:rFonts w:hint="eastAsia"/>
          <w:lang w:eastAsia="zh-CN"/>
        </w:rPr>
        <w:t>其中</w:t>
      </w:r>
      <w:r w:rsidRPr="000668C3">
        <w:rPr>
          <w:rFonts w:hint="eastAsia"/>
          <w:lang w:eastAsia="zh-CN"/>
        </w:rPr>
        <w:t>考虑</w:t>
      </w:r>
      <w:r w:rsidR="000668C3" w:rsidRPr="000668C3">
        <w:rPr>
          <w:rFonts w:hint="eastAsia"/>
          <w:lang w:eastAsia="zh-CN"/>
        </w:rPr>
        <w:t>了这些国家</w:t>
      </w:r>
      <w:r w:rsidR="000668C3">
        <w:rPr>
          <w:rFonts w:hint="eastAsia"/>
          <w:lang w:eastAsia="zh-CN"/>
        </w:rPr>
        <w:t>地域辽阔</w:t>
      </w:r>
      <w:r w:rsidR="00AE0A9E" w:rsidRPr="000668C3">
        <w:rPr>
          <w:rFonts w:hint="eastAsia"/>
          <w:lang w:eastAsia="zh-CN"/>
        </w:rPr>
        <w:t>、</w:t>
      </w:r>
      <w:r w:rsidR="00BF1498" w:rsidRPr="000668C3">
        <w:rPr>
          <w:rFonts w:hint="eastAsia"/>
          <w:lang w:eastAsia="zh-CN"/>
        </w:rPr>
        <w:t>经济</w:t>
      </w:r>
      <w:r w:rsidRPr="000668C3">
        <w:rPr>
          <w:rFonts w:hint="eastAsia"/>
          <w:lang w:eastAsia="zh-CN"/>
        </w:rPr>
        <w:t>规模小</w:t>
      </w:r>
      <w:r w:rsidR="000668C3">
        <w:rPr>
          <w:rFonts w:hint="eastAsia"/>
          <w:lang w:eastAsia="zh-CN"/>
        </w:rPr>
        <w:t>、</w:t>
      </w:r>
      <w:r w:rsidRPr="000668C3">
        <w:rPr>
          <w:rFonts w:hint="eastAsia"/>
          <w:lang w:eastAsia="zh-CN"/>
        </w:rPr>
        <w:t>与日内瓦</w:t>
      </w:r>
      <w:r w:rsidRPr="00ED77B1">
        <w:rPr>
          <w:rFonts w:hint="eastAsia"/>
          <w:lang w:eastAsia="zh-CN"/>
        </w:rPr>
        <w:t>和曼谷</w:t>
      </w:r>
      <w:r w:rsidR="000668C3">
        <w:rPr>
          <w:rFonts w:hint="eastAsia"/>
          <w:lang w:eastAsia="zh-CN"/>
        </w:rPr>
        <w:t>存在</w:t>
      </w:r>
      <w:r w:rsidRPr="00ED77B1">
        <w:rPr>
          <w:rFonts w:hint="eastAsia"/>
          <w:lang w:eastAsia="zh-CN"/>
        </w:rPr>
        <w:t>时差等</w:t>
      </w:r>
      <w:r w:rsidR="000668C3">
        <w:rPr>
          <w:rFonts w:hint="eastAsia"/>
          <w:lang w:eastAsia="zh-CN"/>
        </w:rPr>
        <w:t>因素</w:t>
      </w:r>
      <w:r w:rsidR="00AE0A9E">
        <w:rPr>
          <w:rFonts w:hint="eastAsia"/>
          <w:lang w:eastAsia="zh-CN"/>
        </w:rPr>
        <w:t>。</w:t>
      </w:r>
      <w:r w:rsidR="00AE0A9E" w:rsidRPr="00EA0AE6">
        <w:rPr>
          <w:lang w:eastAsia="zh-CN"/>
        </w:rPr>
        <w:t>2025</w:t>
      </w:r>
      <w:r w:rsidRPr="00ED77B1">
        <w:rPr>
          <w:rFonts w:hint="eastAsia"/>
          <w:lang w:eastAsia="zh-CN"/>
        </w:rPr>
        <w:t>年</w:t>
      </w:r>
      <w:r w:rsidRPr="00ED77B1">
        <w:rPr>
          <w:rFonts w:hint="eastAsia"/>
          <w:lang w:eastAsia="zh-CN"/>
        </w:rPr>
        <w:t>2</w:t>
      </w:r>
      <w:r w:rsidRPr="00ED77B1">
        <w:rPr>
          <w:rFonts w:hint="eastAsia"/>
          <w:lang w:eastAsia="zh-CN"/>
        </w:rPr>
        <w:t>月</w:t>
      </w:r>
      <w:r w:rsidR="00BF149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在斐济苏瓦与</w:t>
      </w:r>
      <w:r w:rsidR="00AE0A9E" w:rsidRPr="00EA0AE6">
        <w:rPr>
          <w:lang w:eastAsia="zh-CN"/>
        </w:rPr>
        <w:t>PSIDS</w:t>
      </w:r>
      <w:r w:rsidRPr="00ED77B1">
        <w:rPr>
          <w:rFonts w:hint="eastAsia"/>
          <w:lang w:eastAsia="zh-CN"/>
        </w:rPr>
        <w:t>的代表讨论了</w:t>
      </w:r>
      <w:r w:rsidR="00103086">
        <w:rPr>
          <w:rFonts w:hint="eastAsia"/>
          <w:lang w:eastAsia="zh-CN"/>
        </w:rPr>
        <w:t>研究</w:t>
      </w:r>
      <w:r w:rsidRPr="00ED77B1">
        <w:rPr>
          <w:rFonts w:hint="eastAsia"/>
          <w:lang w:eastAsia="zh-CN"/>
        </w:rPr>
        <w:t>结果</w:t>
      </w:r>
      <w:r w:rsidR="00AE0A9E">
        <w:rPr>
          <w:rFonts w:hint="eastAsia"/>
          <w:lang w:eastAsia="zh-CN"/>
        </w:rPr>
        <w:t>，</w:t>
      </w:r>
      <w:r w:rsidR="00103086">
        <w:rPr>
          <w:rFonts w:hint="eastAsia"/>
          <w:lang w:eastAsia="zh-CN"/>
        </w:rPr>
        <w:t>此后</w:t>
      </w:r>
      <w:r w:rsidR="00103086" w:rsidRPr="00ED77B1">
        <w:rPr>
          <w:rFonts w:hint="eastAsia"/>
          <w:lang w:eastAsia="zh-CN"/>
        </w:rPr>
        <w:t>报告</w:t>
      </w:r>
      <w:r w:rsidR="00103086">
        <w:rPr>
          <w:rFonts w:hint="eastAsia"/>
          <w:lang w:eastAsia="zh-CN"/>
        </w:rPr>
        <w:t>经过数</w:t>
      </w:r>
      <w:r w:rsidR="00103086" w:rsidRPr="00ED77B1">
        <w:rPr>
          <w:rFonts w:hint="eastAsia"/>
          <w:lang w:eastAsia="zh-CN"/>
        </w:rPr>
        <w:t>轮更新</w:t>
      </w:r>
      <w:r w:rsidRPr="00ED77B1">
        <w:rPr>
          <w:rFonts w:hint="eastAsia"/>
          <w:lang w:eastAsia="zh-CN"/>
        </w:rPr>
        <w:t>后最终定稿</w:t>
      </w:r>
      <w:r w:rsidR="00AE0A9E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需求评估</w:t>
      </w:r>
      <w:r w:rsidR="00103086">
        <w:rPr>
          <w:rFonts w:hint="eastAsia"/>
          <w:lang w:eastAsia="zh-CN"/>
        </w:rPr>
        <w:t>与</w:t>
      </w:r>
      <w:r w:rsidR="00103086" w:rsidRPr="00103086">
        <w:rPr>
          <w:rFonts w:hint="eastAsia"/>
          <w:lang w:eastAsia="zh-CN"/>
        </w:rPr>
        <w:t>情况分析</w:t>
      </w:r>
      <w:r w:rsidR="00BF1498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摘要作为</w:t>
      </w:r>
      <w:r w:rsidR="00AE0A9E" w:rsidRPr="00EA0AE6">
        <w:rPr>
          <w:lang w:eastAsia="zh-CN"/>
        </w:rPr>
        <w:t>TDAG2</w:t>
      </w:r>
      <w:r w:rsidRPr="00ED77B1">
        <w:rPr>
          <w:rFonts w:hint="eastAsia"/>
          <w:lang w:eastAsia="zh-CN"/>
        </w:rPr>
        <w:t>号文件</w:t>
      </w:r>
      <w:r w:rsidR="00AE0A9E" w:rsidRPr="00AE0A9E">
        <w:rPr>
          <w:rFonts w:hint="eastAsia"/>
          <w:lang w:eastAsia="zh-CN"/>
        </w:rPr>
        <w:t>补遗</w:t>
      </w:r>
      <w:r w:rsidR="00AE0A9E" w:rsidRPr="00EA0AE6">
        <w:rPr>
          <w:lang w:eastAsia="zh-CN"/>
        </w:rPr>
        <w:t>1</w:t>
      </w:r>
      <w:r w:rsidRPr="00ED77B1">
        <w:rPr>
          <w:rFonts w:hint="eastAsia"/>
          <w:lang w:eastAsia="zh-CN"/>
        </w:rPr>
        <w:t>的附件</w:t>
      </w:r>
      <w:r w:rsidR="00AE0A9E" w:rsidRPr="00EA0AE6">
        <w:rPr>
          <w:lang w:eastAsia="zh-CN"/>
        </w:rPr>
        <w:t>1</w:t>
      </w:r>
      <w:r w:rsidR="00AE0A9E">
        <w:rPr>
          <w:rFonts w:hint="eastAsia"/>
          <w:lang w:eastAsia="zh-CN"/>
        </w:rPr>
        <w:t>（</w:t>
      </w:r>
      <w:r w:rsidR="00AE0A9E" w:rsidRPr="00EA0AE6">
        <w:rPr>
          <w:lang w:eastAsia="zh-CN"/>
        </w:rPr>
        <w:t>TDAG-26/2(Add.1)</w:t>
      </w:r>
      <w:r w:rsidR="00AE0A9E" w:rsidRPr="00ED77B1">
        <w:rPr>
          <w:rFonts w:hint="eastAsia"/>
          <w:lang w:eastAsia="zh-CN"/>
        </w:rPr>
        <w:t>号文件附件</w:t>
      </w:r>
      <w:r w:rsidR="00AE0A9E" w:rsidRPr="00EA0AE6">
        <w:rPr>
          <w:lang w:eastAsia="zh-CN"/>
        </w:rPr>
        <w:t>1</w:t>
      </w:r>
      <w:r w:rsidR="00AE0A9E">
        <w:rPr>
          <w:rFonts w:hint="eastAsia"/>
          <w:lang w:eastAsia="zh-CN"/>
        </w:rPr>
        <w:t>）</w:t>
      </w:r>
      <w:r w:rsidRPr="00ED77B1">
        <w:rPr>
          <w:rFonts w:hint="eastAsia"/>
          <w:lang w:eastAsia="zh-CN"/>
        </w:rPr>
        <w:t>提交</w:t>
      </w:r>
      <w:r w:rsidR="00AE0A9E">
        <w:rPr>
          <w:rFonts w:hint="eastAsia"/>
          <w:lang w:eastAsia="zh-CN"/>
        </w:rPr>
        <w:t>给了</w:t>
      </w:r>
      <w:r w:rsidR="00AE0A9E" w:rsidRPr="00EA0AE6">
        <w:rPr>
          <w:lang w:eastAsia="zh-CN"/>
        </w:rPr>
        <w:t>2026</w:t>
      </w:r>
      <w:r w:rsidR="00AE0A9E">
        <w:rPr>
          <w:rFonts w:hint="eastAsia"/>
          <w:lang w:eastAsia="zh-CN"/>
        </w:rPr>
        <w:t>年</w:t>
      </w:r>
      <w:r w:rsidR="00AE0A9E" w:rsidRPr="00EA0AE6">
        <w:rPr>
          <w:lang w:eastAsia="zh-CN"/>
        </w:rPr>
        <w:t>TDAG</w:t>
      </w:r>
      <w:r w:rsidRPr="00ED77B1">
        <w:rPr>
          <w:rFonts w:hint="eastAsia"/>
          <w:lang w:eastAsia="zh-CN"/>
        </w:rPr>
        <w:t>会议</w:t>
      </w:r>
      <w:r w:rsidR="00AE0A9E">
        <w:rPr>
          <w:rFonts w:hint="eastAsia"/>
          <w:lang w:eastAsia="zh-CN"/>
        </w:rPr>
        <w:t>。</w:t>
      </w:r>
    </w:p>
    <w:p w14:paraId="21DFF8F0" w14:textId="44348A16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需求评估和</w:t>
      </w:r>
      <w:r w:rsidR="000668C3" w:rsidRPr="000668C3">
        <w:rPr>
          <w:rFonts w:hint="eastAsia"/>
          <w:lang w:eastAsia="zh-CN"/>
        </w:rPr>
        <w:t>情况分析</w:t>
      </w:r>
      <w:r w:rsidRPr="00ED77B1">
        <w:rPr>
          <w:rFonts w:hint="eastAsia"/>
          <w:lang w:eastAsia="zh-CN"/>
        </w:rPr>
        <w:t>发现</w:t>
      </w:r>
      <w:r w:rsidR="00AE0A9E">
        <w:rPr>
          <w:rFonts w:hint="eastAsia"/>
          <w:lang w:eastAsia="zh-CN"/>
        </w:rPr>
        <w:t>，</w:t>
      </w:r>
      <w:r w:rsidR="00AE0A9E" w:rsidRPr="00EA0AE6">
        <w:rPr>
          <w:lang w:eastAsia="zh-CN"/>
        </w:rPr>
        <w:t>PSIDS</w:t>
      </w:r>
      <w:r w:rsidRPr="00ED77B1">
        <w:rPr>
          <w:rFonts w:hint="eastAsia"/>
          <w:lang w:eastAsia="zh-CN"/>
        </w:rPr>
        <w:t>面临</w:t>
      </w:r>
      <w:r w:rsidR="00AE0A9E" w:rsidRPr="00AE0A9E">
        <w:rPr>
          <w:rFonts w:hint="eastAsia"/>
          <w:lang w:eastAsia="zh-CN"/>
        </w:rPr>
        <w:t>结构性和</w:t>
      </w:r>
      <w:r w:rsidR="00056A53">
        <w:rPr>
          <w:rFonts w:hint="eastAsia"/>
          <w:lang w:eastAsia="zh-CN"/>
        </w:rPr>
        <w:t>环境</w:t>
      </w:r>
      <w:r w:rsidR="00AE0A9E" w:rsidRPr="00AE0A9E">
        <w:rPr>
          <w:rFonts w:hint="eastAsia"/>
          <w:lang w:eastAsia="zh-CN"/>
        </w:rPr>
        <w:t>性挑战</w:t>
      </w:r>
      <w:r w:rsidR="00AE0A9E">
        <w:rPr>
          <w:rFonts w:hint="eastAsia"/>
          <w:lang w:eastAsia="zh-CN"/>
        </w:rPr>
        <w:t>，持续</w:t>
      </w:r>
      <w:r w:rsidRPr="00ED77B1">
        <w:rPr>
          <w:rFonts w:hint="eastAsia"/>
          <w:lang w:eastAsia="zh-CN"/>
        </w:rPr>
        <w:t>阻碍</w:t>
      </w:r>
      <w:r w:rsidR="00056A53">
        <w:rPr>
          <w:rFonts w:hint="eastAsia"/>
          <w:lang w:eastAsia="zh-CN"/>
        </w:rPr>
        <w:t>着这些国家的</w:t>
      </w:r>
      <w:r w:rsidRPr="00ED77B1">
        <w:rPr>
          <w:rFonts w:hint="eastAsia"/>
          <w:lang w:eastAsia="zh-CN"/>
        </w:rPr>
        <w:t>数字化转型</w:t>
      </w:r>
      <w:r w:rsidR="00AE0A9E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核心基础设施差距</w:t>
      </w:r>
      <w:r w:rsidR="00AE0A9E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包括宽带普及率低且不均衡</w:t>
      </w:r>
      <w:r w:rsidR="00AE0A9E">
        <w:rPr>
          <w:rFonts w:hint="eastAsia"/>
          <w:lang w:eastAsia="zh-CN"/>
        </w:rPr>
        <w:t>、</w:t>
      </w:r>
      <w:r w:rsidR="00E64719">
        <w:rPr>
          <w:rFonts w:hint="eastAsia"/>
          <w:lang w:eastAsia="zh-CN"/>
        </w:rPr>
        <w:t>依赖</w:t>
      </w:r>
      <w:r w:rsidRPr="00ED77B1">
        <w:rPr>
          <w:rFonts w:hint="eastAsia"/>
          <w:lang w:eastAsia="zh-CN"/>
        </w:rPr>
        <w:t>单一</w:t>
      </w:r>
      <w:r w:rsidR="00E64719">
        <w:rPr>
          <w:rFonts w:hint="eastAsia"/>
          <w:lang w:eastAsia="zh-CN"/>
        </w:rPr>
        <w:t>海底光缆</w:t>
      </w:r>
      <w:r w:rsidRPr="00ED77B1">
        <w:rPr>
          <w:rFonts w:hint="eastAsia"/>
          <w:lang w:eastAsia="zh-CN"/>
        </w:rPr>
        <w:t>以及</w:t>
      </w:r>
      <w:r w:rsidR="00E64719" w:rsidRPr="00ED77B1">
        <w:rPr>
          <w:rFonts w:hint="eastAsia"/>
          <w:lang w:eastAsia="zh-CN"/>
        </w:rPr>
        <w:t>农村</w:t>
      </w:r>
      <w:r w:rsidR="000668C3">
        <w:rPr>
          <w:rFonts w:hint="eastAsia"/>
          <w:lang w:eastAsia="zh-CN"/>
        </w:rPr>
        <w:t>地区</w:t>
      </w:r>
      <w:r w:rsidR="00E64719" w:rsidRPr="00ED77B1">
        <w:rPr>
          <w:rFonts w:hint="eastAsia"/>
          <w:lang w:eastAsia="zh-CN"/>
        </w:rPr>
        <w:t>接入</w:t>
      </w:r>
      <w:r w:rsidRPr="00ED77B1">
        <w:rPr>
          <w:rFonts w:hint="eastAsia"/>
          <w:lang w:eastAsia="zh-CN"/>
        </w:rPr>
        <w:t>有限</w:t>
      </w:r>
      <w:r w:rsidR="00E64719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限制了</w:t>
      </w:r>
      <w:r w:rsidR="000668C3">
        <w:rPr>
          <w:rFonts w:hint="eastAsia"/>
          <w:lang w:eastAsia="zh-CN"/>
        </w:rPr>
        <w:t>网络</w:t>
      </w:r>
      <w:r w:rsidR="00E64719">
        <w:rPr>
          <w:rFonts w:hint="eastAsia"/>
          <w:lang w:eastAsia="zh-CN"/>
        </w:rPr>
        <w:t>连接。价格可承受</w:t>
      </w:r>
      <w:r w:rsidRPr="00ED77B1">
        <w:rPr>
          <w:rFonts w:hint="eastAsia"/>
          <w:lang w:eastAsia="zh-CN"/>
        </w:rPr>
        <w:t>性仍是一大障碍</w:t>
      </w:r>
      <w:r w:rsidR="00E64719">
        <w:rPr>
          <w:rFonts w:hint="eastAsia"/>
          <w:lang w:eastAsia="zh-CN"/>
        </w:rPr>
        <w:t>，</w:t>
      </w:r>
      <w:r w:rsidR="000668C3">
        <w:rPr>
          <w:rFonts w:hint="eastAsia"/>
          <w:lang w:eastAsia="zh-CN"/>
        </w:rPr>
        <w:t>多个国家的</w:t>
      </w:r>
      <w:r w:rsidRPr="00ED77B1">
        <w:rPr>
          <w:rFonts w:hint="eastAsia"/>
          <w:lang w:eastAsia="zh-CN"/>
        </w:rPr>
        <w:t>互联网费用远超全球目标</w:t>
      </w:r>
      <w:r w:rsidR="00E64719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且</w:t>
      </w:r>
      <w:r w:rsidR="000668C3">
        <w:rPr>
          <w:rFonts w:hint="eastAsia"/>
          <w:lang w:eastAsia="zh-CN"/>
        </w:rPr>
        <w:t>占</w:t>
      </w:r>
      <w:r w:rsidR="00E64719" w:rsidRPr="00E64719">
        <w:rPr>
          <w:rFonts w:hint="eastAsia"/>
          <w:lang w:eastAsia="zh-CN"/>
        </w:rPr>
        <w:t>家庭收入</w:t>
      </w:r>
      <w:r w:rsidR="00E64719">
        <w:rPr>
          <w:rFonts w:hint="eastAsia"/>
          <w:lang w:eastAsia="zh-CN"/>
        </w:rPr>
        <w:t>的</w:t>
      </w:r>
      <w:r w:rsidR="000668C3">
        <w:rPr>
          <w:rFonts w:hint="eastAsia"/>
          <w:lang w:eastAsia="zh-CN"/>
        </w:rPr>
        <w:t>比例</w:t>
      </w:r>
      <w:r w:rsidR="00E64719" w:rsidRPr="00E64719">
        <w:rPr>
          <w:rFonts w:hint="eastAsia"/>
          <w:lang w:eastAsia="zh-CN"/>
        </w:rPr>
        <w:t>过高</w:t>
      </w:r>
      <w:r w:rsidR="00E64719">
        <w:rPr>
          <w:rFonts w:hint="eastAsia"/>
          <w:lang w:eastAsia="zh-CN"/>
        </w:rPr>
        <w:t>。</w:t>
      </w:r>
      <w:r w:rsidR="00E64719" w:rsidRPr="00ED77B1">
        <w:rPr>
          <w:rFonts w:hint="eastAsia"/>
          <w:lang w:eastAsia="zh-CN"/>
        </w:rPr>
        <w:t>监管环境</w:t>
      </w:r>
      <w:r w:rsidRPr="00ED77B1">
        <w:rPr>
          <w:rFonts w:hint="eastAsia"/>
          <w:lang w:eastAsia="zh-CN"/>
        </w:rPr>
        <w:t>分散</w:t>
      </w:r>
      <w:r w:rsidR="000A27BD">
        <w:rPr>
          <w:rFonts w:hint="eastAsia"/>
          <w:lang w:eastAsia="zh-CN"/>
        </w:rPr>
        <w:t>，且</w:t>
      </w:r>
      <w:r w:rsidRPr="00ED77B1">
        <w:rPr>
          <w:rFonts w:hint="eastAsia"/>
          <w:lang w:eastAsia="zh-CN"/>
        </w:rPr>
        <w:t>各</w:t>
      </w:r>
      <w:r w:rsidR="00056A53">
        <w:rPr>
          <w:rFonts w:hint="eastAsia"/>
          <w:lang w:eastAsia="zh-CN"/>
        </w:rPr>
        <w:t>管辖</w:t>
      </w:r>
      <w:r w:rsidRPr="00ED77B1">
        <w:rPr>
          <w:rFonts w:hint="eastAsia"/>
          <w:lang w:eastAsia="zh-CN"/>
        </w:rPr>
        <w:t>区</w:t>
      </w:r>
      <w:r w:rsidR="000A27BD">
        <w:rPr>
          <w:rFonts w:hint="eastAsia"/>
          <w:lang w:eastAsia="zh-CN"/>
        </w:rPr>
        <w:t>之</w:t>
      </w:r>
      <w:r w:rsidRPr="00ED77B1">
        <w:rPr>
          <w:rFonts w:hint="eastAsia"/>
          <w:lang w:eastAsia="zh-CN"/>
        </w:rPr>
        <w:t>间的</w:t>
      </w:r>
      <w:r w:rsidR="00E64719" w:rsidRPr="00ED77B1">
        <w:rPr>
          <w:rFonts w:hint="eastAsia"/>
          <w:lang w:eastAsia="zh-CN"/>
        </w:rPr>
        <w:t>协调</w:t>
      </w:r>
      <w:r w:rsidR="000668C3">
        <w:rPr>
          <w:rFonts w:hint="eastAsia"/>
          <w:lang w:eastAsia="zh-CN"/>
        </w:rPr>
        <w:t>不足</w:t>
      </w:r>
      <w:r w:rsidR="000A27BD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进一步</w:t>
      </w:r>
      <w:r w:rsidR="00E64719">
        <w:rPr>
          <w:rFonts w:hint="eastAsia"/>
          <w:lang w:eastAsia="zh-CN"/>
        </w:rPr>
        <w:t>抑制</w:t>
      </w:r>
      <w:r w:rsidRPr="00ED77B1">
        <w:rPr>
          <w:rFonts w:hint="eastAsia"/>
          <w:lang w:eastAsia="zh-CN"/>
        </w:rPr>
        <w:t>了私人投资</w:t>
      </w:r>
      <w:r w:rsidR="00E64719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并使</w:t>
      </w:r>
      <w:r w:rsidR="00E64719" w:rsidRPr="00E64719">
        <w:rPr>
          <w:rFonts w:hint="eastAsia"/>
          <w:lang w:eastAsia="zh-CN"/>
        </w:rPr>
        <w:t>区域</w:t>
      </w:r>
      <w:r w:rsidR="00056A53">
        <w:rPr>
          <w:rFonts w:hint="eastAsia"/>
          <w:lang w:eastAsia="zh-CN"/>
        </w:rPr>
        <w:t>性</w:t>
      </w:r>
      <w:r w:rsidR="00E64719" w:rsidRPr="00E64719">
        <w:rPr>
          <w:rFonts w:hint="eastAsia"/>
          <w:lang w:eastAsia="zh-CN"/>
        </w:rPr>
        <w:t>合作变得复杂</w:t>
      </w:r>
      <w:r w:rsidR="00E64719">
        <w:rPr>
          <w:rFonts w:hint="eastAsia"/>
          <w:lang w:eastAsia="zh-CN"/>
        </w:rPr>
        <w:t>。</w:t>
      </w:r>
    </w:p>
    <w:p w14:paraId="285DC5F6" w14:textId="082F885D" w:rsidR="00EA0AE6" w:rsidRPr="00EA0AE6" w:rsidRDefault="00E64719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能力</w:t>
      </w:r>
      <w:r w:rsidR="00ED77B1" w:rsidRPr="00ED77B1">
        <w:rPr>
          <w:rFonts w:hint="eastAsia"/>
          <w:lang w:eastAsia="zh-CN"/>
        </w:rPr>
        <w:t>限制</w:t>
      </w:r>
      <w:r w:rsidR="00B62D8F" w:rsidRPr="00B62D8F">
        <w:rPr>
          <w:rFonts w:hint="eastAsia"/>
          <w:lang w:eastAsia="zh-CN"/>
        </w:rPr>
        <w:t>加剧</w:t>
      </w:r>
      <w:r w:rsidR="00ED77B1" w:rsidRPr="00ED77B1">
        <w:rPr>
          <w:rFonts w:hint="eastAsia"/>
          <w:lang w:eastAsia="zh-CN"/>
        </w:rPr>
        <w:t>了数字鸿沟</w:t>
      </w:r>
      <w:r>
        <w:rPr>
          <w:rFonts w:hint="eastAsia"/>
          <w:lang w:eastAsia="zh-CN"/>
        </w:rPr>
        <w:t>。</w:t>
      </w:r>
      <w:r w:rsidR="00ED77B1" w:rsidRPr="00ED77B1">
        <w:rPr>
          <w:rFonts w:hint="eastAsia"/>
          <w:lang w:eastAsia="zh-CN"/>
        </w:rPr>
        <w:t>大多数</w:t>
      </w:r>
      <w:r w:rsidRPr="00EA0AE6">
        <w:rPr>
          <w:lang w:eastAsia="zh-CN"/>
        </w:rPr>
        <w:t>PSIDS</w:t>
      </w:r>
      <w:r w:rsidR="00ED77B1" w:rsidRPr="00ED77B1">
        <w:rPr>
          <w:rFonts w:hint="eastAsia"/>
          <w:lang w:eastAsia="zh-CN"/>
        </w:rPr>
        <w:t>面临</w:t>
      </w:r>
      <w:r w:rsidRPr="00EA0AE6">
        <w:rPr>
          <w:lang w:eastAsia="zh-CN"/>
        </w:rPr>
        <w:t>ICT</w:t>
      </w:r>
      <w:r w:rsidR="00ED77B1" w:rsidRPr="00ED77B1">
        <w:rPr>
          <w:rFonts w:hint="eastAsia"/>
          <w:lang w:eastAsia="zh-CN"/>
        </w:rPr>
        <w:t>专业</w:t>
      </w:r>
      <w:r w:rsidR="00B62D8F">
        <w:rPr>
          <w:rFonts w:hint="eastAsia"/>
          <w:lang w:eastAsia="zh-CN"/>
        </w:rPr>
        <w:t>人才</w:t>
      </w:r>
      <w:r w:rsidR="00ED77B1" w:rsidRPr="00ED77B1">
        <w:rPr>
          <w:rFonts w:hint="eastAsia"/>
          <w:lang w:eastAsia="zh-CN"/>
        </w:rPr>
        <w:t>短缺和机构能力</w:t>
      </w:r>
      <w:r w:rsidRPr="00ED77B1">
        <w:rPr>
          <w:rFonts w:hint="eastAsia"/>
          <w:lang w:eastAsia="zh-CN"/>
        </w:rPr>
        <w:t>有限</w:t>
      </w:r>
      <w:r>
        <w:rPr>
          <w:rFonts w:hint="eastAsia"/>
          <w:lang w:eastAsia="zh-CN"/>
        </w:rPr>
        <w:t>的问题，</w:t>
      </w:r>
      <w:r w:rsidR="00B62D8F">
        <w:rPr>
          <w:rFonts w:hint="eastAsia"/>
          <w:lang w:eastAsia="zh-CN"/>
        </w:rPr>
        <w:t>这</w:t>
      </w:r>
      <w:r w:rsidR="00ED77B1" w:rsidRPr="00ED77B1">
        <w:rPr>
          <w:rFonts w:hint="eastAsia"/>
          <w:lang w:eastAsia="zh-CN"/>
        </w:rPr>
        <w:t>影响了数字</w:t>
      </w:r>
      <w:r>
        <w:rPr>
          <w:rFonts w:hint="eastAsia"/>
          <w:lang w:eastAsia="zh-CN"/>
        </w:rPr>
        <w:t>服务</w:t>
      </w:r>
      <w:r w:rsidR="00ED77B1" w:rsidRPr="00ED77B1">
        <w:rPr>
          <w:rFonts w:hint="eastAsia"/>
          <w:lang w:eastAsia="zh-CN"/>
        </w:rPr>
        <w:t>的</w:t>
      </w:r>
      <w:r w:rsidR="00B62D8F">
        <w:rPr>
          <w:rFonts w:hint="eastAsia"/>
          <w:lang w:eastAsia="zh-CN"/>
        </w:rPr>
        <w:t>开发</w:t>
      </w:r>
      <w:r w:rsidR="00ED77B1" w:rsidRPr="00ED77B1">
        <w:rPr>
          <w:rFonts w:hint="eastAsia"/>
          <w:lang w:eastAsia="zh-CN"/>
        </w:rPr>
        <w:t>和维护</w:t>
      </w:r>
      <w:r>
        <w:rPr>
          <w:rFonts w:hint="eastAsia"/>
          <w:lang w:eastAsia="zh-CN"/>
        </w:rPr>
        <w:t>。</w:t>
      </w:r>
      <w:r w:rsidR="00ED77B1" w:rsidRPr="00ED77B1">
        <w:rPr>
          <w:rFonts w:hint="eastAsia"/>
          <w:lang w:eastAsia="zh-CN"/>
        </w:rPr>
        <w:t>网络安全</w:t>
      </w:r>
      <w:r w:rsidR="000A3EC7" w:rsidRPr="000A3EC7">
        <w:rPr>
          <w:rFonts w:hint="eastAsia"/>
          <w:lang w:eastAsia="zh-CN"/>
        </w:rPr>
        <w:t>防范能力</w:t>
      </w:r>
      <w:r w:rsidR="00ED77B1" w:rsidRPr="00ED77B1">
        <w:rPr>
          <w:rFonts w:hint="eastAsia"/>
          <w:lang w:eastAsia="zh-CN"/>
        </w:rPr>
        <w:t>薄弱</w:t>
      </w:r>
      <w:r w:rsidR="000A3EC7">
        <w:rPr>
          <w:rFonts w:hint="eastAsia"/>
          <w:lang w:eastAsia="zh-CN"/>
        </w:rPr>
        <w:t>，</w:t>
      </w:r>
      <w:r w:rsidR="00ED77B1" w:rsidRPr="00ED77B1">
        <w:rPr>
          <w:rFonts w:hint="eastAsia"/>
          <w:lang w:eastAsia="zh-CN"/>
        </w:rPr>
        <w:t>电子废弃物管理</w:t>
      </w:r>
      <w:r w:rsidR="00B62D8F">
        <w:rPr>
          <w:rFonts w:hint="eastAsia"/>
          <w:lang w:eastAsia="zh-CN"/>
        </w:rPr>
        <w:t>体系不完善</w:t>
      </w:r>
      <w:r w:rsidR="000A3EC7">
        <w:rPr>
          <w:rFonts w:hint="eastAsia"/>
          <w:lang w:eastAsia="zh-CN"/>
        </w:rPr>
        <w:t>，</w:t>
      </w:r>
      <w:r w:rsidR="00ED77B1" w:rsidRPr="00615A75">
        <w:rPr>
          <w:rFonts w:hint="eastAsia"/>
          <w:lang w:eastAsia="zh-CN"/>
        </w:rPr>
        <w:t>数字基础设施</w:t>
      </w:r>
      <w:r w:rsidR="000A3EC7" w:rsidRPr="00615A75">
        <w:rPr>
          <w:rFonts w:hint="eastAsia"/>
          <w:lang w:eastAsia="zh-CN"/>
        </w:rPr>
        <w:t>极易受到气候相关干扰的影响。高昂的资本成本、</w:t>
      </w:r>
      <w:r w:rsidR="00ED77B1" w:rsidRPr="00615A75">
        <w:rPr>
          <w:rFonts w:hint="eastAsia"/>
          <w:lang w:eastAsia="zh-CN"/>
        </w:rPr>
        <w:t>对外部</w:t>
      </w:r>
      <w:r w:rsidR="000A3EC7" w:rsidRPr="00615A75">
        <w:rPr>
          <w:rFonts w:hint="eastAsia"/>
          <w:lang w:eastAsia="zh-CN"/>
        </w:rPr>
        <w:t>资金的</w:t>
      </w:r>
      <w:r w:rsidR="00ED77B1" w:rsidRPr="00615A75">
        <w:rPr>
          <w:rFonts w:hint="eastAsia"/>
          <w:lang w:eastAsia="zh-CN"/>
        </w:rPr>
        <w:t>依赖以及数字政务</w:t>
      </w:r>
      <w:r w:rsidR="000A3EC7" w:rsidRPr="00615A75">
        <w:rPr>
          <w:rFonts w:hint="eastAsia"/>
          <w:lang w:eastAsia="zh-CN"/>
        </w:rPr>
        <w:t>发展</w:t>
      </w:r>
      <w:r w:rsidR="00ED77B1" w:rsidRPr="00615A75">
        <w:rPr>
          <w:rFonts w:hint="eastAsia"/>
          <w:lang w:eastAsia="zh-CN"/>
        </w:rPr>
        <w:t>不</w:t>
      </w:r>
      <w:r w:rsidR="000A3EC7" w:rsidRPr="00615A75">
        <w:rPr>
          <w:rFonts w:hint="eastAsia"/>
          <w:lang w:eastAsia="zh-CN"/>
        </w:rPr>
        <w:t>均衡</w:t>
      </w:r>
      <w:r w:rsidR="00B62D8F" w:rsidRPr="00615A75">
        <w:rPr>
          <w:rFonts w:hint="eastAsia"/>
          <w:lang w:eastAsia="zh-CN"/>
        </w:rPr>
        <w:t>，</w:t>
      </w:r>
      <w:r w:rsidR="000A3EC7" w:rsidRPr="00615A75">
        <w:rPr>
          <w:rFonts w:hint="eastAsia"/>
          <w:lang w:eastAsia="zh-CN"/>
        </w:rPr>
        <w:t>进一步</w:t>
      </w:r>
      <w:r w:rsidR="00ED77B1" w:rsidRPr="00615A75">
        <w:rPr>
          <w:rFonts w:hint="eastAsia"/>
          <w:lang w:eastAsia="zh-CN"/>
        </w:rPr>
        <w:t>加剧</w:t>
      </w:r>
      <w:r w:rsidR="00B62D8F" w:rsidRPr="00615A75">
        <w:rPr>
          <w:rFonts w:hint="eastAsia"/>
          <w:lang w:eastAsia="zh-CN"/>
        </w:rPr>
        <w:t>了这些挑战</w:t>
      </w:r>
      <w:r w:rsidR="000A3EC7" w:rsidRPr="00615A75">
        <w:rPr>
          <w:rFonts w:hint="eastAsia"/>
          <w:lang w:eastAsia="zh-CN"/>
        </w:rPr>
        <w:t>，在数字政务领域，</w:t>
      </w:r>
      <w:r w:rsidR="00ED77B1" w:rsidRPr="00615A75">
        <w:rPr>
          <w:rFonts w:hint="eastAsia"/>
          <w:lang w:eastAsia="zh-CN"/>
        </w:rPr>
        <w:t>虽然人力资本</w:t>
      </w:r>
      <w:r w:rsidR="000A27BD" w:rsidRPr="00615A75">
        <w:rPr>
          <w:rFonts w:hint="eastAsia"/>
          <w:lang w:eastAsia="zh-CN"/>
        </w:rPr>
        <w:t>并不缺乏</w:t>
      </w:r>
      <w:r w:rsidR="000A3EC7" w:rsidRPr="00615A75">
        <w:rPr>
          <w:rFonts w:hint="eastAsia"/>
          <w:lang w:eastAsia="zh-CN"/>
        </w:rPr>
        <w:t>，</w:t>
      </w:r>
      <w:r w:rsidR="00ED77B1" w:rsidRPr="00615A75">
        <w:rPr>
          <w:rFonts w:hint="eastAsia"/>
          <w:lang w:eastAsia="zh-CN"/>
        </w:rPr>
        <w:t>但往往缺</w:t>
      </w:r>
      <w:r w:rsidR="00B62D8F" w:rsidRPr="00615A75">
        <w:rPr>
          <w:rFonts w:hint="eastAsia"/>
          <w:lang w:eastAsia="zh-CN"/>
        </w:rPr>
        <w:t>少</w:t>
      </w:r>
      <w:r w:rsidR="000A3EC7" w:rsidRPr="00615A75">
        <w:rPr>
          <w:rFonts w:hint="eastAsia"/>
          <w:lang w:eastAsia="zh-CN"/>
        </w:rPr>
        <w:t>支持</w:t>
      </w:r>
      <w:r w:rsidR="00ED77B1" w:rsidRPr="00615A75">
        <w:rPr>
          <w:rFonts w:hint="eastAsia"/>
          <w:lang w:eastAsia="zh-CN"/>
        </w:rPr>
        <w:t>有效</w:t>
      </w:r>
      <w:r w:rsidR="00B62D8F" w:rsidRPr="00615A75">
        <w:rPr>
          <w:rFonts w:hint="eastAsia"/>
          <w:lang w:eastAsia="zh-CN"/>
        </w:rPr>
        <w:t>提供</w:t>
      </w:r>
      <w:r w:rsidR="00ED77B1" w:rsidRPr="00615A75">
        <w:rPr>
          <w:rFonts w:hint="eastAsia"/>
          <w:lang w:eastAsia="zh-CN"/>
        </w:rPr>
        <w:t>服务的</w:t>
      </w:r>
      <w:r w:rsidR="000A3EC7" w:rsidRPr="00615A75">
        <w:rPr>
          <w:rFonts w:hint="eastAsia"/>
          <w:lang w:eastAsia="zh-CN"/>
        </w:rPr>
        <w:t>配套</w:t>
      </w:r>
      <w:r w:rsidR="00ED77B1" w:rsidRPr="00615A75">
        <w:rPr>
          <w:rFonts w:hint="eastAsia"/>
          <w:lang w:eastAsia="zh-CN"/>
        </w:rPr>
        <w:t>系统</w:t>
      </w:r>
      <w:r w:rsidR="000A3EC7" w:rsidRPr="00615A75">
        <w:rPr>
          <w:rFonts w:hint="eastAsia"/>
          <w:lang w:eastAsia="zh-CN"/>
        </w:rPr>
        <w:t>。</w:t>
      </w:r>
    </w:p>
    <w:p w14:paraId="30803FBE" w14:textId="4460C82A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尽管存在这些限制</w:t>
      </w:r>
      <w:r w:rsidR="000A3EC7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数字化转型</w:t>
      </w:r>
      <w:r w:rsidR="00E369C8">
        <w:rPr>
          <w:rFonts w:hint="eastAsia"/>
          <w:lang w:eastAsia="zh-CN"/>
        </w:rPr>
        <w:t>仍</w:t>
      </w:r>
      <w:r w:rsidRPr="00ED77B1">
        <w:rPr>
          <w:rFonts w:hint="eastAsia"/>
          <w:lang w:eastAsia="zh-CN"/>
        </w:rPr>
        <w:t>被广泛</w:t>
      </w:r>
      <w:r w:rsidR="00E369C8">
        <w:rPr>
          <w:rFonts w:hint="eastAsia"/>
          <w:lang w:eastAsia="zh-CN"/>
        </w:rPr>
        <w:t>视为实现</w:t>
      </w:r>
      <w:r w:rsidRPr="00ED77B1">
        <w:rPr>
          <w:rFonts w:hint="eastAsia"/>
          <w:lang w:eastAsia="zh-CN"/>
        </w:rPr>
        <w:t>可持续发展的关键推动力</w:t>
      </w:r>
      <w:r w:rsidR="000A3EC7">
        <w:rPr>
          <w:rFonts w:hint="eastAsia"/>
          <w:lang w:eastAsia="zh-CN"/>
        </w:rPr>
        <w:t>。</w:t>
      </w:r>
      <w:r w:rsidR="00E369C8">
        <w:rPr>
          <w:rFonts w:hint="eastAsia"/>
          <w:lang w:eastAsia="zh-CN"/>
        </w:rPr>
        <w:t>目前已</w:t>
      </w:r>
      <w:r w:rsidRPr="00ED77B1">
        <w:rPr>
          <w:rFonts w:hint="eastAsia"/>
          <w:lang w:eastAsia="zh-CN"/>
        </w:rPr>
        <w:t>取得令人鼓舞的进展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移动普及率不断提高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互联网使用</w:t>
      </w:r>
      <w:r w:rsidR="00A17689">
        <w:rPr>
          <w:rFonts w:hint="eastAsia"/>
          <w:lang w:eastAsia="zh-CN"/>
        </w:rPr>
        <w:t>持续</w:t>
      </w:r>
      <w:r w:rsidR="00E369C8">
        <w:rPr>
          <w:rFonts w:hint="eastAsia"/>
          <w:lang w:eastAsia="zh-CN"/>
        </w:rPr>
        <w:t>扩展，</w:t>
      </w:r>
      <w:r w:rsidRPr="00ED77B1">
        <w:rPr>
          <w:rFonts w:hint="eastAsia"/>
          <w:lang w:eastAsia="zh-CN"/>
        </w:rPr>
        <w:t>许多国家正在制定</w:t>
      </w:r>
      <w:r w:rsidR="00E369C8" w:rsidRPr="00EA0AE6">
        <w:rPr>
          <w:lang w:eastAsia="zh-CN"/>
        </w:rPr>
        <w:t>ICT</w:t>
      </w:r>
      <w:r w:rsidRPr="00ED77B1">
        <w:rPr>
          <w:rFonts w:hint="eastAsia"/>
          <w:lang w:eastAsia="zh-CN"/>
        </w:rPr>
        <w:t>战略</w:t>
      </w:r>
      <w:r w:rsidR="00E369C8">
        <w:rPr>
          <w:rFonts w:hint="eastAsia"/>
          <w:lang w:eastAsia="zh-CN"/>
        </w:rPr>
        <w:t>、</w:t>
      </w:r>
      <w:r w:rsidR="006505A7">
        <w:rPr>
          <w:rFonts w:hint="eastAsia"/>
          <w:lang w:eastAsia="zh-CN"/>
        </w:rPr>
        <w:t>开发</w:t>
      </w:r>
      <w:r w:rsidRPr="00ED77B1">
        <w:rPr>
          <w:rFonts w:hint="eastAsia"/>
          <w:lang w:eastAsia="zh-CN"/>
        </w:rPr>
        <w:t>数字</w:t>
      </w:r>
      <w:r w:rsidR="00E369C8">
        <w:rPr>
          <w:rFonts w:hint="eastAsia"/>
          <w:lang w:eastAsia="zh-CN"/>
        </w:rPr>
        <w:t>政务</w:t>
      </w:r>
      <w:r w:rsidRPr="00ED77B1">
        <w:rPr>
          <w:rFonts w:hint="eastAsia"/>
          <w:lang w:eastAsia="zh-CN"/>
        </w:rPr>
        <w:t>服务</w:t>
      </w:r>
      <w:r w:rsidR="006505A7">
        <w:rPr>
          <w:rFonts w:hint="eastAsia"/>
          <w:lang w:eastAsia="zh-CN"/>
        </w:rPr>
        <w:t>并构建</w:t>
      </w:r>
      <w:r w:rsidRPr="00ED77B1">
        <w:rPr>
          <w:rFonts w:hint="eastAsia"/>
          <w:lang w:eastAsia="zh-CN"/>
        </w:rPr>
        <w:t>网络安全框架</w:t>
      </w:r>
      <w:r w:rsidR="00E369C8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这</w:t>
      </w:r>
      <w:r w:rsidR="00E369C8">
        <w:rPr>
          <w:rFonts w:hint="eastAsia"/>
          <w:lang w:eastAsia="zh-CN"/>
        </w:rPr>
        <w:t>充分</w:t>
      </w:r>
      <w:r w:rsidRPr="00ED77B1">
        <w:rPr>
          <w:rFonts w:hint="eastAsia"/>
          <w:lang w:eastAsia="zh-CN"/>
        </w:rPr>
        <w:t>证明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数字化转型不仅</w:t>
      </w:r>
      <w:r w:rsidR="008B6E30">
        <w:rPr>
          <w:rFonts w:hint="eastAsia"/>
          <w:lang w:eastAsia="zh-CN"/>
        </w:rPr>
        <w:t>对</w:t>
      </w:r>
      <w:r w:rsidRPr="006505A7">
        <w:rPr>
          <w:rFonts w:hint="eastAsia"/>
          <w:lang w:eastAsia="zh-CN"/>
        </w:rPr>
        <w:t>包容性增长</w:t>
      </w:r>
      <w:r w:rsidR="008B6E30">
        <w:rPr>
          <w:rFonts w:hint="eastAsia"/>
          <w:lang w:eastAsia="zh-CN"/>
        </w:rPr>
        <w:t>至关重要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对于</w:t>
      </w:r>
      <w:r w:rsidR="00E369C8">
        <w:rPr>
          <w:rFonts w:hint="eastAsia"/>
          <w:lang w:eastAsia="zh-CN"/>
        </w:rPr>
        <w:t>增强韧性</w:t>
      </w:r>
      <w:r w:rsidR="008B6E30">
        <w:rPr>
          <w:rFonts w:hint="eastAsia"/>
          <w:lang w:eastAsia="zh-CN"/>
        </w:rPr>
        <w:t>、</w:t>
      </w:r>
      <w:r w:rsidRPr="00ED77B1">
        <w:rPr>
          <w:rFonts w:hint="eastAsia"/>
          <w:lang w:eastAsia="zh-CN"/>
        </w:rPr>
        <w:t>促进次区域一体化</w:t>
      </w:r>
      <w:r w:rsidR="00E369C8">
        <w:rPr>
          <w:rFonts w:hint="eastAsia"/>
          <w:lang w:eastAsia="zh-CN"/>
        </w:rPr>
        <w:t>也</w:t>
      </w:r>
      <w:r w:rsidR="008B6E30">
        <w:rPr>
          <w:rFonts w:hint="eastAsia"/>
          <w:lang w:eastAsia="zh-CN"/>
        </w:rPr>
        <w:t>必不可少</w:t>
      </w:r>
      <w:r w:rsidR="00E369C8">
        <w:rPr>
          <w:rFonts w:hint="eastAsia"/>
          <w:lang w:eastAsia="zh-CN"/>
        </w:rPr>
        <w:t>。</w:t>
      </w:r>
    </w:p>
    <w:p w14:paraId="431A198A" w14:textId="0C6576EE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lastRenderedPageBreak/>
        <w:t>然而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该次区域</w:t>
      </w:r>
      <w:r w:rsidR="008B6E30">
        <w:rPr>
          <w:rFonts w:hint="eastAsia"/>
          <w:lang w:eastAsia="zh-CN"/>
        </w:rPr>
        <w:t>对</w:t>
      </w:r>
      <w:r w:rsidR="008B6E30" w:rsidRPr="00ED77B1">
        <w:rPr>
          <w:rFonts w:hint="eastAsia"/>
          <w:lang w:eastAsia="zh-CN"/>
        </w:rPr>
        <w:t>发展</w:t>
      </w:r>
      <w:r w:rsidR="008B6E30">
        <w:rPr>
          <w:rFonts w:hint="eastAsia"/>
          <w:lang w:eastAsia="zh-CN"/>
        </w:rPr>
        <w:t>援助的</w:t>
      </w:r>
      <w:r w:rsidR="008B6E30" w:rsidRPr="00ED77B1">
        <w:rPr>
          <w:rFonts w:hint="eastAsia"/>
          <w:lang w:eastAsia="zh-CN"/>
        </w:rPr>
        <w:t>依赖</w:t>
      </w:r>
      <w:r w:rsidR="008B6E30">
        <w:rPr>
          <w:rFonts w:hint="eastAsia"/>
          <w:lang w:eastAsia="zh-CN"/>
        </w:rPr>
        <w:t>依然</w:t>
      </w:r>
      <w:r w:rsidRPr="00ED77B1">
        <w:rPr>
          <w:rFonts w:hint="eastAsia"/>
          <w:lang w:eastAsia="zh-CN"/>
        </w:rPr>
        <w:t>严重</w:t>
      </w:r>
      <w:r w:rsidR="00E369C8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国际电联</w:t>
      </w:r>
      <w:r w:rsidR="008B6E30">
        <w:rPr>
          <w:rFonts w:hint="eastAsia"/>
          <w:lang w:eastAsia="zh-CN"/>
        </w:rPr>
        <w:t>长期</w:t>
      </w:r>
      <w:r w:rsidR="00E97167">
        <w:rPr>
          <w:rFonts w:hint="eastAsia"/>
          <w:lang w:eastAsia="zh-CN"/>
        </w:rPr>
        <w:t>以来</w:t>
      </w:r>
      <w:r w:rsidRPr="00ED77B1">
        <w:rPr>
          <w:rFonts w:hint="eastAsia"/>
          <w:lang w:eastAsia="zh-CN"/>
        </w:rPr>
        <w:t>作为值得信赖的技术合作伙伴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通过政策指导</w:t>
      </w:r>
      <w:r w:rsidR="00E369C8">
        <w:rPr>
          <w:rFonts w:hint="eastAsia"/>
          <w:lang w:eastAsia="zh-CN"/>
        </w:rPr>
        <w:t>、</w:t>
      </w:r>
      <w:r w:rsidRPr="00ED77B1">
        <w:rPr>
          <w:rFonts w:hint="eastAsia"/>
          <w:lang w:eastAsia="zh-CN"/>
        </w:rPr>
        <w:t>能力建设以及促进包容</w:t>
      </w:r>
      <w:r w:rsidR="00E369C8">
        <w:rPr>
          <w:rFonts w:hint="eastAsia"/>
          <w:lang w:eastAsia="zh-CN"/>
        </w:rPr>
        <w:t>且具有</w:t>
      </w:r>
      <w:r w:rsidRPr="00ED77B1">
        <w:rPr>
          <w:rFonts w:hint="eastAsia"/>
          <w:lang w:eastAsia="zh-CN"/>
        </w:rPr>
        <w:t>复原力</w:t>
      </w:r>
      <w:r w:rsidR="00E369C8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连接</w:t>
      </w:r>
      <w:r w:rsidR="00E369C8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发挥了关键作用。</w:t>
      </w:r>
      <w:r w:rsidR="00E97167">
        <w:rPr>
          <w:rFonts w:hint="eastAsia"/>
          <w:lang w:eastAsia="zh-CN"/>
        </w:rPr>
        <w:t>然而，</w:t>
      </w:r>
      <w:r w:rsidR="008B6E30" w:rsidRPr="008B6E30">
        <w:rPr>
          <w:rFonts w:hint="eastAsia"/>
          <w:lang w:eastAsia="zh-CN"/>
        </w:rPr>
        <w:t>受到</w:t>
      </w:r>
      <w:r w:rsidRPr="008B6E30">
        <w:rPr>
          <w:rFonts w:hint="eastAsia"/>
          <w:lang w:eastAsia="zh-CN"/>
        </w:rPr>
        <w:t>气候风险</w:t>
      </w:r>
      <w:r w:rsidR="00E97167" w:rsidRPr="008B6E30">
        <w:rPr>
          <w:rFonts w:hint="eastAsia"/>
          <w:lang w:eastAsia="zh-CN"/>
        </w:rPr>
        <w:t>、</w:t>
      </w:r>
      <w:r w:rsidRPr="008B6E30">
        <w:rPr>
          <w:rFonts w:hint="eastAsia"/>
          <w:lang w:eastAsia="zh-CN"/>
        </w:rPr>
        <w:t>自然灾害</w:t>
      </w:r>
      <w:r w:rsidR="00E97167" w:rsidRPr="008B6E30">
        <w:rPr>
          <w:rFonts w:hint="eastAsia"/>
          <w:lang w:eastAsia="zh-CN"/>
        </w:rPr>
        <w:t>、</w:t>
      </w:r>
      <w:r w:rsidRPr="008B6E30">
        <w:rPr>
          <w:rFonts w:hint="eastAsia"/>
          <w:lang w:eastAsia="zh-CN"/>
        </w:rPr>
        <w:t>新兴技术</w:t>
      </w:r>
      <w:r w:rsidR="008B6E30" w:rsidRPr="008B6E30">
        <w:rPr>
          <w:rFonts w:hint="eastAsia"/>
          <w:lang w:eastAsia="zh-CN"/>
        </w:rPr>
        <w:t>以及公众期望</w:t>
      </w:r>
      <w:r w:rsidRPr="008B6E30">
        <w:rPr>
          <w:rFonts w:hint="eastAsia"/>
          <w:lang w:eastAsia="zh-CN"/>
        </w:rPr>
        <w:t>不断提高</w:t>
      </w:r>
      <w:r w:rsidR="008B6E30" w:rsidRPr="008B6E30">
        <w:rPr>
          <w:rFonts w:hint="eastAsia"/>
          <w:lang w:eastAsia="zh-CN"/>
        </w:rPr>
        <w:t>等因素的影响</w:t>
      </w:r>
      <w:r w:rsidR="00E97167" w:rsidRPr="008B6E30">
        <w:rPr>
          <w:rFonts w:hint="eastAsia"/>
          <w:lang w:eastAsia="zh-CN"/>
        </w:rPr>
        <w:t>，</w:t>
      </w:r>
      <w:r w:rsidR="00E97167" w:rsidRPr="008B6E30">
        <w:rPr>
          <w:lang w:eastAsia="zh-CN"/>
        </w:rPr>
        <w:t>PSIDS</w:t>
      </w:r>
      <w:r w:rsidRPr="008B6E30">
        <w:rPr>
          <w:rFonts w:hint="eastAsia"/>
          <w:lang w:eastAsia="zh-CN"/>
        </w:rPr>
        <w:t>的数字需求</w:t>
      </w:r>
      <w:r w:rsidR="00E97167" w:rsidRPr="008B6E30">
        <w:rPr>
          <w:rFonts w:hint="eastAsia"/>
          <w:lang w:eastAsia="zh-CN"/>
        </w:rPr>
        <w:t>日益</w:t>
      </w:r>
      <w:r w:rsidRPr="008B6E30">
        <w:rPr>
          <w:rFonts w:hint="eastAsia"/>
          <w:lang w:eastAsia="zh-CN"/>
        </w:rPr>
        <w:t>复杂</w:t>
      </w:r>
      <w:r w:rsidR="00E97167">
        <w:rPr>
          <w:rFonts w:hint="eastAsia"/>
          <w:lang w:eastAsia="zh-CN"/>
        </w:rPr>
        <w:t>，各</w:t>
      </w:r>
      <w:r w:rsidRPr="00ED77B1">
        <w:rPr>
          <w:rFonts w:hint="eastAsia"/>
          <w:lang w:eastAsia="zh-CN"/>
        </w:rPr>
        <w:t>利益攸关方</w:t>
      </w:r>
      <w:r w:rsidR="00E97167">
        <w:rPr>
          <w:rFonts w:hint="eastAsia"/>
          <w:lang w:eastAsia="zh-CN"/>
        </w:rPr>
        <w:t>越来越</w:t>
      </w:r>
      <w:r w:rsidRPr="00ED77B1">
        <w:rPr>
          <w:rFonts w:hint="eastAsia"/>
          <w:lang w:eastAsia="zh-CN"/>
        </w:rPr>
        <w:t>认识到，</w:t>
      </w:r>
      <w:r w:rsidR="00E97167">
        <w:rPr>
          <w:rFonts w:hint="eastAsia"/>
          <w:lang w:eastAsia="zh-CN"/>
        </w:rPr>
        <w:t>采用一种</w:t>
      </w:r>
      <w:r w:rsidR="00E97167" w:rsidRPr="00E97167">
        <w:rPr>
          <w:rFonts w:hint="eastAsia"/>
          <w:lang w:eastAsia="zh-CN"/>
        </w:rPr>
        <w:t>更深入融入当地</w:t>
      </w:r>
      <w:r w:rsidR="00E97167">
        <w:rPr>
          <w:rFonts w:hint="eastAsia"/>
          <w:lang w:eastAsia="zh-CN"/>
        </w:rPr>
        <w:t>、</w:t>
      </w:r>
      <w:r w:rsidR="00E97167" w:rsidRPr="00E97167">
        <w:rPr>
          <w:rFonts w:hint="eastAsia"/>
          <w:lang w:eastAsia="zh-CN"/>
        </w:rPr>
        <w:t>针对次区域特点量身定制的实施模式</w:t>
      </w:r>
      <w:r w:rsidR="00E97167">
        <w:rPr>
          <w:rFonts w:hint="eastAsia"/>
          <w:lang w:eastAsia="zh-CN"/>
        </w:rPr>
        <w:t>，</w:t>
      </w:r>
      <w:r w:rsidR="00E97167" w:rsidRPr="00E97167">
        <w:rPr>
          <w:rFonts w:hint="eastAsia"/>
          <w:lang w:eastAsia="zh-CN"/>
        </w:rPr>
        <w:t>对于产生更大影响具有重要价值</w:t>
      </w:r>
      <w:r w:rsidR="00E97167">
        <w:rPr>
          <w:rFonts w:hint="eastAsia"/>
          <w:lang w:eastAsia="zh-CN"/>
        </w:rPr>
        <w:t>。</w:t>
      </w:r>
    </w:p>
    <w:p w14:paraId="5B52A1D7" w14:textId="2C85D49F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这</w:t>
      </w:r>
      <w:r w:rsidR="00D947BC">
        <w:rPr>
          <w:rFonts w:hint="eastAsia"/>
          <w:lang w:eastAsia="zh-CN"/>
        </w:rPr>
        <w:t>一观点</w:t>
      </w:r>
      <w:r w:rsidRPr="00ED77B1">
        <w:rPr>
          <w:rFonts w:hint="eastAsia"/>
          <w:lang w:eastAsia="zh-CN"/>
        </w:rPr>
        <w:t>在太平洋</w:t>
      </w:r>
      <w:r w:rsidR="00F261E4">
        <w:rPr>
          <w:rFonts w:hint="eastAsia"/>
          <w:lang w:eastAsia="zh-CN"/>
        </w:rPr>
        <w:t>地区的</w:t>
      </w:r>
      <w:r w:rsidRPr="00ED77B1">
        <w:rPr>
          <w:rFonts w:hint="eastAsia"/>
          <w:lang w:eastAsia="zh-CN"/>
        </w:rPr>
        <w:t>共识</w:t>
      </w:r>
      <w:r w:rsidR="008B6E30">
        <w:rPr>
          <w:rFonts w:hint="eastAsia"/>
          <w:lang w:eastAsia="zh-CN"/>
        </w:rPr>
        <w:t>文件</w:t>
      </w:r>
      <w:r w:rsidRPr="00ED77B1">
        <w:rPr>
          <w:rFonts w:hint="eastAsia"/>
          <w:lang w:eastAsia="zh-CN"/>
        </w:rPr>
        <w:t>和成果中得到了</w:t>
      </w:r>
      <w:r w:rsidR="008B6E30">
        <w:rPr>
          <w:rFonts w:hint="eastAsia"/>
          <w:lang w:eastAsia="zh-CN"/>
        </w:rPr>
        <w:t>体现</w:t>
      </w:r>
      <w:r w:rsidR="00D947BC">
        <w:rPr>
          <w:rFonts w:hint="eastAsia"/>
          <w:lang w:eastAsia="zh-CN"/>
        </w:rPr>
        <w:t>，</w:t>
      </w:r>
      <w:r w:rsidR="0009772F">
        <w:rPr>
          <w:rFonts w:hint="eastAsia"/>
          <w:lang w:eastAsia="zh-CN"/>
        </w:rPr>
        <w:t>其中最显著的是</w:t>
      </w:r>
      <w:r w:rsidR="00D947BC" w:rsidRPr="00EA0AE6">
        <w:rPr>
          <w:lang w:eastAsia="zh-CN"/>
        </w:rPr>
        <w:t>2023</w:t>
      </w:r>
      <w:r w:rsidRPr="00ED77B1">
        <w:rPr>
          <w:rFonts w:hint="eastAsia"/>
          <w:lang w:eastAsia="zh-CN"/>
        </w:rPr>
        <w:t>年</w:t>
      </w:r>
      <w:r w:rsidR="00D947BC" w:rsidRPr="00ED77B1">
        <w:rPr>
          <w:rFonts w:hint="eastAsia"/>
          <w:lang w:eastAsia="zh-CN"/>
        </w:rPr>
        <w:t>太平洋</w:t>
      </w:r>
      <w:r w:rsidR="00D947BC">
        <w:rPr>
          <w:rFonts w:hint="eastAsia"/>
          <w:lang w:eastAsia="zh-CN"/>
        </w:rPr>
        <w:t>地区</w:t>
      </w:r>
      <w:r w:rsidR="00DB18A4">
        <w:rPr>
          <w:rFonts w:hint="eastAsia"/>
          <w:lang w:eastAsia="zh-CN"/>
        </w:rPr>
        <w:t>信息通信技术</w:t>
      </w:r>
      <w:r w:rsidR="00DB18A4" w:rsidRPr="00ED77B1">
        <w:rPr>
          <w:rFonts w:hint="eastAsia"/>
          <w:lang w:eastAsia="zh-CN"/>
        </w:rPr>
        <w:t>部长</w:t>
      </w:r>
      <w:r w:rsidR="00D947BC">
        <w:rPr>
          <w:rFonts w:hint="eastAsia"/>
          <w:lang w:eastAsia="zh-CN"/>
        </w:rPr>
        <w:t>《</w:t>
      </w:r>
      <w:r w:rsidR="00DB18A4" w:rsidRPr="00DB18A4">
        <w:rPr>
          <w:rFonts w:hint="eastAsia"/>
          <w:lang w:eastAsia="zh-CN"/>
        </w:rPr>
        <w:t>拉加托伊宣言</w:t>
      </w:r>
      <w:r w:rsidR="00D947BC">
        <w:rPr>
          <w:rFonts w:hint="eastAsia"/>
          <w:lang w:eastAsia="zh-CN"/>
        </w:rPr>
        <w:t>》</w:t>
      </w:r>
      <w:r w:rsidR="00DB18A4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该宣言呼吁包括国际电联在内的合作伙伴加强在太平洋地区的</w:t>
      </w:r>
      <w:r w:rsidR="0009772F">
        <w:rPr>
          <w:rFonts w:hint="eastAsia"/>
          <w:lang w:eastAsia="zh-CN"/>
        </w:rPr>
        <w:t>工作</w:t>
      </w:r>
      <w:r w:rsidRPr="00ED77B1">
        <w:rPr>
          <w:rFonts w:hint="eastAsia"/>
          <w:lang w:eastAsia="zh-CN"/>
        </w:rPr>
        <w:t>并深化</w:t>
      </w:r>
      <w:r w:rsidR="00F261E4">
        <w:rPr>
          <w:rFonts w:hint="eastAsia"/>
          <w:lang w:eastAsia="zh-CN"/>
        </w:rPr>
        <w:t>参与</w:t>
      </w:r>
      <w:r w:rsidR="00DB18A4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这为</w:t>
      </w:r>
      <w:r w:rsidR="0009772F" w:rsidRPr="00ED77B1">
        <w:rPr>
          <w:rFonts w:hint="eastAsia"/>
          <w:lang w:eastAsia="zh-CN"/>
        </w:rPr>
        <w:t>探索</w:t>
      </w:r>
      <w:r w:rsidR="00DB18A4">
        <w:rPr>
          <w:rFonts w:hint="eastAsia"/>
          <w:lang w:eastAsia="zh-CN"/>
        </w:rPr>
        <w:t>在该</w:t>
      </w:r>
      <w:r w:rsidR="00DB18A4" w:rsidRPr="00ED77B1">
        <w:rPr>
          <w:rFonts w:hint="eastAsia"/>
          <w:lang w:eastAsia="zh-CN"/>
        </w:rPr>
        <w:t>次区域</w:t>
      </w:r>
      <w:r w:rsidR="00F261E4">
        <w:rPr>
          <w:rFonts w:hint="eastAsia"/>
          <w:lang w:eastAsia="zh-CN"/>
        </w:rPr>
        <w:t>建立</w:t>
      </w:r>
      <w:r w:rsidR="0009772F">
        <w:rPr>
          <w:rFonts w:hint="eastAsia"/>
          <w:lang w:eastAsia="zh-CN"/>
        </w:rPr>
        <w:t>更强有力</w:t>
      </w:r>
      <w:r w:rsidR="00F261E4">
        <w:rPr>
          <w:rFonts w:hint="eastAsia"/>
          <w:lang w:eastAsia="zh-CN"/>
        </w:rPr>
        <w:t>且</w:t>
      </w:r>
      <w:r w:rsidR="0009772F">
        <w:rPr>
          <w:rFonts w:hint="eastAsia"/>
          <w:lang w:eastAsia="zh-CN"/>
        </w:rPr>
        <w:t>可</w:t>
      </w:r>
      <w:r w:rsidRPr="00ED77B1">
        <w:rPr>
          <w:rFonts w:hint="eastAsia"/>
          <w:lang w:eastAsia="zh-CN"/>
        </w:rPr>
        <w:t>持续的支持机制</w:t>
      </w:r>
      <w:r w:rsidR="00DB18A4">
        <w:rPr>
          <w:rFonts w:hint="eastAsia"/>
          <w:lang w:eastAsia="zh-CN"/>
        </w:rPr>
        <w:t>提供</w:t>
      </w:r>
      <w:r w:rsidRPr="00ED77B1">
        <w:rPr>
          <w:rFonts w:hint="eastAsia"/>
          <w:lang w:eastAsia="zh-CN"/>
        </w:rPr>
        <w:t>了明确的</w:t>
      </w:r>
      <w:r w:rsidR="00DB18A4">
        <w:rPr>
          <w:rFonts w:hint="eastAsia"/>
          <w:lang w:eastAsia="zh-CN"/>
        </w:rPr>
        <w:t>授权。</w:t>
      </w:r>
    </w:p>
    <w:p w14:paraId="0C17A5BA" w14:textId="5DC68B1D" w:rsidR="00EA0AE6" w:rsidRPr="00EA0AE6" w:rsidRDefault="00D60C02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由于</w:t>
      </w:r>
      <w:r w:rsidR="00ED77B1" w:rsidRPr="00ED77B1">
        <w:rPr>
          <w:rFonts w:hint="eastAsia"/>
          <w:lang w:eastAsia="zh-CN"/>
        </w:rPr>
        <w:t>规模和能力</w:t>
      </w:r>
      <w:r w:rsidR="00DB18A4">
        <w:rPr>
          <w:rFonts w:hint="eastAsia"/>
          <w:lang w:eastAsia="zh-CN"/>
        </w:rPr>
        <w:t>方面</w:t>
      </w:r>
      <w:r w:rsidR="00ED77B1" w:rsidRPr="00ED77B1">
        <w:rPr>
          <w:rFonts w:hint="eastAsia"/>
          <w:lang w:eastAsia="zh-CN"/>
        </w:rPr>
        <w:t>的限制</w:t>
      </w:r>
      <w:r w:rsidR="00DB18A4">
        <w:rPr>
          <w:rFonts w:hint="eastAsia"/>
          <w:lang w:eastAsia="zh-CN"/>
        </w:rPr>
        <w:t>，各</w:t>
      </w:r>
      <w:r w:rsidR="00DB18A4" w:rsidRPr="00EA0AE6">
        <w:rPr>
          <w:lang w:eastAsia="zh-CN"/>
        </w:rPr>
        <w:t>PSIDS</w:t>
      </w:r>
      <w:r w:rsidR="00ED77B1" w:rsidRPr="00ED77B1">
        <w:rPr>
          <w:rFonts w:hint="eastAsia"/>
          <w:lang w:eastAsia="zh-CN"/>
        </w:rPr>
        <w:t>无法</w:t>
      </w:r>
      <w:r w:rsidR="00715C1A">
        <w:rPr>
          <w:rFonts w:hint="eastAsia"/>
          <w:lang w:eastAsia="zh-CN"/>
        </w:rPr>
        <w:t>独自</w:t>
      </w:r>
      <w:r w:rsidR="00ED77B1" w:rsidRPr="00ED77B1">
        <w:rPr>
          <w:rFonts w:hint="eastAsia"/>
          <w:lang w:eastAsia="zh-CN"/>
        </w:rPr>
        <w:t>可持续地管理复杂的数字化转型</w:t>
      </w:r>
      <w:r w:rsidR="0009772F">
        <w:rPr>
          <w:rFonts w:hint="eastAsia"/>
          <w:lang w:eastAsia="zh-CN"/>
        </w:rPr>
        <w:t>项目</w:t>
      </w:r>
      <w:r w:rsidR="00DB18A4" w:rsidRPr="00D60C02">
        <w:rPr>
          <w:rFonts w:hint="eastAsia"/>
          <w:lang w:eastAsia="zh-CN"/>
        </w:rPr>
        <w:t>。</w:t>
      </w:r>
      <w:r w:rsidR="00F17271">
        <w:rPr>
          <w:rFonts w:hint="eastAsia"/>
          <w:lang w:eastAsia="zh-CN"/>
        </w:rPr>
        <w:t>采取</w:t>
      </w:r>
      <w:r w:rsidR="00ED77B1" w:rsidRPr="00ED77B1">
        <w:rPr>
          <w:rFonts w:hint="eastAsia"/>
          <w:lang w:eastAsia="zh-CN"/>
        </w:rPr>
        <w:t>次区域</w:t>
      </w:r>
      <w:r>
        <w:rPr>
          <w:rFonts w:hint="eastAsia"/>
          <w:lang w:eastAsia="zh-CN"/>
        </w:rPr>
        <w:t>性</w:t>
      </w:r>
      <w:r w:rsidR="00F17271">
        <w:rPr>
          <w:rFonts w:hint="eastAsia"/>
          <w:lang w:eastAsia="zh-CN"/>
        </w:rPr>
        <w:t>方法、</w:t>
      </w:r>
      <w:r w:rsidR="0009772F">
        <w:rPr>
          <w:rFonts w:hint="eastAsia"/>
          <w:lang w:eastAsia="zh-CN"/>
        </w:rPr>
        <w:t>加强</w:t>
      </w:r>
      <w:r w:rsidR="00ED77B1" w:rsidRPr="00ED77B1">
        <w:rPr>
          <w:rFonts w:hint="eastAsia"/>
          <w:lang w:eastAsia="zh-CN"/>
        </w:rPr>
        <w:t>协调与合作</w:t>
      </w:r>
      <w:r w:rsidR="00F17271">
        <w:rPr>
          <w:rFonts w:hint="eastAsia"/>
          <w:lang w:eastAsia="zh-CN"/>
        </w:rPr>
        <w:t>，</w:t>
      </w:r>
      <w:r w:rsidR="00ED77B1" w:rsidRPr="00ED77B1">
        <w:rPr>
          <w:rFonts w:hint="eastAsia"/>
          <w:lang w:eastAsia="zh-CN"/>
        </w:rPr>
        <w:t>为应对太平洋地区</w:t>
      </w:r>
      <w:r w:rsidR="0009772F">
        <w:rPr>
          <w:rFonts w:hint="eastAsia"/>
          <w:lang w:eastAsia="zh-CN"/>
        </w:rPr>
        <w:t>特有的</w:t>
      </w:r>
      <w:r w:rsidR="00ED77B1" w:rsidRPr="00ED77B1">
        <w:rPr>
          <w:rFonts w:hint="eastAsia"/>
          <w:lang w:eastAsia="zh-CN"/>
        </w:rPr>
        <w:t>挑战和机遇提供</w:t>
      </w:r>
      <w:r w:rsidR="0009772F">
        <w:rPr>
          <w:rFonts w:hint="eastAsia"/>
          <w:lang w:eastAsia="zh-CN"/>
        </w:rPr>
        <w:t>了</w:t>
      </w:r>
      <w:r w:rsidR="00ED77B1" w:rsidRPr="00ED77B1">
        <w:rPr>
          <w:rFonts w:hint="eastAsia"/>
          <w:lang w:eastAsia="zh-CN"/>
        </w:rPr>
        <w:t>更</w:t>
      </w:r>
      <w:r w:rsidR="00715C1A">
        <w:rPr>
          <w:rFonts w:hint="eastAsia"/>
          <w:lang w:eastAsia="zh-CN"/>
        </w:rPr>
        <w:t>为</w:t>
      </w:r>
      <w:r w:rsidR="00ED77B1" w:rsidRPr="00ED77B1">
        <w:rPr>
          <w:rFonts w:hint="eastAsia"/>
          <w:lang w:eastAsia="zh-CN"/>
        </w:rPr>
        <w:t>可行</w:t>
      </w:r>
      <w:r w:rsidR="00715C1A">
        <w:rPr>
          <w:rFonts w:hint="eastAsia"/>
          <w:lang w:eastAsia="zh-CN"/>
        </w:rPr>
        <w:t>、</w:t>
      </w:r>
      <w:r w:rsidR="00ED77B1" w:rsidRPr="00ED77B1">
        <w:rPr>
          <w:rFonts w:hint="eastAsia"/>
          <w:lang w:eastAsia="zh-CN"/>
        </w:rPr>
        <w:t>更具成本效益的途径</w:t>
      </w:r>
      <w:r w:rsidR="00F17271">
        <w:rPr>
          <w:rFonts w:hint="eastAsia"/>
          <w:lang w:eastAsia="zh-CN"/>
        </w:rPr>
        <w:t>。针对</w:t>
      </w:r>
      <w:r w:rsidR="00ED77B1" w:rsidRPr="00ED77B1">
        <w:rPr>
          <w:rFonts w:hint="eastAsia"/>
          <w:lang w:eastAsia="zh-CN"/>
        </w:rPr>
        <w:t>太平洋地区</w:t>
      </w:r>
      <w:r w:rsidR="00715C1A">
        <w:rPr>
          <w:rFonts w:hint="eastAsia"/>
          <w:lang w:eastAsia="zh-CN"/>
        </w:rPr>
        <w:t>的</w:t>
      </w:r>
      <w:r w:rsidR="00ED77B1" w:rsidRPr="00ED77B1">
        <w:rPr>
          <w:rFonts w:hint="eastAsia"/>
          <w:lang w:eastAsia="zh-CN"/>
        </w:rPr>
        <w:t>综合性</w:t>
      </w:r>
      <w:r w:rsidR="00F17271">
        <w:rPr>
          <w:rFonts w:hint="eastAsia"/>
          <w:lang w:eastAsia="zh-CN"/>
        </w:rPr>
        <w:t>方法</w:t>
      </w:r>
      <w:r w:rsidR="00ED77B1" w:rsidRPr="00ED77B1">
        <w:rPr>
          <w:rFonts w:hint="eastAsia"/>
          <w:lang w:eastAsia="zh-CN"/>
        </w:rPr>
        <w:t>也</w:t>
      </w:r>
      <w:r w:rsidR="00F17271">
        <w:rPr>
          <w:rFonts w:hint="eastAsia"/>
          <w:lang w:eastAsia="zh-CN"/>
        </w:rPr>
        <w:t>将与《</w:t>
      </w:r>
      <w:r w:rsidR="00F17271" w:rsidRPr="00ED77B1">
        <w:rPr>
          <w:rFonts w:hint="eastAsia"/>
          <w:lang w:eastAsia="zh-CN"/>
        </w:rPr>
        <w:t>拉加托伊宣言</w:t>
      </w:r>
      <w:r w:rsidR="00F17271">
        <w:rPr>
          <w:rFonts w:hint="eastAsia"/>
          <w:lang w:eastAsia="zh-CN"/>
        </w:rPr>
        <w:t>》</w:t>
      </w:r>
      <w:r w:rsidR="00ED77B1" w:rsidRPr="00ED77B1">
        <w:rPr>
          <w:rFonts w:hint="eastAsia"/>
          <w:lang w:eastAsia="zh-CN"/>
        </w:rPr>
        <w:t>的愿景</w:t>
      </w:r>
      <w:r w:rsidR="00F17271">
        <w:rPr>
          <w:rFonts w:hint="eastAsia"/>
          <w:lang w:eastAsia="zh-CN"/>
        </w:rPr>
        <w:t>高度契合。</w:t>
      </w:r>
      <w:r w:rsidR="00ED77B1" w:rsidRPr="00ED77B1">
        <w:rPr>
          <w:rFonts w:hint="eastAsia"/>
          <w:lang w:eastAsia="zh-CN"/>
        </w:rPr>
        <w:t>这种</w:t>
      </w:r>
      <w:r w:rsidR="00F17271" w:rsidRPr="00ED77B1">
        <w:rPr>
          <w:rFonts w:hint="eastAsia"/>
          <w:lang w:eastAsia="zh-CN"/>
        </w:rPr>
        <w:t>综合</w:t>
      </w:r>
      <w:r w:rsidR="00F17271">
        <w:rPr>
          <w:rFonts w:hint="eastAsia"/>
          <w:lang w:eastAsia="zh-CN"/>
        </w:rPr>
        <w:t>性的</w:t>
      </w:r>
      <w:r w:rsidR="00ED77B1" w:rsidRPr="00ED77B1">
        <w:rPr>
          <w:rFonts w:hint="eastAsia"/>
          <w:lang w:eastAsia="zh-CN"/>
        </w:rPr>
        <w:t>次区域</w:t>
      </w:r>
      <w:r w:rsidR="00F17271">
        <w:rPr>
          <w:rFonts w:hint="eastAsia"/>
          <w:lang w:eastAsia="zh-CN"/>
        </w:rPr>
        <w:t>方法，</w:t>
      </w:r>
      <w:r w:rsidR="00F17271" w:rsidRPr="00F17271">
        <w:rPr>
          <w:rFonts w:hint="eastAsia"/>
          <w:lang w:eastAsia="zh-CN"/>
        </w:rPr>
        <w:t>若能借助</w:t>
      </w:r>
      <w:r w:rsidRPr="00F17271">
        <w:rPr>
          <w:rFonts w:hint="eastAsia"/>
          <w:lang w:eastAsia="zh-CN"/>
        </w:rPr>
        <w:t>国际电联在太平洋地区</w:t>
      </w:r>
      <w:r w:rsidR="00F17271" w:rsidRPr="00F17271">
        <w:rPr>
          <w:rFonts w:hint="eastAsia"/>
          <w:lang w:eastAsia="zh-CN"/>
        </w:rPr>
        <w:t>处于</w:t>
      </w:r>
      <w:r w:rsidR="00355529">
        <w:rPr>
          <w:rFonts w:hint="eastAsia"/>
          <w:lang w:eastAsia="zh-CN"/>
        </w:rPr>
        <w:t>同一</w:t>
      </w:r>
      <w:r w:rsidR="00F17271" w:rsidRPr="00F17271">
        <w:rPr>
          <w:rFonts w:hint="eastAsia"/>
          <w:lang w:eastAsia="zh-CN"/>
        </w:rPr>
        <w:t>时区</w:t>
      </w:r>
      <w:r w:rsidR="00F17271">
        <w:rPr>
          <w:rFonts w:hint="eastAsia"/>
          <w:lang w:eastAsia="zh-CN"/>
        </w:rPr>
        <w:t>的代表</w:t>
      </w:r>
      <w:r w:rsidR="00F17271" w:rsidRPr="00F17271">
        <w:rPr>
          <w:rFonts w:hint="eastAsia"/>
          <w:lang w:eastAsia="zh-CN"/>
        </w:rPr>
        <w:t>机构来实施</w:t>
      </w:r>
      <w:r w:rsidR="00F17271">
        <w:rPr>
          <w:rFonts w:hint="eastAsia"/>
          <w:lang w:eastAsia="zh-CN"/>
        </w:rPr>
        <w:t>，</w:t>
      </w:r>
      <w:r w:rsidR="00F17271" w:rsidRPr="00F17271">
        <w:rPr>
          <w:rFonts w:hint="eastAsia"/>
          <w:lang w:eastAsia="zh-CN"/>
        </w:rPr>
        <w:t>效果将最为理想</w:t>
      </w:r>
      <w:r w:rsidR="00F17271">
        <w:rPr>
          <w:rFonts w:hint="eastAsia"/>
          <w:lang w:eastAsia="zh-CN"/>
        </w:rPr>
        <w:t>。</w:t>
      </w:r>
    </w:p>
    <w:p w14:paraId="023D8446" w14:textId="26E8D11E" w:rsidR="00EA0AE6" w:rsidRPr="00FB02EF" w:rsidRDefault="00EA0AE6" w:rsidP="00FB02EF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t>3</w:t>
      </w:r>
      <w:r w:rsidRPr="00FB02EF">
        <w:rPr>
          <w:rFonts w:eastAsia="Times New Roman"/>
          <w:lang w:eastAsia="zh-CN"/>
        </w:rPr>
        <w:tab/>
      </w:r>
      <w:r w:rsidR="00ED77B1" w:rsidRPr="00ED77B1">
        <w:rPr>
          <w:rFonts w:ascii="SimSun" w:hAnsi="SimSun" w:cs="SimSun" w:hint="eastAsia"/>
          <w:lang w:eastAsia="zh-CN"/>
        </w:rPr>
        <w:t>考虑</w:t>
      </w:r>
      <w:r w:rsidR="00F17271">
        <w:rPr>
          <w:rFonts w:ascii="SimSun" w:hAnsi="SimSun" w:cs="SimSun" w:hint="eastAsia"/>
          <w:lang w:eastAsia="zh-CN"/>
        </w:rPr>
        <w:t>因素</w:t>
      </w:r>
    </w:p>
    <w:p w14:paraId="0D0831A6" w14:textId="5E95FD65" w:rsidR="00EA0AE6" w:rsidRPr="00FB02EF" w:rsidRDefault="00EA0AE6" w:rsidP="00FB02EF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t>3.1</w:t>
      </w:r>
      <w:r w:rsidRPr="00FB02EF">
        <w:rPr>
          <w:rFonts w:eastAsia="Times New Roman"/>
          <w:lang w:eastAsia="zh-CN"/>
        </w:rPr>
        <w:tab/>
      </w:r>
      <w:r w:rsidR="00ED77B1" w:rsidRPr="00ED77B1">
        <w:rPr>
          <w:rFonts w:ascii="SimSun" w:hAnsi="SimSun" w:cs="SimSun" w:hint="eastAsia"/>
          <w:lang w:eastAsia="zh-CN"/>
        </w:rPr>
        <w:t>与理事会</w:t>
      </w:r>
      <w:r w:rsidR="00F17271" w:rsidRPr="00FB02EF">
        <w:rPr>
          <w:rFonts w:eastAsia="Times New Roman"/>
          <w:lang w:eastAsia="zh-CN"/>
        </w:rPr>
        <w:t>2025</w:t>
      </w:r>
      <w:r w:rsidR="00ED77B1" w:rsidRPr="00ED77B1">
        <w:rPr>
          <w:rFonts w:ascii="SimSun" w:hAnsi="SimSun" w:cs="SimSun" w:hint="eastAsia"/>
          <w:lang w:eastAsia="zh-CN"/>
        </w:rPr>
        <w:t>年</w:t>
      </w:r>
      <w:r w:rsidR="00D60C02">
        <w:rPr>
          <w:rFonts w:ascii="SimSun" w:hAnsi="SimSun" w:cs="SimSun" w:hint="eastAsia"/>
          <w:lang w:eastAsia="zh-CN"/>
        </w:rPr>
        <w:t>关于</w:t>
      </w:r>
      <w:r w:rsidR="00DC58FD" w:rsidRPr="00ED77B1">
        <w:rPr>
          <w:rFonts w:ascii="SimSun" w:hAnsi="SimSun" w:cs="SimSun" w:hint="eastAsia"/>
          <w:lang w:eastAsia="zh-CN"/>
        </w:rPr>
        <w:t>新</w:t>
      </w:r>
      <w:r w:rsidR="00DC58FD" w:rsidRPr="00DC58FD">
        <w:rPr>
          <w:rFonts w:ascii="SimSun" w:hAnsi="SimSun" w:cs="SimSun" w:hint="eastAsia"/>
          <w:lang w:eastAsia="zh-CN"/>
        </w:rPr>
        <w:t>地区办事处</w:t>
      </w:r>
      <w:r w:rsidR="00DC58FD">
        <w:rPr>
          <w:rFonts w:ascii="SimSun" w:hAnsi="SimSun" w:cs="SimSun" w:hint="eastAsia"/>
          <w:lang w:eastAsia="zh-CN"/>
        </w:rPr>
        <w:t>的</w:t>
      </w:r>
      <w:r w:rsidR="00F17271">
        <w:rPr>
          <w:rFonts w:ascii="SimSun" w:hAnsi="SimSun" w:cs="SimSun" w:hint="eastAsia"/>
          <w:lang w:eastAsia="zh-CN"/>
        </w:rPr>
        <w:t>设立</w:t>
      </w:r>
      <w:r w:rsidR="00ED77B1" w:rsidRPr="00ED77B1">
        <w:rPr>
          <w:rFonts w:ascii="SimSun" w:hAnsi="SimSun" w:cs="SimSun" w:hint="eastAsia"/>
          <w:lang w:eastAsia="zh-CN"/>
        </w:rPr>
        <w:t>标准保持一致</w:t>
      </w:r>
    </w:p>
    <w:p w14:paraId="0E6553F9" w14:textId="27C829DA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理事会</w:t>
      </w:r>
      <w:r w:rsidR="00DC58FD" w:rsidRPr="00EA0AE6">
        <w:rPr>
          <w:lang w:eastAsia="zh-CN"/>
        </w:rPr>
        <w:t>2025</w:t>
      </w:r>
      <w:r w:rsidRPr="00ED77B1">
        <w:rPr>
          <w:rFonts w:hint="eastAsia"/>
          <w:lang w:eastAsia="zh-CN"/>
        </w:rPr>
        <w:t>年会议批准了</w:t>
      </w:r>
      <w:r w:rsidR="00D60C02">
        <w:rPr>
          <w:rFonts w:hint="eastAsia"/>
          <w:lang w:eastAsia="zh-CN"/>
        </w:rPr>
        <w:t>关于</w:t>
      </w:r>
      <w:r w:rsidR="002863FE" w:rsidRPr="00ED77B1">
        <w:rPr>
          <w:rFonts w:hint="eastAsia"/>
          <w:lang w:eastAsia="zh-CN"/>
        </w:rPr>
        <w:t>设立</w:t>
      </w:r>
      <w:r w:rsidR="00D60C02" w:rsidRPr="00ED77B1">
        <w:rPr>
          <w:rFonts w:hint="eastAsia"/>
          <w:lang w:eastAsia="zh-CN"/>
        </w:rPr>
        <w:t>新</w:t>
      </w:r>
      <w:r w:rsidR="00D60C02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国际电联</w:t>
      </w:r>
      <w:r w:rsidR="00DC58FD" w:rsidRPr="00DC58FD">
        <w:rPr>
          <w:rFonts w:hint="eastAsia"/>
          <w:lang w:eastAsia="zh-CN"/>
        </w:rPr>
        <w:t>地区办事处</w:t>
      </w:r>
      <w:r w:rsidRPr="00ED77B1">
        <w:rPr>
          <w:rFonts w:hint="eastAsia"/>
          <w:lang w:eastAsia="zh-CN"/>
        </w:rPr>
        <w:t>的标准</w:t>
      </w:r>
      <w:r w:rsidR="00DC58FD">
        <w:rPr>
          <w:rFonts w:hint="eastAsia"/>
          <w:lang w:eastAsia="zh-CN"/>
        </w:rPr>
        <w:t>。</w:t>
      </w:r>
      <w:r w:rsidRPr="00ED77B1">
        <w:rPr>
          <w:rFonts w:hint="eastAsia"/>
          <w:lang w:eastAsia="zh-CN"/>
        </w:rPr>
        <w:t>考虑到</w:t>
      </w:r>
      <w:r w:rsidR="00715C1A">
        <w:rPr>
          <w:rFonts w:hint="eastAsia"/>
          <w:lang w:eastAsia="zh-CN"/>
        </w:rPr>
        <w:t>已</w:t>
      </w:r>
      <w:r w:rsidRPr="00ED77B1">
        <w:rPr>
          <w:rFonts w:hint="eastAsia"/>
          <w:lang w:eastAsia="zh-CN"/>
        </w:rPr>
        <w:t>批准的标准和磋商</w:t>
      </w:r>
      <w:r w:rsidR="00DC58FD">
        <w:rPr>
          <w:rFonts w:hint="eastAsia"/>
          <w:lang w:eastAsia="zh-CN"/>
        </w:rPr>
        <w:t>结果以及</w:t>
      </w:r>
      <w:r w:rsidRPr="00ED77B1">
        <w:rPr>
          <w:rFonts w:hint="eastAsia"/>
          <w:lang w:eastAsia="zh-CN"/>
        </w:rPr>
        <w:t>正在进行的讨论</w:t>
      </w:r>
      <w:r w:rsidR="00DC58FD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太平洋</w:t>
      </w:r>
      <w:r w:rsidR="00DC58FD" w:rsidRPr="00DC58FD">
        <w:rPr>
          <w:rFonts w:hint="eastAsia"/>
          <w:lang w:eastAsia="zh-CN"/>
        </w:rPr>
        <w:t>地区办事处</w:t>
      </w:r>
      <w:r w:rsidRPr="00ED77B1">
        <w:rPr>
          <w:rFonts w:hint="eastAsia"/>
          <w:lang w:eastAsia="zh-CN"/>
        </w:rPr>
        <w:t>的</w:t>
      </w:r>
      <w:r w:rsidR="004661FC">
        <w:rPr>
          <w:rFonts w:hint="eastAsia"/>
          <w:lang w:eastAsia="zh-CN"/>
        </w:rPr>
        <w:t>设立</w:t>
      </w:r>
      <w:r w:rsidRPr="00ED77B1">
        <w:rPr>
          <w:rFonts w:hint="eastAsia"/>
          <w:lang w:eastAsia="zh-CN"/>
        </w:rPr>
        <w:t>计划可考虑</w:t>
      </w:r>
      <w:r w:rsidR="00261C3F">
        <w:rPr>
          <w:rFonts w:hint="eastAsia"/>
          <w:lang w:eastAsia="zh-CN"/>
        </w:rPr>
        <w:t>以下</w:t>
      </w:r>
      <w:r w:rsidRPr="00ED77B1">
        <w:rPr>
          <w:rFonts w:hint="eastAsia"/>
          <w:lang w:eastAsia="zh-CN"/>
        </w:rPr>
        <w:t>两种方案</w:t>
      </w:r>
      <w:r w:rsidR="00261C3F">
        <w:rPr>
          <w:rFonts w:hint="eastAsia"/>
          <w:lang w:eastAsia="zh-CN"/>
        </w:rPr>
        <w:t>：</w:t>
      </w:r>
    </w:p>
    <w:p w14:paraId="6053376F" w14:textId="143CD45A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斐济</w:t>
      </w:r>
    </w:p>
    <w:p w14:paraId="738292EC" w14:textId="1437F686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斐济和</w:t>
      </w:r>
      <w:r w:rsidR="00261C3F" w:rsidRPr="00EA0AE6">
        <w:rPr>
          <w:lang w:eastAsia="zh-CN"/>
        </w:rPr>
        <w:t>/</w:t>
      </w:r>
      <w:r w:rsidR="00ED77B1" w:rsidRPr="00ED77B1">
        <w:rPr>
          <w:rFonts w:hint="eastAsia"/>
          <w:lang w:eastAsia="zh-CN"/>
        </w:rPr>
        <w:t>或萨摩亚</w:t>
      </w:r>
      <w:r w:rsidR="00261C3F">
        <w:rPr>
          <w:rFonts w:hint="eastAsia"/>
          <w:lang w:eastAsia="zh-CN"/>
        </w:rPr>
        <w:t>、</w:t>
      </w:r>
      <w:r w:rsidR="00ED77B1" w:rsidRPr="00ED77B1">
        <w:rPr>
          <w:rFonts w:hint="eastAsia"/>
          <w:lang w:eastAsia="zh-CN"/>
        </w:rPr>
        <w:t>汤加</w:t>
      </w:r>
      <w:r w:rsidR="00715C1A">
        <w:rPr>
          <w:rFonts w:hint="eastAsia"/>
          <w:lang w:eastAsia="zh-CN"/>
        </w:rPr>
        <w:t>及</w:t>
      </w:r>
      <w:r w:rsidR="00ED77B1" w:rsidRPr="00ED77B1">
        <w:rPr>
          <w:rFonts w:hint="eastAsia"/>
          <w:lang w:eastAsia="zh-CN"/>
        </w:rPr>
        <w:t>巴布亚新几内亚</w:t>
      </w:r>
      <w:r w:rsidR="00261C3F">
        <w:rPr>
          <w:rFonts w:hint="eastAsia"/>
          <w:lang w:eastAsia="zh-CN"/>
        </w:rPr>
        <w:t>（采用</w:t>
      </w:r>
      <w:r w:rsidR="00261C3F" w:rsidRPr="00ED77B1">
        <w:rPr>
          <w:rFonts w:hint="eastAsia"/>
          <w:lang w:eastAsia="zh-CN"/>
        </w:rPr>
        <w:t>分布式人员配置模式</w:t>
      </w:r>
      <w:r w:rsidR="00261C3F">
        <w:rPr>
          <w:rFonts w:hint="eastAsia"/>
          <w:lang w:eastAsia="zh-CN"/>
        </w:rPr>
        <w:t>）。</w:t>
      </w:r>
    </w:p>
    <w:p w14:paraId="734B57F9" w14:textId="0E9E39AE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作为上述项目的一部分</w:t>
      </w:r>
      <w:r w:rsidR="00261C3F">
        <w:rPr>
          <w:rFonts w:hint="eastAsia"/>
          <w:lang w:eastAsia="zh-CN"/>
        </w:rPr>
        <w:t>，目前</w:t>
      </w:r>
      <w:r w:rsidRPr="00ED77B1">
        <w:rPr>
          <w:rFonts w:hint="eastAsia"/>
          <w:lang w:eastAsia="zh-CN"/>
        </w:rPr>
        <w:t>正在可行性评估中收集</w:t>
      </w:r>
      <w:r w:rsidR="00715C1A">
        <w:rPr>
          <w:rFonts w:hint="eastAsia"/>
          <w:lang w:eastAsia="zh-CN"/>
        </w:rPr>
        <w:t>并</w:t>
      </w:r>
      <w:r w:rsidRPr="00ED77B1">
        <w:rPr>
          <w:rFonts w:hint="eastAsia"/>
          <w:lang w:eastAsia="zh-CN"/>
        </w:rPr>
        <w:t>分析</w:t>
      </w:r>
      <w:r w:rsidR="00261C3F">
        <w:rPr>
          <w:rFonts w:hint="eastAsia"/>
          <w:lang w:eastAsia="zh-CN"/>
        </w:rPr>
        <w:t>详细</w:t>
      </w:r>
      <w:r w:rsidRPr="00ED77B1">
        <w:rPr>
          <w:rFonts w:hint="eastAsia"/>
          <w:lang w:eastAsia="zh-CN"/>
        </w:rPr>
        <w:t>财务</w:t>
      </w:r>
      <w:r w:rsidR="00261C3F">
        <w:rPr>
          <w:rFonts w:hint="eastAsia"/>
          <w:lang w:eastAsia="zh-CN"/>
        </w:rPr>
        <w:t>数据。</w:t>
      </w:r>
    </w:p>
    <w:p w14:paraId="2C7AEF8F" w14:textId="5E3AC929" w:rsidR="00EA0AE6" w:rsidRPr="00FB02EF" w:rsidRDefault="00EA0AE6" w:rsidP="00FB02EF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t>3.2</w:t>
      </w:r>
      <w:r w:rsidRPr="00FB02EF">
        <w:rPr>
          <w:rFonts w:eastAsia="Times New Roman"/>
          <w:lang w:eastAsia="zh-CN"/>
        </w:rPr>
        <w:tab/>
      </w:r>
      <w:r w:rsidR="00ED77B1" w:rsidRPr="00ED77B1">
        <w:rPr>
          <w:rFonts w:ascii="SimSun" w:hAnsi="SimSun" w:cs="SimSun" w:hint="eastAsia"/>
          <w:lang w:eastAsia="zh-CN"/>
        </w:rPr>
        <w:t>战略重要性</w:t>
      </w:r>
    </w:p>
    <w:p w14:paraId="0344FD6C" w14:textId="1CE8D3CD" w:rsidR="00EA0AE6" w:rsidRPr="00EA0AE6" w:rsidRDefault="00ED77B1" w:rsidP="00C36C67">
      <w:pPr>
        <w:keepNext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根据需求评估和</w:t>
      </w:r>
      <w:r w:rsidR="004661FC" w:rsidRPr="004661FC">
        <w:rPr>
          <w:rFonts w:hint="eastAsia"/>
          <w:lang w:eastAsia="zh-CN"/>
        </w:rPr>
        <w:t>情况分析</w:t>
      </w:r>
      <w:r w:rsidR="00261C3F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在太平洋地区设立</w:t>
      </w:r>
      <w:r w:rsidR="00261C3F" w:rsidRPr="00261C3F">
        <w:rPr>
          <w:rFonts w:hint="eastAsia"/>
          <w:lang w:eastAsia="zh-CN"/>
        </w:rPr>
        <w:t>地区办事处</w:t>
      </w:r>
      <w:r w:rsidRPr="00ED77B1">
        <w:rPr>
          <w:rFonts w:hint="eastAsia"/>
          <w:lang w:eastAsia="zh-CN"/>
        </w:rPr>
        <w:t>预计将带来以下好处</w:t>
      </w:r>
      <w:r w:rsidR="007450C7">
        <w:rPr>
          <w:rFonts w:hint="eastAsia"/>
          <w:lang w:eastAsia="zh-CN"/>
        </w:rPr>
        <w:t>（</w:t>
      </w:r>
      <w:r w:rsidR="007450C7" w:rsidRPr="007450C7">
        <w:rPr>
          <w:rFonts w:hint="eastAsia"/>
          <w:lang w:eastAsia="zh-CN"/>
        </w:rPr>
        <w:t>包括但不限于</w:t>
      </w:r>
      <w:r w:rsidR="007450C7">
        <w:rPr>
          <w:rFonts w:hint="eastAsia"/>
          <w:lang w:eastAsia="zh-CN"/>
        </w:rPr>
        <w:t>）</w:t>
      </w:r>
      <w:r w:rsidR="00261C3F">
        <w:rPr>
          <w:rFonts w:hint="eastAsia"/>
          <w:lang w:eastAsia="zh-CN"/>
        </w:rPr>
        <w:t>：</w:t>
      </w:r>
    </w:p>
    <w:p w14:paraId="08BABBC1" w14:textId="6A868EBC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拉近国际电联与小岛屿发展中国家的距离</w:t>
      </w:r>
      <w:r w:rsidR="00261C3F">
        <w:rPr>
          <w:rFonts w:hint="eastAsia"/>
          <w:lang w:eastAsia="zh-CN"/>
        </w:rPr>
        <w:t>，</w:t>
      </w:r>
      <w:r w:rsidR="00ED77B1" w:rsidRPr="00ED77B1">
        <w:rPr>
          <w:rFonts w:hint="eastAsia"/>
          <w:lang w:eastAsia="zh-CN"/>
        </w:rPr>
        <w:t>以</w:t>
      </w:r>
      <w:r w:rsidR="007450C7">
        <w:rPr>
          <w:rFonts w:hint="eastAsia"/>
          <w:lang w:eastAsia="zh-CN"/>
        </w:rPr>
        <w:t>加速</w:t>
      </w:r>
      <w:r w:rsidR="00ED77B1" w:rsidRPr="00ED77B1">
        <w:rPr>
          <w:rFonts w:hint="eastAsia"/>
          <w:lang w:eastAsia="zh-CN"/>
        </w:rPr>
        <w:t>数字化转型</w:t>
      </w:r>
      <w:r w:rsidR="007450C7">
        <w:rPr>
          <w:rFonts w:hint="eastAsia"/>
          <w:lang w:eastAsia="zh-CN"/>
        </w:rPr>
        <w:t>进程</w:t>
      </w:r>
      <w:r w:rsidR="00261C3F">
        <w:rPr>
          <w:rFonts w:hint="eastAsia"/>
          <w:lang w:eastAsia="zh-CN"/>
        </w:rPr>
        <w:t>，</w:t>
      </w:r>
      <w:r w:rsidR="00ED77B1" w:rsidRPr="00ED77B1">
        <w:rPr>
          <w:rFonts w:hint="eastAsia"/>
          <w:lang w:eastAsia="zh-CN"/>
        </w:rPr>
        <w:t>并</w:t>
      </w:r>
      <w:r w:rsidR="00355529">
        <w:rPr>
          <w:rFonts w:hint="eastAsia"/>
          <w:lang w:eastAsia="zh-CN"/>
        </w:rPr>
        <w:t>在同一</w:t>
      </w:r>
      <w:r w:rsidR="00ED77B1" w:rsidRPr="00ED77B1">
        <w:rPr>
          <w:rFonts w:hint="eastAsia"/>
          <w:lang w:eastAsia="zh-CN"/>
        </w:rPr>
        <w:t>时区</w:t>
      </w:r>
      <w:r w:rsidR="00355529">
        <w:rPr>
          <w:rFonts w:hint="eastAsia"/>
          <w:lang w:eastAsia="zh-CN"/>
        </w:rPr>
        <w:t>内开展</w:t>
      </w:r>
      <w:r w:rsidR="00ED77B1" w:rsidRPr="00ED77B1">
        <w:rPr>
          <w:rFonts w:hint="eastAsia"/>
          <w:lang w:eastAsia="zh-CN"/>
        </w:rPr>
        <w:t>技术合作与协作</w:t>
      </w:r>
      <w:r w:rsidR="00FD6A71">
        <w:rPr>
          <w:rFonts w:hint="eastAsia"/>
          <w:lang w:eastAsia="zh-CN"/>
        </w:rPr>
        <w:t>；</w:t>
      </w:r>
    </w:p>
    <w:p w14:paraId="7EC19256" w14:textId="24D3BF63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加强</w:t>
      </w:r>
      <w:r w:rsidR="007450C7">
        <w:rPr>
          <w:rFonts w:hint="eastAsia"/>
          <w:lang w:eastAsia="zh-CN"/>
        </w:rPr>
        <w:t>在</w:t>
      </w:r>
      <w:r w:rsidR="00945C3F" w:rsidRPr="00EA0AE6">
        <w:rPr>
          <w:lang w:eastAsia="zh-CN"/>
        </w:rPr>
        <w:t>PSIDS</w:t>
      </w:r>
      <w:r w:rsidR="007450C7">
        <w:rPr>
          <w:rFonts w:hint="eastAsia"/>
          <w:lang w:eastAsia="zh-CN"/>
        </w:rPr>
        <w:t>的</w:t>
      </w:r>
      <w:r w:rsidR="00945C3F" w:rsidRPr="00ED77B1">
        <w:rPr>
          <w:rFonts w:hint="eastAsia"/>
          <w:lang w:eastAsia="zh-CN"/>
        </w:rPr>
        <w:t>关键</w:t>
      </w:r>
      <w:r w:rsidR="00A17689" w:rsidRPr="00ED77B1">
        <w:rPr>
          <w:rFonts w:hint="eastAsia"/>
          <w:lang w:eastAsia="zh-CN"/>
        </w:rPr>
        <w:t>领域</w:t>
      </w:r>
      <w:r w:rsidR="00945C3F" w:rsidRPr="00ED77B1">
        <w:rPr>
          <w:rFonts w:hint="eastAsia"/>
          <w:lang w:eastAsia="zh-CN"/>
        </w:rPr>
        <w:t>和优先领域</w:t>
      </w:r>
      <w:r w:rsidR="00945C3F">
        <w:rPr>
          <w:rFonts w:hint="eastAsia"/>
          <w:lang w:eastAsia="zh-CN"/>
        </w:rPr>
        <w:t>（如</w:t>
      </w:r>
      <w:r w:rsidR="00945C3F" w:rsidRPr="00ED77B1">
        <w:rPr>
          <w:rFonts w:hint="eastAsia"/>
          <w:lang w:eastAsia="zh-CN"/>
        </w:rPr>
        <w:t>应急通信</w:t>
      </w:r>
      <w:r w:rsidR="00945C3F">
        <w:rPr>
          <w:rFonts w:hint="eastAsia"/>
          <w:lang w:eastAsia="zh-CN"/>
        </w:rPr>
        <w:t>、</w:t>
      </w:r>
      <w:r w:rsidR="00945C3F" w:rsidRPr="00ED77B1">
        <w:rPr>
          <w:rFonts w:hint="eastAsia"/>
          <w:lang w:eastAsia="zh-CN"/>
        </w:rPr>
        <w:t>基础设施</w:t>
      </w:r>
      <w:r w:rsidR="00945C3F">
        <w:rPr>
          <w:rFonts w:hint="eastAsia"/>
          <w:lang w:eastAsia="zh-CN"/>
        </w:rPr>
        <w:t>建设</w:t>
      </w:r>
      <w:r w:rsidR="00355529">
        <w:rPr>
          <w:rFonts w:hint="eastAsia"/>
          <w:lang w:eastAsia="zh-CN"/>
        </w:rPr>
        <w:t>及其</w:t>
      </w:r>
      <w:r w:rsidR="00355529" w:rsidRPr="00ED77B1">
        <w:rPr>
          <w:rFonts w:hint="eastAsia"/>
          <w:lang w:eastAsia="zh-CN"/>
        </w:rPr>
        <w:t>对标准化和无线电通信</w:t>
      </w:r>
      <w:r w:rsidR="00355529">
        <w:rPr>
          <w:rFonts w:hint="eastAsia"/>
          <w:lang w:eastAsia="zh-CN"/>
        </w:rPr>
        <w:t>领域</w:t>
      </w:r>
      <w:r w:rsidR="00355529" w:rsidRPr="00ED77B1">
        <w:rPr>
          <w:rFonts w:hint="eastAsia"/>
          <w:lang w:eastAsia="zh-CN"/>
        </w:rPr>
        <w:t>的</w:t>
      </w:r>
      <w:r w:rsidR="00355529">
        <w:rPr>
          <w:rFonts w:hint="eastAsia"/>
          <w:lang w:eastAsia="zh-CN"/>
        </w:rPr>
        <w:t>参与和</w:t>
      </w:r>
      <w:r w:rsidR="00355529" w:rsidRPr="00964978">
        <w:rPr>
          <w:rFonts w:hint="eastAsia"/>
          <w:lang w:eastAsia="zh-CN"/>
        </w:rPr>
        <w:t>投入</w:t>
      </w:r>
      <w:r w:rsidR="00945C3F">
        <w:rPr>
          <w:rFonts w:hint="eastAsia"/>
          <w:lang w:eastAsia="zh-CN"/>
        </w:rPr>
        <w:t>）</w:t>
      </w:r>
      <w:r w:rsidR="003E0F28" w:rsidRPr="00ED77B1">
        <w:rPr>
          <w:rFonts w:hint="eastAsia"/>
          <w:lang w:eastAsia="zh-CN"/>
        </w:rPr>
        <w:t>提供有针对性的支持</w:t>
      </w:r>
      <w:r w:rsidR="00945C3F">
        <w:rPr>
          <w:rFonts w:hint="eastAsia"/>
          <w:lang w:eastAsia="zh-CN"/>
        </w:rPr>
        <w:t>；</w:t>
      </w:r>
    </w:p>
    <w:p w14:paraId="6317D90E" w14:textId="4E0E0ACD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355529">
        <w:rPr>
          <w:rFonts w:hint="eastAsia"/>
          <w:lang w:eastAsia="zh-CN"/>
        </w:rPr>
        <w:t>提高</w:t>
      </w:r>
      <w:r w:rsidR="00ED77B1" w:rsidRPr="00ED77B1">
        <w:rPr>
          <w:rFonts w:hint="eastAsia"/>
          <w:lang w:eastAsia="zh-CN"/>
        </w:rPr>
        <w:t>项目实施和</w:t>
      </w:r>
      <w:r w:rsidR="00945C3F" w:rsidRPr="00945C3F">
        <w:rPr>
          <w:rFonts w:hint="eastAsia"/>
          <w:lang w:eastAsia="zh-CN"/>
        </w:rPr>
        <w:t>捐助方</w:t>
      </w:r>
      <w:r w:rsidR="00ED77B1" w:rsidRPr="00ED77B1">
        <w:rPr>
          <w:rFonts w:hint="eastAsia"/>
          <w:lang w:eastAsia="zh-CN"/>
        </w:rPr>
        <w:t>协调</w:t>
      </w:r>
      <w:r w:rsidR="00355529">
        <w:rPr>
          <w:rFonts w:hint="eastAsia"/>
          <w:lang w:eastAsia="zh-CN"/>
        </w:rPr>
        <w:t>工作的效率</w:t>
      </w:r>
      <w:r w:rsidR="00945C3F">
        <w:rPr>
          <w:rFonts w:hint="eastAsia"/>
          <w:lang w:eastAsia="zh-CN"/>
        </w:rPr>
        <w:t>；</w:t>
      </w:r>
    </w:p>
    <w:p w14:paraId="24EEC754" w14:textId="2DE73B29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A0AE6">
        <w:rPr>
          <w:lang w:eastAsia="zh-CN"/>
        </w:rPr>
        <w:t>–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提高国际电联标准</w:t>
      </w:r>
      <w:r w:rsidR="00945C3F">
        <w:rPr>
          <w:rFonts w:hint="eastAsia"/>
          <w:lang w:eastAsia="zh-CN"/>
        </w:rPr>
        <w:t>、</w:t>
      </w:r>
      <w:r w:rsidR="00ED77B1" w:rsidRPr="00ED77B1">
        <w:rPr>
          <w:rFonts w:hint="eastAsia"/>
          <w:lang w:eastAsia="zh-CN"/>
        </w:rPr>
        <w:t>工具和计划的知名度</w:t>
      </w:r>
      <w:r w:rsidR="004B7A04">
        <w:rPr>
          <w:rFonts w:hint="eastAsia"/>
          <w:lang w:eastAsia="zh-CN"/>
        </w:rPr>
        <w:t>及</w:t>
      </w:r>
      <w:r w:rsidR="00ED77B1" w:rsidRPr="00355529">
        <w:rPr>
          <w:rFonts w:hint="eastAsia"/>
          <w:lang w:eastAsia="zh-CN"/>
        </w:rPr>
        <w:t>采用</w:t>
      </w:r>
      <w:r w:rsidR="00355529" w:rsidRPr="00355529">
        <w:rPr>
          <w:rFonts w:hint="eastAsia"/>
          <w:lang w:eastAsia="zh-CN"/>
        </w:rPr>
        <w:t>率</w:t>
      </w:r>
      <w:r w:rsidR="00945C3F">
        <w:rPr>
          <w:rFonts w:hint="eastAsia"/>
          <w:lang w:eastAsia="zh-CN"/>
        </w:rPr>
        <w:t>。</w:t>
      </w:r>
    </w:p>
    <w:p w14:paraId="7761A1CD" w14:textId="5EA8C7CE" w:rsidR="00EA0AE6" w:rsidRPr="00FB02EF" w:rsidRDefault="00EA0AE6" w:rsidP="00FB02EF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left="567" w:hanging="567"/>
        <w:rPr>
          <w:rFonts w:eastAsia="Times New Roman"/>
          <w:lang w:eastAsia="zh-CN"/>
        </w:rPr>
      </w:pPr>
      <w:r w:rsidRPr="00FB02EF">
        <w:rPr>
          <w:rFonts w:eastAsia="Times New Roman"/>
          <w:lang w:eastAsia="zh-CN"/>
        </w:rPr>
        <w:t>3.3</w:t>
      </w:r>
      <w:r w:rsidRPr="00FB02EF">
        <w:rPr>
          <w:rFonts w:eastAsia="Times New Roman"/>
          <w:lang w:eastAsia="zh-CN"/>
        </w:rPr>
        <w:tab/>
      </w:r>
      <w:r w:rsidR="00ED77B1" w:rsidRPr="00ED77B1">
        <w:rPr>
          <w:rFonts w:ascii="SimSun" w:hAnsi="SimSun" w:cs="SimSun" w:hint="eastAsia"/>
          <w:lang w:eastAsia="zh-CN"/>
        </w:rPr>
        <w:t>人员</w:t>
      </w:r>
      <w:r w:rsidR="00945C3F">
        <w:rPr>
          <w:rFonts w:ascii="SimSun" w:hAnsi="SimSun" w:cs="SimSun" w:hint="eastAsia"/>
          <w:lang w:eastAsia="zh-CN"/>
        </w:rPr>
        <w:t>配备</w:t>
      </w:r>
      <w:r w:rsidR="00A17689">
        <w:rPr>
          <w:rFonts w:ascii="SimSun" w:hAnsi="SimSun" w:cs="SimSun" w:hint="eastAsia"/>
          <w:lang w:eastAsia="zh-CN"/>
        </w:rPr>
        <w:t>要求</w:t>
      </w:r>
    </w:p>
    <w:p w14:paraId="77892FD4" w14:textId="61E10650" w:rsidR="00EA0AE6" w:rsidRPr="00EA0AE6" w:rsidRDefault="00ED77B1" w:rsidP="00C36C6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为确保</w:t>
      </w:r>
      <w:r w:rsidR="002B6227" w:rsidRPr="002B6227">
        <w:rPr>
          <w:rFonts w:hint="eastAsia"/>
          <w:lang w:eastAsia="zh-CN"/>
        </w:rPr>
        <w:t>办事处</w:t>
      </w:r>
      <w:r w:rsidR="00A17689">
        <w:rPr>
          <w:rFonts w:hint="eastAsia"/>
          <w:lang w:eastAsia="zh-CN"/>
        </w:rPr>
        <w:t>能够</w:t>
      </w:r>
      <w:r w:rsidRPr="00ED77B1">
        <w:rPr>
          <w:rFonts w:hint="eastAsia"/>
          <w:lang w:eastAsia="zh-CN"/>
        </w:rPr>
        <w:t>有效运作</w:t>
      </w:r>
      <w:r w:rsidR="002B6227">
        <w:rPr>
          <w:rFonts w:hint="eastAsia"/>
          <w:lang w:eastAsia="zh-CN"/>
        </w:rPr>
        <w:t>，</w:t>
      </w:r>
      <w:r w:rsidRPr="00ED77B1">
        <w:rPr>
          <w:rFonts w:hint="eastAsia"/>
          <w:lang w:eastAsia="zh-CN"/>
        </w:rPr>
        <w:t>需配备</w:t>
      </w:r>
      <w:r w:rsidR="00A17689">
        <w:rPr>
          <w:rFonts w:hint="eastAsia"/>
          <w:lang w:eastAsia="zh-CN"/>
        </w:rPr>
        <w:t>以下</w:t>
      </w:r>
      <w:r w:rsidRPr="00ED77B1">
        <w:rPr>
          <w:rFonts w:hint="eastAsia"/>
          <w:lang w:eastAsia="zh-CN"/>
        </w:rPr>
        <w:t>最低限度的人员编制</w:t>
      </w:r>
      <w:r w:rsidR="002B6227">
        <w:rPr>
          <w:rFonts w:hint="eastAsia"/>
          <w:lang w:eastAsia="zh-CN"/>
        </w:rPr>
        <w:t>：</w:t>
      </w:r>
    </w:p>
    <w:p w14:paraId="64FCC9AE" w14:textId="01D43B3B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lang w:eastAsia="zh-CN"/>
        </w:rPr>
      </w:pPr>
      <w:r w:rsidRPr="00EA0AE6">
        <w:rPr>
          <w:lang w:eastAsia="zh-CN"/>
        </w:rPr>
        <w:t>1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地区办事处</w:t>
      </w:r>
      <w:r w:rsidR="002B6227">
        <w:rPr>
          <w:rFonts w:hint="eastAsia"/>
          <w:lang w:eastAsia="zh-CN"/>
        </w:rPr>
        <w:t>负责人（</w:t>
      </w:r>
      <w:r w:rsidR="002B6227" w:rsidRPr="00EA0AE6">
        <w:rPr>
          <w:lang w:eastAsia="zh-CN"/>
        </w:rPr>
        <w:t>P5</w:t>
      </w:r>
      <w:r w:rsidR="002B6227">
        <w:rPr>
          <w:rFonts w:hint="eastAsia"/>
          <w:lang w:eastAsia="zh-CN"/>
        </w:rPr>
        <w:t>）</w:t>
      </w:r>
    </w:p>
    <w:p w14:paraId="50D2072E" w14:textId="1578EAD9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lang w:eastAsia="zh-CN"/>
        </w:rPr>
      </w:pPr>
      <w:r w:rsidRPr="00EA0AE6">
        <w:rPr>
          <w:lang w:eastAsia="zh-CN"/>
        </w:rPr>
        <w:t>2</w:t>
      </w:r>
      <w:r w:rsidRPr="00EA0AE6">
        <w:rPr>
          <w:lang w:eastAsia="zh-CN"/>
        </w:rPr>
        <w:tab/>
      </w:r>
      <w:r w:rsidR="002B6227" w:rsidRPr="00324644">
        <w:rPr>
          <w:rFonts w:hint="eastAsia"/>
          <w:lang w:eastAsia="zh-CN"/>
        </w:rPr>
        <w:t>项目</w:t>
      </w:r>
      <w:r w:rsidR="00ED77B1" w:rsidRPr="00324644">
        <w:rPr>
          <w:rFonts w:hint="eastAsia"/>
          <w:lang w:eastAsia="zh-CN"/>
        </w:rPr>
        <w:t>干</w:t>
      </w:r>
      <w:r w:rsidR="00ED77B1" w:rsidRPr="00ED77B1">
        <w:rPr>
          <w:rFonts w:hint="eastAsia"/>
          <w:lang w:eastAsia="zh-CN"/>
        </w:rPr>
        <w:t>事</w:t>
      </w:r>
      <w:r w:rsidR="002B6227">
        <w:rPr>
          <w:rFonts w:hint="eastAsia"/>
          <w:lang w:eastAsia="zh-CN"/>
        </w:rPr>
        <w:t>（</w:t>
      </w:r>
      <w:r w:rsidR="002B6227" w:rsidRPr="00EA0AE6">
        <w:rPr>
          <w:lang w:eastAsia="zh-CN"/>
        </w:rPr>
        <w:t>P3</w:t>
      </w:r>
      <w:r w:rsidR="002B6227">
        <w:rPr>
          <w:rFonts w:hint="eastAsia"/>
          <w:lang w:eastAsia="zh-CN"/>
        </w:rPr>
        <w:t>）</w:t>
      </w:r>
    </w:p>
    <w:p w14:paraId="246A49ED" w14:textId="244DF0A6" w:rsidR="00EA0AE6" w:rsidRPr="00EA0AE6" w:rsidRDefault="00EA0AE6" w:rsidP="00FB02EF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lang w:eastAsia="zh-CN"/>
        </w:rPr>
      </w:pPr>
      <w:r w:rsidRPr="00EA0AE6">
        <w:rPr>
          <w:lang w:eastAsia="zh-CN"/>
        </w:rPr>
        <w:t>3</w:t>
      </w:r>
      <w:r w:rsidRPr="00EA0AE6">
        <w:rPr>
          <w:lang w:eastAsia="zh-CN"/>
        </w:rPr>
        <w:tab/>
      </w:r>
      <w:r w:rsidR="00ED77B1" w:rsidRPr="00ED77B1">
        <w:rPr>
          <w:rFonts w:hint="eastAsia"/>
          <w:lang w:eastAsia="zh-CN"/>
        </w:rPr>
        <w:t>行政</w:t>
      </w:r>
      <w:r w:rsidR="002B6227" w:rsidRPr="00EA0AE6">
        <w:rPr>
          <w:lang w:eastAsia="zh-CN"/>
        </w:rPr>
        <w:t>/</w:t>
      </w:r>
      <w:r w:rsidR="00324644">
        <w:rPr>
          <w:rFonts w:hint="eastAsia"/>
          <w:lang w:eastAsia="zh-CN"/>
        </w:rPr>
        <w:t>业务</w:t>
      </w:r>
      <w:r w:rsidR="00ED77B1" w:rsidRPr="00ED77B1">
        <w:rPr>
          <w:rFonts w:hint="eastAsia"/>
          <w:lang w:eastAsia="zh-CN"/>
        </w:rPr>
        <w:t>干事</w:t>
      </w:r>
      <w:r w:rsidR="002B6227">
        <w:rPr>
          <w:rFonts w:hint="eastAsia"/>
          <w:lang w:eastAsia="zh-CN"/>
        </w:rPr>
        <w:t>（</w:t>
      </w:r>
      <w:r w:rsidR="002B6227" w:rsidRPr="00EA0AE6">
        <w:rPr>
          <w:lang w:eastAsia="zh-CN"/>
        </w:rPr>
        <w:t>G5</w:t>
      </w:r>
      <w:r w:rsidR="002B6227">
        <w:rPr>
          <w:rFonts w:hint="eastAsia"/>
          <w:lang w:eastAsia="zh-CN"/>
        </w:rPr>
        <w:t>）。</w:t>
      </w:r>
    </w:p>
    <w:p w14:paraId="1CA2D740" w14:textId="0665CE3E" w:rsidR="00EA0AE6" w:rsidRPr="00EA0AE6" w:rsidRDefault="002B6227" w:rsidP="00FD6A7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>此</w:t>
      </w:r>
      <w:r w:rsidR="00ED77B1" w:rsidRPr="00ED77B1">
        <w:rPr>
          <w:rFonts w:hint="eastAsia"/>
          <w:lang w:eastAsia="zh-CN"/>
        </w:rPr>
        <w:t>模式</w:t>
      </w:r>
      <w:r w:rsidR="00324644">
        <w:rPr>
          <w:rFonts w:hint="eastAsia"/>
          <w:lang w:eastAsia="zh-CN"/>
        </w:rPr>
        <w:t>与</w:t>
      </w:r>
      <w:r w:rsidR="00ED77B1" w:rsidRPr="00ED77B1">
        <w:rPr>
          <w:rFonts w:hint="eastAsia"/>
          <w:lang w:eastAsia="zh-CN"/>
        </w:rPr>
        <w:t>其</w:t>
      </w:r>
      <w:r w:rsidR="00A17689">
        <w:rPr>
          <w:rFonts w:hint="eastAsia"/>
          <w:lang w:eastAsia="zh-CN"/>
        </w:rPr>
        <w:t>他</w:t>
      </w:r>
      <w:r w:rsidR="000A4C74" w:rsidRPr="000A4C74">
        <w:rPr>
          <w:rFonts w:hint="eastAsia"/>
          <w:lang w:eastAsia="zh-CN"/>
        </w:rPr>
        <w:t>地区办事处</w:t>
      </w:r>
      <w:r w:rsidR="00324644">
        <w:rPr>
          <w:rFonts w:hint="eastAsia"/>
          <w:lang w:eastAsia="zh-CN"/>
        </w:rPr>
        <w:t>类似</w:t>
      </w:r>
      <w:r w:rsidR="000A4C74">
        <w:rPr>
          <w:rFonts w:hint="eastAsia"/>
          <w:lang w:eastAsia="zh-CN"/>
        </w:rPr>
        <w:t>，</w:t>
      </w:r>
      <w:r w:rsidR="00A17689">
        <w:rPr>
          <w:rFonts w:hint="eastAsia"/>
          <w:lang w:eastAsia="zh-CN"/>
        </w:rPr>
        <w:t>可</w:t>
      </w:r>
      <w:r w:rsidR="00ED77B1" w:rsidRPr="00ED77B1">
        <w:rPr>
          <w:rFonts w:hint="eastAsia"/>
          <w:lang w:eastAsia="zh-CN"/>
        </w:rPr>
        <w:t>确保技术</w:t>
      </w:r>
      <w:r w:rsidR="00324644">
        <w:rPr>
          <w:rFonts w:hint="eastAsia"/>
          <w:lang w:eastAsia="zh-CN"/>
        </w:rPr>
        <w:t>能力</w:t>
      </w:r>
      <w:r w:rsidR="00ED77B1" w:rsidRPr="00ED77B1">
        <w:rPr>
          <w:rFonts w:hint="eastAsia"/>
          <w:lang w:eastAsia="zh-CN"/>
        </w:rPr>
        <w:t>和行政能力</w:t>
      </w:r>
      <w:r w:rsidR="000A4C74">
        <w:rPr>
          <w:rFonts w:hint="eastAsia"/>
          <w:lang w:eastAsia="zh-CN"/>
        </w:rPr>
        <w:t>。</w:t>
      </w:r>
    </w:p>
    <w:p w14:paraId="2E287709" w14:textId="2D2B7593" w:rsidR="00EA0AE6" w:rsidRPr="00EA0AE6" w:rsidRDefault="00ED77B1" w:rsidP="00FD6A7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ED77B1">
        <w:rPr>
          <w:rFonts w:hint="eastAsia"/>
          <w:lang w:eastAsia="zh-CN"/>
        </w:rPr>
        <w:t>考虑到本</w:t>
      </w:r>
      <w:r w:rsidR="000A4C74" w:rsidRPr="000A4C74">
        <w:rPr>
          <w:rFonts w:hint="eastAsia"/>
          <w:lang w:eastAsia="zh-CN"/>
        </w:rPr>
        <w:t>财务期</w:t>
      </w:r>
      <w:r w:rsidRPr="00ED77B1">
        <w:rPr>
          <w:rFonts w:hint="eastAsia"/>
          <w:lang w:eastAsia="zh-CN"/>
        </w:rPr>
        <w:t>报告的</w:t>
      </w:r>
      <w:r w:rsidR="000A4C74" w:rsidRPr="00EA0AE6">
        <w:rPr>
          <w:lang w:eastAsia="zh-CN"/>
        </w:rPr>
        <w:t>108</w:t>
      </w:r>
      <w:r w:rsidRPr="00ED77B1">
        <w:rPr>
          <w:rFonts w:hint="eastAsia"/>
          <w:lang w:eastAsia="zh-CN"/>
        </w:rPr>
        <w:t>0</w:t>
      </w:r>
      <w:r w:rsidRPr="00ED77B1">
        <w:rPr>
          <w:rFonts w:hint="eastAsia"/>
          <w:lang w:eastAsia="zh-CN"/>
        </w:rPr>
        <w:t>万瑞郎</w:t>
      </w:r>
      <w:r w:rsidR="00A17689">
        <w:rPr>
          <w:rFonts w:hint="eastAsia"/>
          <w:lang w:eastAsia="zh-CN"/>
        </w:rPr>
        <w:t>的</w:t>
      </w:r>
      <w:r w:rsidRPr="00ED77B1">
        <w:rPr>
          <w:rFonts w:hint="eastAsia"/>
          <w:lang w:eastAsia="zh-CN"/>
        </w:rPr>
        <w:t>盈余</w:t>
      </w:r>
      <w:r w:rsidR="000A4C74">
        <w:rPr>
          <w:rFonts w:hint="eastAsia"/>
          <w:lang w:eastAsia="zh-CN"/>
        </w:rPr>
        <w:t>（</w:t>
      </w:r>
      <w:hyperlink r:id="rId20" w:history="1">
        <w:proofErr w:type="spellStart"/>
        <w:r w:rsidR="000A4C74" w:rsidRPr="00EA0AE6">
          <w:rPr>
            <w:rStyle w:val="Hyperlink"/>
            <w:rFonts w:eastAsia="SimSun"/>
            <w:noProof w:val="0"/>
            <w:lang w:eastAsia="zh-CN"/>
          </w:rPr>
          <w:t>C26</w:t>
        </w:r>
        <w:proofErr w:type="spellEnd"/>
        <w:r w:rsidR="000A4C74" w:rsidRPr="00EA0AE6">
          <w:rPr>
            <w:rStyle w:val="Hyperlink"/>
            <w:rFonts w:eastAsia="SimSun"/>
            <w:noProof w:val="0"/>
            <w:lang w:eastAsia="zh-CN"/>
          </w:rPr>
          <w:t>/42</w:t>
        </w:r>
      </w:hyperlink>
      <w:r w:rsidR="000A4C74" w:rsidRPr="00ED77B1">
        <w:rPr>
          <w:rFonts w:hint="eastAsia"/>
          <w:lang w:eastAsia="zh-CN"/>
        </w:rPr>
        <w:t>号文件</w:t>
      </w:r>
      <w:r w:rsidR="000A4C74">
        <w:rPr>
          <w:rFonts w:hint="eastAsia"/>
          <w:lang w:eastAsia="zh-CN"/>
        </w:rPr>
        <w:t>）</w:t>
      </w:r>
      <w:r w:rsidR="00A17689">
        <w:rPr>
          <w:rFonts w:hint="eastAsia"/>
          <w:lang w:eastAsia="zh-CN"/>
        </w:rPr>
        <w:t>，</w:t>
      </w:r>
      <w:r w:rsidR="000A4C74" w:rsidRPr="00ED77B1">
        <w:rPr>
          <w:rFonts w:hint="eastAsia"/>
          <w:lang w:eastAsia="zh-CN"/>
        </w:rPr>
        <w:t>待</w:t>
      </w:r>
      <w:r w:rsidR="000A4C74" w:rsidRPr="00ED77B1">
        <w:rPr>
          <w:rFonts w:hint="eastAsia"/>
          <w:lang w:eastAsia="zh-CN"/>
        </w:rPr>
        <w:t>PP-26</w:t>
      </w:r>
      <w:r w:rsidR="000A4C74" w:rsidRPr="00ED77B1">
        <w:rPr>
          <w:rFonts w:hint="eastAsia"/>
          <w:lang w:eastAsia="zh-CN"/>
        </w:rPr>
        <w:t>批准</w:t>
      </w:r>
      <w:r w:rsidR="000A4C74">
        <w:rPr>
          <w:rFonts w:hint="eastAsia"/>
          <w:lang w:eastAsia="zh-CN"/>
        </w:rPr>
        <w:t>，</w:t>
      </w:r>
      <w:r w:rsidR="000A4C74" w:rsidRPr="00ED77B1">
        <w:rPr>
          <w:rFonts w:hint="eastAsia"/>
          <w:lang w:eastAsia="zh-CN"/>
        </w:rPr>
        <w:t>可</w:t>
      </w:r>
      <w:r w:rsidR="00324644">
        <w:rPr>
          <w:rFonts w:hint="eastAsia"/>
          <w:lang w:eastAsia="zh-CN"/>
        </w:rPr>
        <w:t>通过</w:t>
      </w:r>
      <w:r w:rsidR="000A4C74">
        <w:rPr>
          <w:rFonts w:hint="eastAsia"/>
          <w:lang w:eastAsia="zh-CN"/>
        </w:rPr>
        <w:t>为</w:t>
      </w:r>
      <w:r w:rsidR="000A4C74" w:rsidRPr="00ED77B1">
        <w:rPr>
          <w:rFonts w:hint="eastAsia"/>
          <w:lang w:eastAsia="zh-CN"/>
        </w:rPr>
        <w:t>支持区域性举措</w:t>
      </w:r>
      <w:r w:rsidR="000A4C74">
        <w:rPr>
          <w:rFonts w:hint="eastAsia"/>
          <w:lang w:eastAsia="zh-CN"/>
        </w:rPr>
        <w:t>而划拨</w:t>
      </w:r>
      <w:r w:rsidR="000A4C74" w:rsidRPr="00ED77B1">
        <w:rPr>
          <w:rFonts w:hint="eastAsia"/>
          <w:lang w:eastAsia="zh-CN"/>
        </w:rPr>
        <w:t>的部分资金</w:t>
      </w:r>
      <w:r w:rsidR="000A4C74">
        <w:rPr>
          <w:rFonts w:hint="eastAsia"/>
          <w:lang w:eastAsia="zh-CN"/>
        </w:rPr>
        <w:t>（</w:t>
      </w:r>
      <w:r w:rsidR="000A4C74" w:rsidRPr="00EA0AE6">
        <w:rPr>
          <w:lang w:eastAsia="zh-CN"/>
        </w:rPr>
        <w:t>13</w:t>
      </w:r>
      <w:r w:rsidR="000A4C74">
        <w:rPr>
          <w:rFonts w:hint="eastAsia"/>
          <w:lang w:eastAsia="zh-CN"/>
        </w:rPr>
        <w:t>0</w:t>
      </w:r>
      <w:r w:rsidR="000A4C74" w:rsidRPr="00ED77B1">
        <w:rPr>
          <w:rFonts w:hint="eastAsia"/>
          <w:lang w:eastAsia="zh-CN"/>
        </w:rPr>
        <w:t>万瑞郎</w:t>
      </w:r>
      <w:r w:rsidR="000A4C74">
        <w:rPr>
          <w:rFonts w:hint="eastAsia"/>
          <w:lang w:eastAsia="zh-CN"/>
        </w:rPr>
        <w:t>）</w:t>
      </w:r>
      <w:r w:rsidR="00324644">
        <w:rPr>
          <w:rFonts w:hint="eastAsia"/>
          <w:lang w:eastAsia="zh-CN"/>
        </w:rPr>
        <w:t>来支持在</w:t>
      </w:r>
      <w:r w:rsidR="000A4C74" w:rsidRPr="000A4C74">
        <w:rPr>
          <w:rFonts w:hint="eastAsia"/>
          <w:lang w:eastAsia="zh-CN"/>
        </w:rPr>
        <w:t>地区办事处</w:t>
      </w:r>
      <w:r w:rsidR="00324644">
        <w:rPr>
          <w:rFonts w:hint="eastAsia"/>
          <w:lang w:eastAsia="zh-CN"/>
        </w:rPr>
        <w:t>设立</w:t>
      </w:r>
      <w:r w:rsidR="000A4C74" w:rsidRPr="00EA0AE6">
        <w:rPr>
          <w:lang w:eastAsia="zh-CN"/>
        </w:rPr>
        <w:t>3</w:t>
      </w:r>
      <w:r w:rsidR="000A4C74" w:rsidRPr="00ED77B1">
        <w:rPr>
          <w:rFonts w:hint="eastAsia"/>
          <w:lang w:eastAsia="zh-CN"/>
        </w:rPr>
        <w:t>个职位</w:t>
      </w:r>
      <w:r w:rsidR="000A4C74">
        <w:rPr>
          <w:rFonts w:hint="eastAsia"/>
          <w:lang w:eastAsia="zh-CN"/>
        </w:rPr>
        <w:t>。</w:t>
      </w:r>
    </w:p>
    <w:p w14:paraId="0501A40E" w14:textId="77777777" w:rsidR="00E323D0" w:rsidRDefault="00E323D0" w:rsidP="00C36C67">
      <w:pPr>
        <w:rPr>
          <w:lang w:eastAsia="zh-CN"/>
        </w:rPr>
      </w:pPr>
    </w:p>
    <w:p w14:paraId="2AFF71CC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B126" w14:textId="77777777" w:rsidR="00C51CC6" w:rsidRDefault="00C51CC6">
      <w:r>
        <w:separator/>
      </w:r>
    </w:p>
  </w:endnote>
  <w:endnote w:type="continuationSeparator" w:id="0">
    <w:p w14:paraId="0DBD5CA6" w14:textId="77777777" w:rsidR="00C51CC6" w:rsidRDefault="00C5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520BB6F" w14:textId="77777777" w:rsidTr="00E31DCE">
      <w:trPr>
        <w:jc w:val="center"/>
      </w:trPr>
      <w:tc>
        <w:tcPr>
          <w:tcW w:w="1803" w:type="dxa"/>
          <w:vAlign w:val="center"/>
        </w:tcPr>
        <w:p w14:paraId="10B95CC4" w14:textId="1C1F734A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C36C67">
            <w:rPr>
              <w:noProof/>
              <w:color w:val="808080" w:themeColor="background1" w:themeShade="80"/>
            </w:rPr>
            <w:t xml:space="preserve"> 2600918</w:t>
          </w:r>
        </w:p>
      </w:tc>
      <w:tc>
        <w:tcPr>
          <w:tcW w:w="8261" w:type="dxa"/>
        </w:tcPr>
        <w:p w14:paraId="32287517" w14:textId="7845084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C36C67">
            <w:rPr>
              <w:bCs/>
              <w:color w:val="808080" w:themeColor="background1" w:themeShade="80"/>
            </w:rPr>
            <w:t>85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3C3877C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27059BC" w14:textId="77777777" w:rsidTr="00E31DCE">
      <w:trPr>
        <w:jc w:val="center"/>
      </w:trPr>
      <w:tc>
        <w:tcPr>
          <w:tcW w:w="1803" w:type="dxa"/>
          <w:vAlign w:val="center"/>
        </w:tcPr>
        <w:p w14:paraId="66BAB377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383CD86" w14:textId="22526255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C36C67">
            <w:rPr>
              <w:bCs/>
              <w:color w:val="808080" w:themeColor="background1" w:themeShade="80"/>
            </w:rPr>
            <w:t>85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7B2F42C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7189" w14:textId="77777777" w:rsidR="00C51CC6" w:rsidRDefault="00C51CC6">
      <w:r>
        <w:t>____________________</w:t>
      </w:r>
    </w:p>
  </w:footnote>
  <w:footnote w:type="continuationSeparator" w:id="0">
    <w:p w14:paraId="78ECB20E" w14:textId="77777777" w:rsidR="00C51CC6" w:rsidRDefault="00C5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0D86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E6"/>
    <w:rsid w:val="00001B77"/>
    <w:rsid w:val="0000517A"/>
    <w:rsid w:val="0000538F"/>
    <w:rsid w:val="00031E72"/>
    <w:rsid w:val="000404D2"/>
    <w:rsid w:val="00044459"/>
    <w:rsid w:val="00056A53"/>
    <w:rsid w:val="000646BD"/>
    <w:rsid w:val="000668C3"/>
    <w:rsid w:val="000853C0"/>
    <w:rsid w:val="00093DD9"/>
    <w:rsid w:val="0009409E"/>
    <w:rsid w:val="0009772F"/>
    <w:rsid w:val="000A1C21"/>
    <w:rsid w:val="000A27BD"/>
    <w:rsid w:val="000A3EC7"/>
    <w:rsid w:val="000A4C74"/>
    <w:rsid w:val="000C0BC5"/>
    <w:rsid w:val="000D15EA"/>
    <w:rsid w:val="000D4F91"/>
    <w:rsid w:val="000D7012"/>
    <w:rsid w:val="00100D84"/>
    <w:rsid w:val="00103086"/>
    <w:rsid w:val="00124C9D"/>
    <w:rsid w:val="00127802"/>
    <w:rsid w:val="001305DE"/>
    <w:rsid w:val="0015333E"/>
    <w:rsid w:val="00157773"/>
    <w:rsid w:val="00175331"/>
    <w:rsid w:val="0018251A"/>
    <w:rsid w:val="00190272"/>
    <w:rsid w:val="00193244"/>
    <w:rsid w:val="00195C6C"/>
    <w:rsid w:val="00195FED"/>
    <w:rsid w:val="001A1FF3"/>
    <w:rsid w:val="001A4BD6"/>
    <w:rsid w:val="001B0D6B"/>
    <w:rsid w:val="001B6E2B"/>
    <w:rsid w:val="001D5A18"/>
    <w:rsid w:val="001E2DFA"/>
    <w:rsid w:val="00215132"/>
    <w:rsid w:val="00220C45"/>
    <w:rsid w:val="00224449"/>
    <w:rsid w:val="00261C3F"/>
    <w:rsid w:val="00277DEA"/>
    <w:rsid w:val="00280EB8"/>
    <w:rsid w:val="002863FE"/>
    <w:rsid w:val="002916B4"/>
    <w:rsid w:val="002A1D39"/>
    <w:rsid w:val="002A6670"/>
    <w:rsid w:val="002B6227"/>
    <w:rsid w:val="002C3F32"/>
    <w:rsid w:val="0030343F"/>
    <w:rsid w:val="00303502"/>
    <w:rsid w:val="00324644"/>
    <w:rsid w:val="00325C25"/>
    <w:rsid w:val="00355529"/>
    <w:rsid w:val="00372760"/>
    <w:rsid w:val="00372C8F"/>
    <w:rsid w:val="00380ECE"/>
    <w:rsid w:val="00393DDF"/>
    <w:rsid w:val="00397F55"/>
    <w:rsid w:val="003B4454"/>
    <w:rsid w:val="003C2E37"/>
    <w:rsid w:val="003E0F28"/>
    <w:rsid w:val="003F086E"/>
    <w:rsid w:val="003F1415"/>
    <w:rsid w:val="0040144C"/>
    <w:rsid w:val="00403EB7"/>
    <w:rsid w:val="0041330F"/>
    <w:rsid w:val="004178E6"/>
    <w:rsid w:val="00430BF0"/>
    <w:rsid w:val="00451EE8"/>
    <w:rsid w:val="00465C35"/>
    <w:rsid w:val="004661FC"/>
    <w:rsid w:val="004672E6"/>
    <w:rsid w:val="00474ED1"/>
    <w:rsid w:val="00477D57"/>
    <w:rsid w:val="00491BA9"/>
    <w:rsid w:val="00493085"/>
    <w:rsid w:val="004A36EC"/>
    <w:rsid w:val="004B7A04"/>
    <w:rsid w:val="004D163F"/>
    <w:rsid w:val="004E4BFF"/>
    <w:rsid w:val="004F2598"/>
    <w:rsid w:val="005115CC"/>
    <w:rsid w:val="005239A3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15A75"/>
    <w:rsid w:val="00630DD5"/>
    <w:rsid w:val="0063401E"/>
    <w:rsid w:val="00637584"/>
    <w:rsid w:val="00641378"/>
    <w:rsid w:val="006505A7"/>
    <w:rsid w:val="00652D1C"/>
    <w:rsid w:val="00654257"/>
    <w:rsid w:val="0065435A"/>
    <w:rsid w:val="00670D8A"/>
    <w:rsid w:val="006711B1"/>
    <w:rsid w:val="006869CA"/>
    <w:rsid w:val="006A1647"/>
    <w:rsid w:val="006A2DD3"/>
    <w:rsid w:val="006A5113"/>
    <w:rsid w:val="006A5AF8"/>
    <w:rsid w:val="006C36CD"/>
    <w:rsid w:val="00700D1F"/>
    <w:rsid w:val="00705DAC"/>
    <w:rsid w:val="00715C1A"/>
    <w:rsid w:val="007205CB"/>
    <w:rsid w:val="0072138B"/>
    <w:rsid w:val="00726073"/>
    <w:rsid w:val="00734FE8"/>
    <w:rsid w:val="007360CE"/>
    <w:rsid w:val="007450C7"/>
    <w:rsid w:val="00746B38"/>
    <w:rsid w:val="00753110"/>
    <w:rsid w:val="00757586"/>
    <w:rsid w:val="0077110E"/>
    <w:rsid w:val="00772315"/>
    <w:rsid w:val="00775157"/>
    <w:rsid w:val="007813AE"/>
    <w:rsid w:val="00787727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2A67"/>
    <w:rsid w:val="00895905"/>
    <w:rsid w:val="008B126F"/>
    <w:rsid w:val="008B6E30"/>
    <w:rsid w:val="008C3D1A"/>
    <w:rsid w:val="008F64AD"/>
    <w:rsid w:val="00911230"/>
    <w:rsid w:val="00911867"/>
    <w:rsid w:val="009164A9"/>
    <w:rsid w:val="009258CB"/>
    <w:rsid w:val="0092717B"/>
    <w:rsid w:val="00933054"/>
    <w:rsid w:val="0093362E"/>
    <w:rsid w:val="009365A2"/>
    <w:rsid w:val="00944563"/>
    <w:rsid w:val="00945C3F"/>
    <w:rsid w:val="00947831"/>
    <w:rsid w:val="00953160"/>
    <w:rsid w:val="0096060B"/>
    <w:rsid w:val="009625D8"/>
    <w:rsid w:val="00964978"/>
    <w:rsid w:val="00976898"/>
    <w:rsid w:val="00983878"/>
    <w:rsid w:val="0098459B"/>
    <w:rsid w:val="00997185"/>
    <w:rsid w:val="009A1E6D"/>
    <w:rsid w:val="009A3456"/>
    <w:rsid w:val="009A76A8"/>
    <w:rsid w:val="009B0DF6"/>
    <w:rsid w:val="009C2458"/>
    <w:rsid w:val="009C4A7B"/>
    <w:rsid w:val="009C6123"/>
    <w:rsid w:val="009E00F5"/>
    <w:rsid w:val="009F1E3E"/>
    <w:rsid w:val="009F5253"/>
    <w:rsid w:val="00A01F4F"/>
    <w:rsid w:val="00A109AF"/>
    <w:rsid w:val="00A1213C"/>
    <w:rsid w:val="00A13406"/>
    <w:rsid w:val="00A17689"/>
    <w:rsid w:val="00A272FF"/>
    <w:rsid w:val="00A446BA"/>
    <w:rsid w:val="00A5354B"/>
    <w:rsid w:val="00A56393"/>
    <w:rsid w:val="00A71B57"/>
    <w:rsid w:val="00AA2E08"/>
    <w:rsid w:val="00AB42C1"/>
    <w:rsid w:val="00AC516F"/>
    <w:rsid w:val="00AE0A9E"/>
    <w:rsid w:val="00AE195F"/>
    <w:rsid w:val="00AE23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62D8F"/>
    <w:rsid w:val="00B81E75"/>
    <w:rsid w:val="00B91673"/>
    <w:rsid w:val="00B93453"/>
    <w:rsid w:val="00B9445B"/>
    <w:rsid w:val="00BD0954"/>
    <w:rsid w:val="00BD1A5A"/>
    <w:rsid w:val="00BD7A9B"/>
    <w:rsid w:val="00BD7BE1"/>
    <w:rsid w:val="00BF0EBF"/>
    <w:rsid w:val="00BF1498"/>
    <w:rsid w:val="00BF416B"/>
    <w:rsid w:val="00C24DAC"/>
    <w:rsid w:val="00C36C67"/>
    <w:rsid w:val="00C45EB2"/>
    <w:rsid w:val="00C51CC6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17D2F"/>
    <w:rsid w:val="00D21F11"/>
    <w:rsid w:val="00D36817"/>
    <w:rsid w:val="00D453EE"/>
    <w:rsid w:val="00D5666C"/>
    <w:rsid w:val="00D60C02"/>
    <w:rsid w:val="00D666BC"/>
    <w:rsid w:val="00D83542"/>
    <w:rsid w:val="00D87C3A"/>
    <w:rsid w:val="00D92F45"/>
    <w:rsid w:val="00D94637"/>
    <w:rsid w:val="00D947BC"/>
    <w:rsid w:val="00D9725C"/>
    <w:rsid w:val="00DA0E66"/>
    <w:rsid w:val="00DA2D30"/>
    <w:rsid w:val="00DA7006"/>
    <w:rsid w:val="00DB18A4"/>
    <w:rsid w:val="00DB3621"/>
    <w:rsid w:val="00DC58FD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69C8"/>
    <w:rsid w:val="00E378D8"/>
    <w:rsid w:val="00E43A12"/>
    <w:rsid w:val="00E64719"/>
    <w:rsid w:val="00E67C67"/>
    <w:rsid w:val="00E77476"/>
    <w:rsid w:val="00E8228B"/>
    <w:rsid w:val="00E872FE"/>
    <w:rsid w:val="00E87A32"/>
    <w:rsid w:val="00E9332E"/>
    <w:rsid w:val="00E97167"/>
    <w:rsid w:val="00EA0AE6"/>
    <w:rsid w:val="00EB5022"/>
    <w:rsid w:val="00EC27BB"/>
    <w:rsid w:val="00ED77B1"/>
    <w:rsid w:val="00EE5706"/>
    <w:rsid w:val="00EF373D"/>
    <w:rsid w:val="00F11595"/>
    <w:rsid w:val="00F13BC9"/>
    <w:rsid w:val="00F17271"/>
    <w:rsid w:val="00F261E4"/>
    <w:rsid w:val="00F357B2"/>
    <w:rsid w:val="00F36556"/>
    <w:rsid w:val="00F6736A"/>
    <w:rsid w:val="00F705DF"/>
    <w:rsid w:val="00F70622"/>
    <w:rsid w:val="00F8241A"/>
    <w:rsid w:val="00F85624"/>
    <w:rsid w:val="00F87C05"/>
    <w:rsid w:val="00F93191"/>
    <w:rsid w:val="00F93A17"/>
    <w:rsid w:val="00F95837"/>
    <w:rsid w:val="00FA2AF6"/>
    <w:rsid w:val="00FB02EF"/>
    <w:rsid w:val="00FB073D"/>
    <w:rsid w:val="00FB771F"/>
    <w:rsid w:val="00FC5386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CA3E"/>
  <w15:docId w15:val="{AAF13A17-F74F-48C2-8C44-553A6EE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066/ch" TargetMode="External"/><Relationship Id="rId13" Type="http://schemas.openxmlformats.org/officeDocument/2006/relationships/hyperlink" Target="https://bdmsweb.itu.int/dms_pub/itu-d/opb/tdc/D-TDC-WTDC-2025-PDF-C.pdf" TargetMode="External"/><Relationship Id="rId18" Type="http://schemas.openxmlformats.org/officeDocument/2006/relationships/hyperlink" Target="https://www.itu.int/md/S26-CL-C-0024/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itu.int%2Fdms_pub%2Fitu-d%2Fmd%2F26%2Ftdag33%2Fc%2FD26-TDAG33-C-0002!N1-A1!MSW-C.docx&amp;wdOrigin=BROWSELINK" TargetMode="External"/><Relationship Id="rId17" Type="http://schemas.openxmlformats.org/officeDocument/2006/relationships/hyperlink" Target="https://bdmsweb.itu.int/dms_pub/itu-d/opb/tdc/D-TDC-WTDC-2025-PDF-C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ties/itu-s/md/20/cl/c/S20-CL-C-0074!!PDF-C.pdf" TargetMode="External"/><Relationship Id="rId20" Type="http://schemas.openxmlformats.org/officeDocument/2006/relationships/hyperlink" Target="https://www.itu.int/md/S26-CL-C-0042/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ties/itu-s/md/20/cl/c/S20-CL-C-0074!!PDF-C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-2023/RES-025-C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en/council/Documents/basic-texts-2023/RES-158-C.pdf" TargetMode="External"/><Relationship Id="rId19" Type="http://schemas.openxmlformats.org/officeDocument/2006/relationships/hyperlink" Target="https://www.itu.int/md/S24-CL-C-0066/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dms_ties/itu-s/md/20/cl/c/S20-CL-C-0074!!PDF-C.pdf" TargetMode="External"/><Relationship Id="rId14" Type="http://schemas.openxmlformats.org/officeDocument/2006/relationships/hyperlink" Target="https://www.itu.int/md/S26-CL-C-0042/ch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5</Pages>
  <Words>3044</Words>
  <Characters>1875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4892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the establishment of an ITU Area Office in the Pacific</dc:title>
  <dc:subject>ITU Council 2026</dc:subject>
  <cp:keywords>C26; C2026; Council 2026; PP26</cp:keywords>
  <dc:description/>
  <cp:lastPrinted>2015-02-24T13:23:00Z</cp:lastPrinted>
  <dcterms:created xsi:type="dcterms:W3CDTF">2026-04-22T17:09:00Z</dcterms:created>
  <dcterms:modified xsi:type="dcterms:W3CDTF">2026-04-22T17:10:00Z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