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249C99D9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7DBF811" w14:textId="1B315E5A" w:rsidR="00FE57F6" w:rsidRPr="00BB6FD8" w:rsidRDefault="00BB6FD8" w:rsidP="00C4421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BB6FD8">
              <w:rPr>
                <w:b/>
              </w:rPr>
              <w:t>Orden del día</w:t>
            </w:r>
            <w:r w:rsidR="00FE57F6" w:rsidRPr="00BB6FD8">
              <w:rPr>
                <w:b/>
              </w:rPr>
              <w:t xml:space="preserve">: </w:t>
            </w:r>
            <w:r w:rsidR="0057058D">
              <w:rPr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2CC88B81" w14:textId="5EF58BCA" w:rsidR="00FE57F6" w:rsidRPr="00BB6FD8" w:rsidRDefault="00D32D4F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Revisión</w:t>
            </w:r>
            <w:r w:rsidR="0057058D">
              <w:rPr>
                <w:b/>
              </w:rPr>
              <w:t xml:space="preserve"> 1 al</w:t>
            </w:r>
            <w:r w:rsidR="0057058D">
              <w:rPr>
                <w:b/>
              </w:rPr>
              <w:br/>
            </w:r>
            <w:r w:rsidR="00FE57F6"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="00FE57F6" w:rsidRPr="00BB6FD8">
              <w:rPr>
                <w:b/>
              </w:rPr>
              <w:t xml:space="preserve"> </w:t>
            </w:r>
            <w:proofErr w:type="spellStart"/>
            <w:r w:rsidR="00FE57F6" w:rsidRPr="00BB6FD8">
              <w:rPr>
                <w:b/>
              </w:rPr>
              <w:t>C2</w:t>
            </w:r>
            <w:r w:rsidR="00F85E5C">
              <w:rPr>
                <w:b/>
              </w:rPr>
              <w:t>6</w:t>
            </w:r>
            <w:proofErr w:type="spellEnd"/>
            <w:r w:rsidR="00FE57F6" w:rsidRPr="00BB6FD8">
              <w:rPr>
                <w:b/>
              </w:rPr>
              <w:t>/</w:t>
            </w:r>
            <w:r w:rsidR="0057058D">
              <w:rPr>
                <w:b/>
              </w:rPr>
              <w:t>84</w:t>
            </w:r>
            <w:r w:rsidR="00FE57F6"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64E3A62" w14:textId="77777777" w:rsidTr="00C4421B">
        <w:trPr>
          <w:cantSplit/>
        </w:trPr>
        <w:tc>
          <w:tcPr>
            <w:tcW w:w="3969" w:type="dxa"/>
            <w:vMerge/>
          </w:tcPr>
          <w:p w14:paraId="26C6E656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7F362D" w14:textId="0431EB97" w:rsidR="00FE57F6" w:rsidRPr="00666D09" w:rsidRDefault="00717E08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30</w:t>
            </w:r>
            <w:r w:rsidR="0057058D">
              <w:rPr>
                <w:b/>
                <w:lang w:val="es-ES"/>
              </w:rPr>
              <w:t xml:space="preserve"> de abril de 2026</w:t>
            </w:r>
          </w:p>
        </w:tc>
      </w:tr>
      <w:tr w:rsidR="00FE57F6" w:rsidRPr="00BB6FD8" w14:paraId="524B55E4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222299DF" w14:textId="77777777" w:rsidR="00FE57F6" w:rsidRPr="00666D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2475B271" w14:textId="2EF5A577" w:rsidR="00FE57F6" w:rsidRPr="00BB6FD8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 xml:space="preserve">Original: </w:t>
            </w:r>
            <w:r w:rsidR="0057058D">
              <w:rPr>
                <w:rFonts w:cstheme="minorHAnsi"/>
                <w:b/>
                <w:bCs/>
              </w:rPr>
              <w:t>español</w:t>
            </w:r>
          </w:p>
        </w:tc>
      </w:tr>
      <w:tr w:rsidR="00FE57F6" w:rsidRPr="00BB6FD8" w14:paraId="48F75B95" w14:textId="77777777" w:rsidTr="00C4421B">
        <w:trPr>
          <w:cantSplit/>
          <w:trHeight w:val="23"/>
        </w:trPr>
        <w:tc>
          <w:tcPr>
            <w:tcW w:w="3969" w:type="dxa"/>
          </w:tcPr>
          <w:p w14:paraId="2F2AF88D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E8E0235" w14:textId="77777777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7DF59D49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4814309" w14:textId="22606B0D" w:rsidR="00FE57F6" w:rsidRPr="00BB6FD8" w:rsidRDefault="0057058D" w:rsidP="00C4421B">
            <w:pPr>
              <w:pStyle w:val="Source"/>
              <w:jc w:val="left"/>
              <w:rPr>
                <w:sz w:val="34"/>
                <w:szCs w:val="34"/>
              </w:rPr>
            </w:pPr>
            <w:r>
              <w:rPr>
                <w:rFonts w:eastAsia="Calibri" w:cs="Calibri"/>
                <w:bCs/>
                <w:color w:val="000000"/>
                <w:sz w:val="32"/>
                <w:szCs w:val="32"/>
              </w:rPr>
              <w:t>Contribución de Argentina (República)</w:t>
            </w:r>
          </w:p>
        </w:tc>
      </w:tr>
      <w:tr w:rsidR="00FE57F6" w:rsidRPr="00BB6FD8" w14:paraId="5FE28D04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2A004BC" w14:textId="06FDAE84" w:rsidR="00FE57F6" w:rsidRPr="0057058D" w:rsidRDefault="0057058D" w:rsidP="0057058D">
            <w:pPr>
              <w:pStyle w:val="Subtitle"/>
              <w:framePr w:hSpace="0" w:wrap="auto" w:vAnchor="margin" w:hAnchor="text" w:xAlign="left" w:yAlign="inline"/>
            </w:pPr>
            <w:r>
              <w:rPr>
                <w:rFonts w:eastAsia="Calibri"/>
              </w:rPr>
              <w:t>APLICACIÓN DEL ACUERDO 482 – CASO DE ESTUDIO SOBRE COSTOS INDIRECTOS ASOCIADOS A LAS NOTIFICACIONES DE LAS REDES Y SISTEMAS DE SATÉLITES Y PROPUESTA DE REFERENCIA METODOLÓGICA</w:t>
            </w:r>
          </w:p>
        </w:tc>
      </w:tr>
      <w:tr w:rsidR="00FE57F6" w:rsidRPr="00BB6FD8" w14:paraId="25445176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148C1CD" w14:textId="77777777" w:rsidR="00FE57F6" w:rsidRPr="00BB6FD8" w:rsidRDefault="00F24B71" w:rsidP="00C4421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Finalidad</w:t>
            </w:r>
          </w:p>
          <w:p w14:paraId="2F3F85CE" w14:textId="1C000D62" w:rsidR="00FE57F6" w:rsidRPr="00BB6FD8" w:rsidRDefault="0057058D" w:rsidP="0057058D">
            <w:pPr>
              <w:jc w:val="both"/>
            </w:pPr>
            <w:r>
              <w:t>En la presente contribución, la República Argentina tiene por finalidad aportar elementos económicos y metodológicos que contribuyan a mejorar la previsibilidad del sistema y a asegurar una relación proporcional entre los costos recuperados y los servicios efectivamente prestados.</w:t>
            </w:r>
          </w:p>
          <w:p w14:paraId="32FCE962" w14:textId="77777777" w:rsidR="00FE57F6" w:rsidRPr="00BB6FD8" w:rsidRDefault="00F24B71" w:rsidP="00C4421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582ECC22" w14:textId="77777777" w:rsidR="0057058D" w:rsidRDefault="0057058D" w:rsidP="0057058D">
            <w:r>
              <w:t>Se invita al Consejo de la Unión Internacional de Telecomunicaciones a:</w:t>
            </w:r>
          </w:p>
          <w:p w14:paraId="165A18D5" w14:textId="77777777" w:rsidR="0057058D" w:rsidRDefault="0057058D" w:rsidP="00717E08">
            <w:pPr>
              <w:pStyle w:val="enumlev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alibri" w:cs="Calibri"/>
                <w:color w:val="000000"/>
                <w:szCs w:val="24"/>
              </w:rPr>
              <w:t>–</w:t>
            </w:r>
            <w:r>
              <w:rPr>
                <w:rFonts w:eastAsia="Calibri" w:cs="Calibri"/>
                <w:color w:val="000000"/>
                <w:szCs w:val="24"/>
              </w:rPr>
              <w:tab/>
            </w:r>
            <w:r>
              <w:rPr>
                <w:rFonts w:eastAsia="Calibri" w:cs="Calibri"/>
                <w:b/>
                <w:bCs/>
                <w:color w:val="000000"/>
                <w:szCs w:val="24"/>
              </w:rPr>
              <w:t>tomar nota</w:t>
            </w:r>
            <w:r>
              <w:rPr>
                <w:rFonts w:eastAsia="Calibri" w:cs="Calibri"/>
                <w:color w:val="000000"/>
                <w:szCs w:val="24"/>
              </w:rPr>
              <w:t xml:space="preserve"> del caso de estudio presentado por la República Argentina; y </w:t>
            </w:r>
          </w:p>
          <w:p w14:paraId="2B921B43" w14:textId="15A19AD3" w:rsidR="00F92BED" w:rsidRPr="0057058D" w:rsidRDefault="0057058D" w:rsidP="00717E08">
            <w:pPr>
              <w:pStyle w:val="enumlev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eastAsia="Calibri" w:cs="Calibri"/>
                <w:color w:val="000000"/>
                <w:szCs w:val="24"/>
              </w:rPr>
              <w:t>–</w:t>
            </w:r>
            <w:r>
              <w:rPr>
                <w:rFonts w:eastAsia="Calibri" w:cs="Calibri"/>
                <w:color w:val="000000"/>
                <w:szCs w:val="24"/>
              </w:rPr>
              <w:tab/>
            </w:r>
            <w:r>
              <w:rPr>
                <w:rFonts w:eastAsia="Calibri" w:cs="Calibri"/>
                <w:b/>
                <w:bCs/>
                <w:color w:val="000000"/>
                <w:szCs w:val="24"/>
              </w:rPr>
              <w:t>considerar</w:t>
            </w:r>
            <w:r>
              <w:rPr>
                <w:rFonts w:eastAsia="Calibri" w:cs="Calibri"/>
                <w:color w:val="000000"/>
                <w:szCs w:val="24"/>
              </w:rPr>
              <w:t xml:space="preserve"> la referencia metodológica propuesta como insumo para futuras discusiones y eventuales ajustes en la aplicación del Acuerdo 482 del Consejo de la UIT.</w:t>
            </w:r>
          </w:p>
          <w:p w14:paraId="69570791" w14:textId="77777777" w:rsidR="00FE57F6" w:rsidRPr="00BB6FD8" w:rsidRDefault="00FE57F6" w:rsidP="00C4421B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4ACA39BE" w14:textId="77777777" w:rsidR="00FE57F6" w:rsidRPr="00BB6FD8" w:rsidRDefault="00F24B71" w:rsidP="00C4421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  <w:r w:rsidR="00F92BED">
              <w:rPr>
                <w:b/>
                <w:bCs/>
                <w:sz w:val="26"/>
                <w:szCs w:val="26"/>
              </w:rPr>
              <w:t>s</w:t>
            </w:r>
            <w:r w:rsidR="00D375E0" w:rsidRPr="00BB6FD8">
              <w:rPr>
                <w:sz w:val="26"/>
                <w:szCs w:val="26"/>
              </w:rPr>
              <w:t xml:space="preserve"> </w:t>
            </w:r>
          </w:p>
          <w:p w14:paraId="4B15FAD3" w14:textId="24EB9DA1" w:rsidR="00FE57F6" w:rsidRPr="004D3A3C" w:rsidRDefault="0057058D" w:rsidP="00C4421B">
            <w:pPr>
              <w:spacing w:after="1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Acuerdo </w:t>
            </w:r>
            <w:hyperlink r:id="rId6"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>482 (</w:t>
              </w:r>
              <w:proofErr w:type="spellStart"/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>C01</w:t>
              </w:r>
              <w:proofErr w:type="spellEnd"/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 xml:space="preserve">, modificado por última vez </w:t>
              </w:r>
              <w:proofErr w:type="spellStart"/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>C25</w:t>
              </w:r>
              <w:proofErr w:type="spellEnd"/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>)</w:t>
              </w:r>
            </w:hyperlink>
            <w:r>
              <w:rPr>
                <w:i/>
                <w:iCs/>
                <w:sz w:val="22"/>
                <w:szCs w:val="22"/>
              </w:rPr>
              <w:t xml:space="preserve"> del Consejo; </w:t>
            </w:r>
            <w:hyperlink r:id="rId7">
              <w:r>
                <w:rPr>
                  <w:i/>
                  <w:iCs/>
                  <w:color w:val="0070C0"/>
                  <w:sz w:val="22"/>
                  <w:szCs w:val="22"/>
                  <w:u w:val="single"/>
                </w:rPr>
                <w:t>Reglamento de Radiocomunicaciones</w:t>
              </w:r>
            </w:hyperlink>
            <w:r>
              <w:rPr>
                <w:i/>
                <w:iCs/>
                <w:sz w:val="22"/>
                <w:szCs w:val="22"/>
              </w:rPr>
              <w:t xml:space="preserve"> de la Unión Internacional de Telecomunicaciones</w:t>
            </w:r>
          </w:p>
        </w:tc>
      </w:tr>
      <w:bookmarkEnd w:id="0"/>
    </w:tbl>
    <w:p w14:paraId="48F5E96B" w14:textId="77777777" w:rsidR="00093EEB" w:rsidRPr="00BB6FD8" w:rsidRDefault="00093EEB"/>
    <w:p w14:paraId="1D0887A3" w14:textId="77777777" w:rsidR="001559F5" w:rsidRPr="00BB6FD8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B6FD8">
        <w:br w:type="page"/>
      </w:r>
    </w:p>
    <w:p w14:paraId="6C9BD5B0" w14:textId="77777777" w:rsidR="0057058D" w:rsidRDefault="0057058D" w:rsidP="00717E08">
      <w:pPr>
        <w:pStyle w:val="Heading1"/>
      </w:pPr>
      <w:r>
        <w:lastRenderedPageBreak/>
        <w:t>1</w:t>
      </w:r>
      <w:r>
        <w:tab/>
        <w:t>Introducción</w:t>
      </w:r>
    </w:p>
    <w:p w14:paraId="3161A618" w14:textId="77777777" w:rsidR="0057058D" w:rsidRDefault="0057058D">
      <w:pPr>
        <w:jc w:val="both"/>
      </w:pPr>
      <w:r>
        <w:t>La República Argentina reafirma su compromiso con los principios de sostenibilidad, transparencia y equidad que orientan la gestión de los recursos del espectro y de las órbitas satelitales en el marco de la Unión Internacional de Telecomunicaciones.</w:t>
      </w:r>
    </w:p>
    <w:p w14:paraId="0A2DA297" w14:textId="77777777" w:rsidR="0057058D" w:rsidRDefault="0057058D">
      <w:pPr>
        <w:jc w:val="both"/>
      </w:pPr>
      <w:r>
        <w:t xml:space="preserve">En relación con la aplicación del </w:t>
      </w:r>
      <w:r>
        <w:rPr>
          <w:rFonts w:eastAsia="Calibri" w:cs="Calibri"/>
        </w:rPr>
        <w:t>Acuerdo 482</w:t>
      </w:r>
      <w:r>
        <w:t xml:space="preserve"> y con el objeto de contribuir a una implementación equilibrada del sistema de recuperación de costos asociado a la notificación, coordinación y registro de las redes y sistemas de satélites, Argentina presenta el </w:t>
      </w:r>
      <w:r>
        <w:rPr>
          <w:rFonts w:eastAsia="Calibri" w:cs="Calibri"/>
        </w:rPr>
        <w:t>caso de estudio</w:t>
      </w:r>
      <w:r>
        <w:t xml:space="preserve"> centrado en el análisis de los </w:t>
      </w:r>
      <w:r>
        <w:rPr>
          <w:rFonts w:eastAsia="Calibri" w:cs="Calibri"/>
        </w:rPr>
        <w:t>costos indirectos</w:t>
      </w:r>
      <w:r>
        <w:t xml:space="preserve"> vinculados a dichas actividades.</w:t>
      </w:r>
    </w:p>
    <w:p w14:paraId="13C3335B" w14:textId="77777777" w:rsidR="0057058D" w:rsidRDefault="0057058D" w:rsidP="00717E08">
      <w:pPr>
        <w:pStyle w:val="Heading1"/>
      </w:pPr>
      <w:r>
        <w:t>2</w:t>
      </w:r>
      <w:r>
        <w:tab/>
        <w:t>Contexto del Acuerdo 482 del Consejo</w:t>
      </w:r>
    </w:p>
    <w:p w14:paraId="4295DBE3" w14:textId="77777777" w:rsidR="0057058D" w:rsidRDefault="0057058D">
      <w:pPr>
        <w:jc w:val="both"/>
      </w:pPr>
      <w:r>
        <w:t>El Acuerdo 482 del Consejo establece el marco para la recuperación de los costos directos derivados del procesamiento de notificaciones de las redes y sistemas de satélites, incluyendo las evaluaciones técnicas y administrativas necesarias para su tramitación conforme al Reglamento de Radiocomunicaciones.</w:t>
      </w:r>
    </w:p>
    <w:p w14:paraId="0A21654A" w14:textId="77777777" w:rsidR="0057058D" w:rsidRPr="00717E08" w:rsidRDefault="0057058D">
      <w:pPr>
        <w:jc w:val="both"/>
        <w:rPr>
          <w:spacing w:val="-2"/>
        </w:rPr>
      </w:pPr>
      <w:r w:rsidRPr="00717E08">
        <w:rPr>
          <w:spacing w:val="-2"/>
        </w:rPr>
        <w:t xml:space="preserve">En la práctica, junto a los costos directos claramente identificables, se generan </w:t>
      </w:r>
      <w:r w:rsidRPr="00717E08">
        <w:rPr>
          <w:rFonts w:eastAsia="Calibri" w:cs="Calibri"/>
          <w:spacing w:val="-2"/>
        </w:rPr>
        <w:t>costos indirectos</w:t>
      </w:r>
      <w:r w:rsidRPr="00717E08">
        <w:rPr>
          <w:spacing w:val="-2"/>
        </w:rPr>
        <w:t xml:space="preserve"> asociados al funcionamiento general de la organización. Si bien dichos costos forman parte del soporte necesario para la prestación de los servicios, su adecuada delimitación y asignación resulta fundamental para preservar la coherencia económica del sistema.</w:t>
      </w:r>
    </w:p>
    <w:p w14:paraId="3E3788D9" w14:textId="77777777" w:rsidR="0057058D" w:rsidRDefault="0057058D" w:rsidP="00717E08">
      <w:pPr>
        <w:pStyle w:val="Heading1"/>
      </w:pPr>
      <w:r>
        <w:t>3</w:t>
      </w:r>
      <w:r>
        <w:tab/>
        <w:t>Caso de estudio: análisis de costos asociados a la notificación de las redes y los sistemas de satélites</w:t>
      </w:r>
    </w:p>
    <w:p w14:paraId="7389B2D0" w14:textId="77777777" w:rsidR="0057058D" w:rsidRDefault="0057058D">
      <w:pPr>
        <w:jc w:val="both"/>
      </w:pPr>
      <w:r>
        <w:t>A partir del análisis de procesos vinculados a la gestión de notificaciones satelitales, Argentina observa que:</w:t>
      </w:r>
    </w:p>
    <w:p w14:paraId="049DC86E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Los </w:t>
      </w:r>
      <w:r w:rsidRPr="00717E08">
        <w:rPr>
          <w:rFonts w:eastAsia="Calibri"/>
        </w:rPr>
        <w:t>costos</w:t>
      </w:r>
      <w:r>
        <w:rPr>
          <w:rFonts w:eastAsia="Calibri" w:cs="Calibri"/>
          <w:color w:val="000000"/>
          <w:szCs w:val="24"/>
        </w:rPr>
        <w:t xml:space="preserve"> directos pueden ser identificados y cuantificados de manera objetiva, al estar asociados a actividades técnicas específicas previstas en el Acuerdo 482.</w:t>
      </w:r>
    </w:p>
    <w:p w14:paraId="341EE8F9" w14:textId="38BA116C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Los costos indirectos, de no contar con criterios de referencia claros, pueden presentar una </w:t>
      </w:r>
      <w:r w:rsidRPr="00717E08">
        <w:rPr>
          <w:rFonts w:eastAsia="Calibri"/>
        </w:rPr>
        <w:t>variabilidad</w:t>
      </w:r>
      <w:r>
        <w:rPr>
          <w:rFonts w:eastAsia="Calibri" w:cs="Calibri"/>
          <w:color w:val="000000"/>
          <w:szCs w:val="24"/>
        </w:rPr>
        <w:t xml:space="preserve"> significativa y afectar la transparencia del sistema de recuperación de</w:t>
      </w:r>
      <w:r w:rsidR="00717E08">
        <w:rPr>
          <w:rFonts w:eastAsia="Calibri" w:cs="Calibri"/>
          <w:color w:val="000000"/>
          <w:szCs w:val="24"/>
        </w:rPr>
        <w:t> </w:t>
      </w:r>
      <w:r>
        <w:rPr>
          <w:rFonts w:eastAsia="Calibri" w:cs="Calibri"/>
          <w:color w:val="000000"/>
          <w:szCs w:val="24"/>
        </w:rPr>
        <w:t>costos.</w:t>
      </w:r>
    </w:p>
    <w:p w14:paraId="20DC5719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Una proporción elevada de costos indirectos respecto de los costos directos puede impactar negativamente en la previsibilidad para las administraciones notificantes y constituir una barrera, en particular para países en desarrollo.</w:t>
      </w:r>
    </w:p>
    <w:p w14:paraId="40062E3A" w14:textId="77777777" w:rsidR="0057058D" w:rsidRDefault="0057058D" w:rsidP="00717E08">
      <w:pPr>
        <w:pStyle w:val="Heading1"/>
      </w:pPr>
      <w:r>
        <w:t>4</w:t>
      </w:r>
      <w:r>
        <w:tab/>
        <w:t xml:space="preserve">Enfoque económico y </w:t>
      </w:r>
      <w:r w:rsidRPr="00717E08">
        <w:t>metodológico</w:t>
      </w:r>
    </w:p>
    <w:p w14:paraId="4828403C" w14:textId="77777777" w:rsidR="0057058D" w:rsidRDefault="0057058D" w:rsidP="00717E08">
      <w:pPr>
        <w:pStyle w:val="Heading2"/>
      </w:pPr>
      <w:r>
        <w:t>4.1</w:t>
      </w:r>
      <w:r>
        <w:tab/>
        <w:t xml:space="preserve">Clasificación de </w:t>
      </w:r>
      <w:r w:rsidRPr="00717E08">
        <w:t>costos</w:t>
      </w:r>
    </w:p>
    <w:p w14:paraId="4B351D7B" w14:textId="77777777" w:rsidR="0057058D" w:rsidRDefault="0057058D">
      <w:pPr>
        <w:jc w:val="both"/>
      </w:pPr>
      <w:r>
        <w:t>A los efectos del presente estudio, se adopta una clasificación alineada con principios ampliamente aceptados de contabilidad de costos y gestión pública:</w:t>
      </w:r>
    </w:p>
    <w:p w14:paraId="4FB8CFCC" w14:textId="77777777" w:rsidR="0057058D" w:rsidRDefault="0057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/>
        <w:ind w:left="567" w:hanging="567"/>
        <w:rPr>
          <w:b/>
          <w:bCs/>
          <w:color w:val="000000"/>
        </w:rPr>
      </w:pPr>
      <w:r>
        <w:rPr>
          <w:rFonts w:eastAsia="Calibri" w:cs="Calibri"/>
          <w:b/>
          <w:bCs/>
          <w:color w:val="000000"/>
          <w:szCs w:val="24"/>
        </w:rPr>
        <w:t>a)</w:t>
      </w:r>
      <w:r>
        <w:rPr>
          <w:rFonts w:eastAsia="Calibri" w:cs="Calibri"/>
          <w:b/>
          <w:bCs/>
          <w:color w:val="000000"/>
          <w:szCs w:val="24"/>
        </w:rPr>
        <w:tab/>
        <w:t>Costos directos</w:t>
      </w:r>
    </w:p>
    <w:p w14:paraId="0008B655" w14:textId="77777777" w:rsidR="0057058D" w:rsidRDefault="0057058D">
      <w:pPr>
        <w:keepNext/>
        <w:jc w:val="both"/>
      </w:pPr>
      <w:r>
        <w:t>Son aquellos costos que pueden ser asignados de manera clara, verificable y exclusiva a actividades específicas relacionadas con una notificación concreta, incluyendo, entre otros:</w:t>
      </w:r>
    </w:p>
    <w:p w14:paraId="69477999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análisis </w:t>
      </w:r>
      <w:r w:rsidRPr="00717E08">
        <w:rPr>
          <w:rFonts w:eastAsia="Calibri"/>
        </w:rPr>
        <w:t>técnico</w:t>
      </w:r>
      <w:r>
        <w:rPr>
          <w:rFonts w:eastAsia="Calibri" w:cs="Calibri"/>
          <w:color w:val="000000"/>
          <w:szCs w:val="24"/>
        </w:rPr>
        <w:t>/regulatorio de las redes notificadas,</w:t>
      </w:r>
    </w:p>
    <w:p w14:paraId="7610CE8D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lastRenderedPageBreak/>
        <w:t>–</w:t>
      </w:r>
      <w:r>
        <w:rPr>
          <w:rFonts w:eastAsia="Calibri" w:cs="Calibri"/>
          <w:color w:val="000000"/>
          <w:szCs w:val="24"/>
        </w:rPr>
        <w:tab/>
        <w:t xml:space="preserve">estudios </w:t>
      </w:r>
      <w:r w:rsidRPr="00717E08">
        <w:rPr>
          <w:rFonts w:eastAsia="Calibri"/>
        </w:rPr>
        <w:t>de</w:t>
      </w:r>
      <w:r>
        <w:rPr>
          <w:rFonts w:eastAsia="Calibri" w:cs="Calibri"/>
          <w:color w:val="000000"/>
          <w:szCs w:val="24"/>
        </w:rPr>
        <w:t xml:space="preserve"> compatibilidad y coordinación,</w:t>
      </w:r>
    </w:p>
    <w:p w14:paraId="7DD0FB3E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procesamiento</w:t>
      </w:r>
      <w:r>
        <w:rPr>
          <w:rFonts w:eastAsia="Calibri" w:cs="Calibri"/>
          <w:color w:val="000000"/>
          <w:szCs w:val="24"/>
        </w:rPr>
        <w:t xml:space="preserve"> y registro de información en los sistemas de la UIT,</w:t>
      </w:r>
    </w:p>
    <w:p w14:paraId="55437BD3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publicación</w:t>
      </w:r>
      <w:r>
        <w:rPr>
          <w:rFonts w:eastAsia="Calibri" w:cs="Calibri"/>
          <w:color w:val="000000"/>
          <w:szCs w:val="24"/>
        </w:rPr>
        <w:t xml:space="preserve"> de las Secciones Especiales respectivas,</w:t>
      </w:r>
    </w:p>
    <w:p w14:paraId="18F222B3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interacción con las administraciones notificantes vinculadas a un expediente </w:t>
      </w:r>
      <w:r w:rsidRPr="00717E08">
        <w:rPr>
          <w:rFonts w:eastAsia="Calibri"/>
        </w:rPr>
        <w:t>determinado</w:t>
      </w:r>
      <w:r>
        <w:rPr>
          <w:rFonts w:eastAsia="Calibri" w:cs="Calibri"/>
          <w:color w:val="000000"/>
          <w:szCs w:val="24"/>
        </w:rPr>
        <w:t>.</w:t>
      </w:r>
    </w:p>
    <w:p w14:paraId="1C29E6BA" w14:textId="77777777" w:rsidR="0057058D" w:rsidRDefault="0057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/>
        <w:ind w:left="567" w:hanging="567"/>
        <w:rPr>
          <w:b/>
          <w:bCs/>
          <w:color w:val="000000"/>
        </w:rPr>
      </w:pPr>
      <w:r>
        <w:rPr>
          <w:rFonts w:eastAsia="Calibri" w:cs="Calibri"/>
          <w:b/>
          <w:bCs/>
          <w:color w:val="000000"/>
          <w:szCs w:val="24"/>
        </w:rPr>
        <w:t>b)</w:t>
      </w:r>
      <w:r>
        <w:rPr>
          <w:rFonts w:eastAsia="Calibri" w:cs="Calibri"/>
          <w:b/>
          <w:bCs/>
          <w:color w:val="000000"/>
          <w:szCs w:val="24"/>
        </w:rPr>
        <w:tab/>
        <w:t>Costos indirectos</w:t>
      </w:r>
    </w:p>
    <w:p w14:paraId="0E851BCE" w14:textId="77777777" w:rsidR="0057058D" w:rsidRDefault="0057058D">
      <w:pPr>
        <w:jc w:val="both"/>
      </w:pPr>
      <w:r>
        <w:t>Son aquellos costos necesarios para el funcionamiento general de la organización, que no pueden ser atribuidos de forma exclusiva a una notificación individual, tales como:</w:t>
      </w:r>
    </w:p>
    <w:p w14:paraId="23886416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administración</w:t>
      </w:r>
      <w:r>
        <w:rPr>
          <w:rFonts w:eastAsia="Calibri" w:cs="Calibri"/>
          <w:color w:val="000000"/>
          <w:szCs w:val="24"/>
        </w:rPr>
        <w:t xml:space="preserve"> general,</w:t>
      </w:r>
    </w:p>
    <w:p w14:paraId="427466F3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gestión de recursos humanos,</w:t>
      </w:r>
    </w:p>
    <w:p w14:paraId="069E52A5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mantenimiento</w:t>
      </w:r>
      <w:r>
        <w:rPr>
          <w:rFonts w:eastAsia="Calibri" w:cs="Calibri"/>
          <w:color w:val="000000"/>
          <w:szCs w:val="24"/>
        </w:rPr>
        <w:t xml:space="preserve"> de infraestructuras y sistemas informáticos de uso transversal,</w:t>
      </w:r>
    </w:p>
    <w:p w14:paraId="02D539AB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apoyo administrativo y financiero.</w:t>
      </w:r>
    </w:p>
    <w:p w14:paraId="491211AA" w14:textId="77777777" w:rsidR="0057058D" w:rsidRDefault="0057058D">
      <w:pPr>
        <w:jc w:val="both"/>
      </w:pPr>
      <w:r>
        <w:t>Esta distinción resulta esencial para asegurar la trazabilidad, transparencia y proporcionalidad del sistema de recuperación de costos.</w:t>
      </w:r>
    </w:p>
    <w:p w14:paraId="553C779B" w14:textId="77777777" w:rsidR="0057058D" w:rsidRDefault="0057058D" w:rsidP="00717E08">
      <w:pPr>
        <w:pStyle w:val="Heading2"/>
      </w:pPr>
      <w:r>
        <w:t>4.2</w:t>
      </w:r>
      <w:r>
        <w:tab/>
        <w:t>Metodología de estimación y asignación</w:t>
      </w:r>
    </w:p>
    <w:p w14:paraId="0BC565C8" w14:textId="77777777" w:rsidR="0057058D" w:rsidRDefault="0057058D">
      <w:pPr>
        <w:jc w:val="both"/>
      </w:pPr>
      <w:r>
        <w:t>El caso de estudio se basa en una metodología que contempla:</w:t>
      </w:r>
    </w:p>
    <w:p w14:paraId="2EDE4F6C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Identificación</w:t>
      </w:r>
      <w:r>
        <w:rPr>
          <w:rFonts w:eastAsia="Calibri" w:cs="Calibri"/>
          <w:color w:val="000000"/>
          <w:szCs w:val="24"/>
        </w:rPr>
        <w:t xml:space="preserve"> de los procesos asociados a la notificación de las redes y sistemas de satélites, diferenciando actividades núcleo de actividades de soporte.</w:t>
      </w:r>
    </w:p>
    <w:p w14:paraId="2199AAB1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Estimación de los costos directos a partir de insumos mensurables, tales como recursos técnicos dedicados y utilización específica de sistemas.</w:t>
      </w:r>
    </w:p>
    <w:p w14:paraId="1F361495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Asignación de costos indirectos mediante criterios de prorrateo razonables, </w:t>
      </w:r>
      <w:r w:rsidRPr="00717E08">
        <w:rPr>
          <w:rFonts w:eastAsia="Calibri"/>
        </w:rPr>
        <w:t>consistentes</w:t>
      </w:r>
      <w:r>
        <w:rPr>
          <w:rFonts w:eastAsia="Calibri" w:cs="Calibri"/>
          <w:color w:val="000000"/>
          <w:szCs w:val="24"/>
        </w:rPr>
        <w:t xml:space="preserve"> y estables, evitando la imputación de costos estructurales que no guardan relación con la intensidad real del servicio prestado.</w:t>
      </w:r>
    </w:p>
    <w:p w14:paraId="78C04828" w14:textId="77777777" w:rsidR="0057058D" w:rsidRDefault="0057058D">
      <w:pPr>
        <w:jc w:val="both"/>
      </w:pPr>
      <w:r>
        <w:t>Desde esta perspectiva, los costos indirectos deben reflejar únicamente el soporte necesario y proporcional para la ejecución de las actividades directamente imputables al Acuerdo 482.</w:t>
      </w:r>
    </w:p>
    <w:p w14:paraId="039D10EF" w14:textId="77777777" w:rsidR="0057058D" w:rsidRDefault="0057058D" w:rsidP="00717E08">
      <w:pPr>
        <w:pStyle w:val="Heading2"/>
      </w:pPr>
      <w:r>
        <w:t>4.3</w:t>
      </w:r>
      <w:r>
        <w:tab/>
        <w:t>Principios económicos aplicables</w:t>
      </w:r>
    </w:p>
    <w:p w14:paraId="3B9F519A" w14:textId="77777777" w:rsidR="0057058D" w:rsidRDefault="0057058D">
      <w:pPr>
        <w:jc w:val="both"/>
      </w:pPr>
      <w:r>
        <w:t>Argentina considera que el sistema de recuperación de costos debería regirse, entre otros, por los siguientes principios:</w:t>
      </w:r>
    </w:p>
    <w:p w14:paraId="6A0A644C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Causalidad: los costos recuperados deben guardar relación con las actividades que los generan.</w:t>
      </w:r>
    </w:p>
    <w:p w14:paraId="2BB6B245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</w:r>
      <w:r w:rsidRPr="00717E08">
        <w:rPr>
          <w:rFonts w:eastAsia="Calibri"/>
        </w:rPr>
        <w:t>Proporcionalidad</w:t>
      </w:r>
      <w:r>
        <w:rPr>
          <w:rFonts w:eastAsia="Calibri" w:cs="Calibri"/>
          <w:color w:val="000000"/>
          <w:szCs w:val="24"/>
        </w:rPr>
        <w:t>: los costos indirectos deben mantenerse en una relación razonable respecto de los costos directos.</w:t>
      </w:r>
    </w:p>
    <w:p w14:paraId="1AE1C1CF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>Previsibilidad: las administraciones notificantes deben poder anticipar los costos asociados a una notificación con un grado razonable de certeza.</w:t>
      </w:r>
    </w:p>
    <w:p w14:paraId="61D4D347" w14:textId="77777777" w:rsidR="0057058D" w:rsidRDefault="0057058D" w:rsidP="00717E08">
      <w:pPr>
        <w:pStyle w:val="enumlev1"/>
        <w:jc w:val="both"/>
        <w:rPr>
          <w:color w:val="000000"/>
        </w:rPr>
      </w:pPr>
      <w:r>
        <w:rPr>
          <w:rFonts w:eastAsia="Calibri" w:cs="Calibri"/>
          <w:color w:val="000000"/>
          <w:szCs w:val="24"/>
        </w:rPr>
        <w:t>–</w:t>
      </w:r>
      <w:r>
        <w:rPr>
          <w:rFonts w:eastAsia="Calibri" w:cs="Calibri"/>
          <w:color w:val="000000"/>
          <w:szCs w:val="24"/>
        </w:rPr>
        <w:tab/>
        <w:t xml:space="preserve">No </w:t>
      </w:r>
      <w:r w:rsidRPr="00717E08">
        <w:rPr>
          <w:rFonts w:eastAsia="Calibri"/>
        </w:rPr>
        <w:t>discriminación</w:t>
      </w:r>
      <w:r>
        <w:rPr>
          <w:rFonts w:eastAsia="Calibri" w:cs="Calibri"/>
          <w:color w:val="000000"/>
          <w:szCs w:val="24"/>
        </w:rPr>
        <w:t>: la estructura de costos no debe generar efectos desproporcionados sobre determinadas administraciones.</w:t>
      </w:r>
    </w:p>
    <w:p w14:paraId="3CBA23A9" w14:textId="77777777" w:rsidR="0057058D" w:rsidRDefault="0057058D" w:rsidP="00717E08">
      <w:pPr>
        <w:pStyle w:val="Heading1"/>
      </w:pPr>
      <w:r>
        <w:lastRenderedPageBreak/>
        <w:t>5</w:t>
      </w:r>
      <w:r>
        <w:tab/>
        <w:t>Propuesta de referencia para los costos indirectos</w:t>
      </w:r>
    </w:p>
    <w:p w14:paraId="4BF6CE34" w14:textId="77777777" w:rsidR="0057058D" w:rsidRDefault="0057058D">
      <w:pPr>
        <w:jc w:val="both"/>
      </w:pPr>
      <w:r>
        <w:t>En base al análisis realizado, la Administración Argentina propone como criterio orientativo que los costos indirectos asociados a la aplicación del Acuerdo 482:</w:t>
      </w:r>
    </w:p>
    <w:p w14:paraId="5651897D" w14:textId="77777777" w:rsidR="0057058D" w:rsidRDefault="0057058D" w:rsidP="00717E08">
      <w:pPr>
        <w:pStyle w:val="enumlev1"/>
        <w:jc w:val="both"/>
      </w:pPr>
      <w:bookmarkStart w:id="1" w:name="_heading=h.bvczmzfenl5z" w:colFirst="0" w:colLast="0"/>
      <w:bookmarkEnd w:id="1"/>
      <w:r>
        <w:rPr>
          <w:rFonts w:eastAsia="Calibri"/>
        </w:rPr>
        <w:t>–</w:t>
      </w:r>
      <w:r>
        <w:rPr>
          <w:rFonts w:eastAsia="Calibri"/>
        </w:rPr>
        <w:tab/>
        <w:t xml:space="preserve">no superen el 30 % del total de los costos </w:t>
      </w:r>
      <w:r>
        <w:rPr>
          <w:highlight w:val="white"/>
        </w:rPr>
        <w:t xml:space="preserve">totales </w:t>
      </w:r>
      <w:r>
        <w:rPr>
          <w:rFonts w:eastAsia="Calibri"/>
        </w:rPr>
        <w:t>recuperados por las actividades previstas en dicho Acuerdo.</w:t>
      </w:r>
    </w:p>
    <w:p w14:paraId="11147022" w14:textId="77777777" w:rsidR="0057058D" w:rsidRDefault="005705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/>
        <w:ind w:left="567" w:hanging="567"/>
        <w:rPr>
          <w:b/>
          <w:bCs/>
          <w:color w:val="000000"/>
        </w:rPr>
      </w:pPr>
      <w:r>
        <w:rPr>
          <w:rFonts w:eastAsia="Calibri" w:cs="Calibri"/>
          <w:b/>
          <w:bCs/>
          <w:color w:val="000000"/>
          <w:szCs w:val="24"/>
        </w:rPr>
        <w:t>Justificación económica del umbral propuesto</w:t>
      </w:r>
    </w:p>
    <w:p w14:paraId="581E7528" w14:textId="77777777" w:rsidR="0057058D" w:rsidRDefault="0057058D" w:rsidP="00717E08">
      <w:pPr>
        <w:pStyle w:val="enumlev1"/>
        <w:jc w:val="both"/>
      </w:pPr>
      <w:r>
        <w:rPr>
          <w:rFonts w:eastAsia="Calibri"/>
        </w:rPr>
        <w:t>–</w:t>
      </w:r>
      <w:r>
        <w:rPr>
          <w:rFonts w:eastAsia="Calibri"/>
        </w:rPr>
        <w:tab/>
        <w:t>En servicios técnicos especializados, los costos indirectos suelen representar una proporción minoritaria cuando los procesos están claramente definidos.</w:t>
      </w:r>
    </w:p>
    <w:p w14:paraId="23817133" w14:textId="77777777" w:rsidR="0057058D" w:rsidRDefault="0057058D" w:rsidP="00717E08">
      <w:pPr>
        <w:pStyle w:val="enumlev1"/>
        <w:jc w:val="both"/>
      </w:pPr>
      <w:r>
        <w:rPr>
          <w:rFonts w:eastAsia="Calibri"/>
        </w:rPr>
        <w:t>–</w:t>
      </w:r>
      <w:r>
        <w:rPr>
          <w:rFonts w:eastAsia="Calibri"/>
        </w:rPr>
        <w:tab/>
        <w:t>Un umbral del 30 % permite cubrir adecuadamente las funciones de soporte necesarias sin debilitar la relación entre costo y servicio prestado.</w:t>
      </w:r>
    </w:p>
    <w:p w14:paraId="37E07A0F" w14:textId="77777777" w:rsidR="0057058D" w:rsidRDefault="0057058D" w:rsidP="00717E08">
      <w:pPr>
        <w:pStyle w:val="enumlev1"/>
        <w:jc w:val="both"/>
      </w:pPr>
      <w:r>
        <w:rPr>
          <w:rFonts w:eastAsia="Calibri"/>
        </w:rPr>
        <w:t>–</w:t>
      </w:r>
      <w:r>
        <w:rPr>
          <w:rFonts w:eastAsia="Calibri"/>
        </w:rPr>
        <w:tab/>
        <w:t>Porcentajes significativamente superiores pueden reflejar:</w:t>
      </w:r>
    </w:p>
    <w:p w14:paraId="39B764B2" w14:textId="77777777" w:rsidR="0057058D" w:rsidRDefault="0057058D" w:rsidP="00717E08">
      <w:pPr>
        <w:pStyle w:val="enumlev2"/>
      </w:pPr>
      <w:r>
        <w:rPr>
          <w:rFonts w:eastAsia="Calibri"/>
        </w:rPr>
        <w:t>•</w:t>
      </w:r>
      <w:r>
        <w:rPr>
          <w:rFonts w:eastAsia="Calibri"/>
        </w:rPr>
        <w:tab/>
        <w:t>imputaciones excesivas de costos estructurales,</w:t>
      </w:r>
    </w:p>
    <w:p w14:paraId="4B9ED2EF" w14:textId="77777777" w:rsidR="0057058D" w:rsidRDefault="0057058D" w:rsidP="00717E08">
      <w:pPr>
        <w:pStyle w:val="enumlev2"/>
      </w:pPr>
      <w:r>
        <w:rPr>
          <w:rFonts w:eastAsia="Calibri"/>
        </w:rPr>
        <w:t>•</w:t>
      </w:r>
      <w:r>
        <w:rPr>
          <w:rFonts w:eastAsia="Calibri"/>
        </w:rPr>
        <w:tab/>
        <w:t>falta de coherencia en la identificación de costos directos, o</w:t>
      </w:r>
    </w:p>
    <w:p w14:paraId="270F0599" w14:textId="77777777" w:rsidR="0057058D" w:rsidRDefault="0057058D" w:rsidP="00717E08">
      <w:pPr>
        <w:pStyle w:val="enumlev2"/>
      </w:pPr>
      <w:r>
        <w:rPr>
          <w:rFonts w:eastAsia="Calibri"/>
        </w:rPr>
        <w:t>•</w:t>
      </w:r>
      <w:r>
        <w:rPr>
          <w:rFonts w:eastAsia="Calibri"/>
        </w:rPr>
        <w:tab/>
        <w:t>ineficiencias en los procesos de soporte.</w:t>
      </w:r>
    </w:p>
    <w:p w14:paraId="06569235" w14:textId="77777777" w:rsidR="0057058D" w:rsidRDefault="0057058D" w:rsidP="00717E08">
      <w:pPr>
        <w:pStyle w:val="enumlev1"/>
        <w:jc w:val="both"/>
      </w:pPr>
      <w:r>
        <w:rPr>
          <w:rFonts w:eastAsia="Calibri"/>
        </w:rPr>
        <w:t>–</w:t>
      </w:r>
      <w:r>
        <w:rPr>
          <w:rFonts w:eastAsia="Calibri"/>
        </w:rPr>
        <w:tab/>
        <w:t>La adopción de una referencia cuantitativa contribuye a reducir la variabilidad, mejorar la transparencia y facilitar la evaluación periódica del sistema.</w:t>
      </w:r>
    </w:p>
    <w:p w14:paraId="4233A3A4" w14:textId="77777777" w:rsidR="0057058D" w:rsidRDefault="0057058D">
      <w:pPr>
        <w:jc w:val="both"/>
      </w:pPr>
      <w:r>
        <w:t>La Administración Argentina subraya que este valor se presenta como una guía metodológica, no como un límite rígido y debería ser revisado periódicamente en función de la evolución de los procesos, el volumen de notificaciones recibidas por la UIT y las mejoras en eficiencia operativa.</w:t>
      </w:r>
    </w:p>
    <w:p w14:paraId="5219A0BF" w14:textId="77777777" w:rsidR="0057058D" w:rsidRDefault="0057058D" w:rsidP="00717E08">
      <w:pPr>
        <w:pStyle w:val="Heading1"/>
      </w:pPr>
      <w:r>
        <w:t>6</w:t>
      </w:r>
      <w:r>
        <w:tab/>
        <w:t>Consideraciones finales</w:t>
      </w:r>
    </w:p>
    <w:p w14:paraId="3C3894E1" w14:textId="77777777" w:rsidR="0057058D" w:rsidRDefault="0057058D">
      <w:pPr>
        <w:jc w:val="both"/>
      </w:pPr>
      <w:r>
        <w:t>La Administración Argentina considera que el establecimiento de referencias claras para los costos indirectos asociados al Acuerdo 482 del Consejo contribuiría a:</w:t>
      </w:r>
    </w:p>
    <w:p w14:paraId="61B45F3E" w14:textId="77777777" w:rsidR="0057058D" w:rsidRDefault="0057058D" w:rsidP="00717E08">
      <w:pPr>
        <w:pStyle w:val="enumlev1"/>
      </w:pPr>
      <w:r>
        <w:rPr>
          <w:rFonts w:eastAsia="Calibri"/>
        </w:rPr>
        <w:t>–</w:t>
      </w:r>
      <w:r>
        <w:rPr>
          <w:rFonts w:eastAsia="Calibri"/>
        </w:rPr>
        <w:tab/>
        <w:t>fortalecer la transparencia y la confianza en el sistema de recuperación de costos,</w:t>
      </w:r>
    </w:p>
    <w:p w14:paraId="5FB6AFC1" w14:textId="77777777" w:rsidR="0057058D" w:rsidRDefault="0057058D" w:rsidP="00717E08">
      <w:pPr>
        <w:pStyle w:val="enumlev1"/>
      </w:pPr>
      <w:r>
        <w:rPr>
          <w:rFonts w:eastAsia="Calibri"/>
        </w:rPr>
        <w:t>–</w:t>
      </w:r>
      <w:r>
        <w:rPr>
          <w:rFonts w:eastAsia="Calibri"/>
        </w:rPr>
        <w:tab/>
        <w:t>asegurar una aplicación equilibrada y proporcional del Acuerdo,</w:t>
      </w:r>
    </w:p>
    <w:p w14:paraId="7E815DF8" w14:textId="77777777" w:rsidR="0057058D" w:rsidRDefault="0057058D" w:rsidP="00717E08">
      <w:pPr>
        <w:pStyle w:val="enumlev1"/>
      </w:pPr>
      <w:r>
        <w:rPr>
          <w:rFonts w:eastAsia="Calibri"/>
        </w:rPr>
        <w:t>–</w:t>
      </w:r>
      <w:r>
        <w:rPr>
          <w:rFonts w:eastAsia="Calibri"/>
        </w:rPr>
        <w:tab/>
        <w:t>promover el acceso equitativo al uso del recurso órbita-espectro.</w:t>
      </w:r>
    </w:p>
    <w:p w14:paraId="4E3C0EE2" w14:textId="77777777" w:rsidR="00F92BED" w:rsidRDefault="00F92BED" w:rsidP="0032202E">
      <w:pPr>
        <w:pStyle w:val="Reasons"/>
      </w:pPr>
    </w:p>
    <w:p w14:paraId="7113C1F3" w14:textId="77777777" w:rsidR="00F92BED" w:rsidRDefault="00F92BED" w:rsidP="0032202E">
      <w:pPr>
        <w:pStyle w:val="Reasons"/>
      </w:pPr>
    </w:p>
    <w:p w14:paraId="1E047CEB" w14:textId="77777777" w:rsidR="00F92BED" w:rsidRPr="00F92BED" w:rsidRDefault="00F92BED" w:rsidP="00F92BED">
      <w:pPr>
        <w:jc w:val="center"/>
      </w:pPr>
      <w:r>
        <w:t>______________</w:t>
      </w:r>
    </w:p>
    <w:sectPr w:rsidR="00F92BED" w:rsidRPr="00F92BED" w:rsidSect="00C538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2D0D" w14:textId="77777777" w:rsidR="006874B1" w:rsidRDefault="006874B1">
      <w:r>
        <w:separator/>
      </w:r>
    </w:p>
  </w:endnote>
  <w:endnote w:type="continuationSeparator" w:id="0">
    <w:p w14:paraId="54D8B0B4" w14:textId="77777777" w:rsidR="006874B1" w:rsidRDefault="0068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CC6E" w14:textId="77777777" w:rsidR="008A7ACB" w:rsidRDefault="008A7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0F89D7A0" w14:textId="77777777" w:rsidTr="00E31DCE">
      <w:trPr>
        <w:jc w:val="center"/>
      </w:trPr>
      <w:tc>
        <w:tcPr>
          <w:tcW w:w="1803" w:type="dxa"/>
          <w:vAlign w:val="center"/>
        </w:tcPr>
        <w:p w14:paraId="4B0B336E" w14:textId="75EF7AB7" w:rsidR="003273A4" w:rsidRDefault="003273A4" w:rsidP="003273A4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7C0EE7D" w14:textId="0A25795D" w:rsidR="003273A4" w:rsidRPr="00E06FD5" w:rsidRDefault="003273A4" w:rsidP="00D32D4F">
          <w:pPr>
            <w:pStyle w:val="Header"/>
            <w:tabs>
              <w:tab w:val="left" w:pos="617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32D4F">
            <w:rPr>
              <w:bCs/>
            </w:rPr>
            <w:t>84(</w:t>
          </w:r>
          <w:proofErr w:type="spellStart"/>
          <w:r w:rsidR="00D32D4F">
            <w:rPr>
              <w:bCs/>
            </w:rPr>
            <w:t>Rev.1</w:t>
          </w:r>
          <w:proofErr w:type="spellEnd"/>
          <w:r w:rsidR="00D32D4F">
            <w:rPr>
              <w:bCs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21E107" w14:textId="77777777" w:rsidR="00760F1C" w:rsidRPr="003273A4" w:rsidRDefault="00760F1C" w:rsidP="003273A4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48B71A4" w14:textId="77777777" w:rsidTr="00E31DCE">
      <w:trPr>
        <w:jc w:val="center"/>
      </w:trPr>
      <w:tc>
        <w:tcPr>
          <w:tcW w:w="1803" w:type="dxa"/>
          <w:vAlign w:val="center"/>
        </w:tcPr>
        <w:p w14:paraId="2AB14CB8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  <w:color w:val="4F81BD" w:themeColor="accent1"/>
                <w:u w:val="none"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ED8F712" w14:textId="1631FB91" w:rsidR="00F24B71" w:rsidRPr="00E06FD5" w:rsidRDefault="00F24B71" w:rsidP="00D32D4F">
          <w:pPr>
            <w:pStyle w:val="Header"/>
            <w:tabs>
              <w:tab w:val="left" w:pos="617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32D4F">
            <w:rPr>
              <w:bCs/>
            </w:rPr>
            <w:t>84(</w:t>
          </w:r>
          <w:proofErr w:type="spellStart"/>
          <w:r w:rsidR="00D32D4F">
            <w:rPr>
              <w:bCs/>
            </w:rPr>
            <w:t>Rev.1</w:t>
          </w:r>
          <w:proofErr w:type="spellEnd"/>
          <w:r w:rsidR="00D32D4F">
            <w:rPr>
              <w:bCs/>
            </w:rPr>
            <w:t>)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935D0C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289A" w14:textId="77777777" w:rsidR="006874B1" w:rsidRDefault="006874B1">
      <w:r>
        <w:t>____________________</w:t>
      </w:r>
    </w:p>
  </w:footnote>
  <w:footnote w:type="continuationSeparator" w:id="0">
    <w:p w14:paraId="096B6892" w14:textId="77777777" w:rsidR="006874B1" w:rsidRDefault="0068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3400" w14:textId="77777777" w:rsidR="008A7ACB" w:rsidRDefault="008A7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5AAA" w14:textId="77777777" w:rsidR="008A7ACB" w:rsidRDefault="008A7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9824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42086835" wp14:editId="57928468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B1"/>
    <w:rsid w:val="000007D1"/>
    <w:rsid w:val="0006007D"/>
    <w:rsid w:val="00093EEB"/>
    <w:rsid w:val="000B0D00"/>
    <w:rsid w:val="000B7C15"/>
    <w:rsid w:val="000D1D0F"/>
    <w:rsid w:val="000E3F07"/>
    <w:rsid w:val="000F5290"/>
    <w:rsid w:val="0010165C"/>
    <w:rsid w:val="001317F9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037E4"/>
    <w:rsid w:val="004571B0"/>
    <w:rsid w:val="00465C35"/>
    <w:rsid w:val="00473962"/>
    <w:rsid w:val="004B5D49"/>
    <w:rsid w:val="004D3A3C"/>
    <w:rsid w:val="00513630"/>
    <w:rsid w:val="00560125"/>
    <w:rsid w:val="0057058D"/>
    <w:rsid w:val="00585553"/>
    <w:rsid w:val="005B34D9"/>
    <w:rsid w:val="005D0CCF"/>
    <w:rsid w:val="005F3BCB"/>
    <w:rsid w:val="005F410F"/>
    <w:rsid w:val="005F79CB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874B1"/>
    <w:rsid w:val="006C1B56"/>
    <w:rsid w:val="006D4761"/>
    <w:rsid w:val="00717E08"/>
    <w:rsid w:val="00726872"/>
    <w:rsid w:val="00760F1C"/>
    <w:rsid w:val="007657F0"/>
    <w:rsid w:val="0077110E"/>
    <w:rsid w:val="0077252D"/>
    <w:rsid w:val="007955DA"/>
    <w:rsid w:val="007E37B6"/>
    <w:rsid w:val="007E5DD3"/>
    <w:rsid w:val="007F350B"/>
    <w:rsid w:val="00820BE4"/>
    <w:rsid w:val="008451E8"/>
    <w:rsid w:val="0084546D"/>
    <w:rsid w:val="008A7ACB"/>
    <w:rsid w:val="008F6ABC"/>
    <w:rsid w:val="00913B9C"/>
    <w:rsid w:val="00927F93"/>
    <w:rsid w:val="00956E77"/>
    <w:rsid w:val="009A338E"/>
    <w:rsid w:val="009A76A8"/>
    <w:rsid w:val="009F4811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0599D"/>
    <w:rsid w:val="00C20C59"/>
    <w:rsid w:val="00C2727F"/>
    <w:rsid w:val="00C4421B"/>
    <w:rsid w:val="00C538FC"/>
    <w:rsid w:val="00C55B1F"/>
    <w:rsid w:val="00CE2FCB"/>
    <w:rsid w:val="00CF1A67"/>
    <w:rsid w:val="00D2750E"/>
    <w:rsid w:val="00D32D4F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61980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1B027"/>
  <w15:docId w15:val="{7972E83C-9886-4192-92F9-6DC186A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uiPriority w:val="9"/>
    <w:qFormat/>
    <w:rsid w:val="00717E08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uiPriority w:val="9"/>
    <w:qFormat/>
    <w:rsid w:val="00717E0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717E08"/>
    <w:pPr>
      <w:spacing w:before="80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styleId="Subtitle0">
    <w:name w:val="Subtitle"/>
    <w:basedOn w:val="Normal"/>
    <w:next w:val="Normal"/>
    <w:link w:val="SubtitleChar"/>
    <w:uiPriority w:val="11"/>
    <w:qFormat/>
    <w:rsid w:val="0057058D"/>
    <w:pPr>
      <w:keepNext/>
      <w:keepLines/>
      <w:overflowPunct/>
      <w:autoSpaceDE/>
      <w:autoSpaceDN/>
      <w:adjustRightInd/>
      <w:spacing w:before="360" w:after="80"/>
      <w:textAlignment w:val="auto"/>
    </w:pPr>
    <w:rPr>
      <w:rFonts w:ascii="Georgia" w:eastAsia="Georgia" w:hAnsi="Georgia" w:cs="Georgia"/>
      <w:i/>
      <w:iCs/>
      <w:color w:val="666666"/>
      <w:sz w:val="48"/>
      <w:szCs w:val="48"/>
      <w:lang w:eastAsia="zh-CN"/>
    </w:rPr>
  </w:style>
  <w:style w:type="character" w:customStyle="1" w:styleId="SubtitleChar">
    <w:name w:val="Subtitle Char"/>
    <w:basedOn w:val="DefaultParagraphFont"/>
    <w:link w:val="Subtitle0"/>
    <w:uiPriority w:val="11"/>
    <w:rsid w:val="0057058D"/>
    <w:rPr>
      <w:rFonts w:ascii="Georgia" w:eastAsia="Georgia" w:hAnsi="Georgia" w:cs="Georgia"/>
      <w:i/>
      <w:iCs/>
      <w:color w:val="666666"/>
      <w:sz w:val="48"/>
      <w:szCs w:val="4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pub/R-REG-RR-202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md/S25-CL-C-0125/e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1065</Words>
  <Characters>6778</Characters>
  <Application>Microsoft Office Word</Application>
  <DocSecurity>0</DocSecurity>
  <Lines>138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7757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Aplicación del Acuerdo 482 - Caso de estudio sobre costos indirectos asociados a las notificaciones de las redes y sistemas de satélites y propuesta de referencia metodológica</dc:title>
  <dc:subject>Consejo 2026 de la UIT</dc:subject>
  <cp:keywords>C26; C2026; Council 2026; PP26</cp:keywords>
  <dc:description/>
  <cp:lastPrinted>2006-03-24T09:51:00Z</cp:lastPrinted>
  <dcterms:created xsi:type="dcterms:W3CDTF">2026-04-29T14:34:00Z</dcterms:created>
  <dcterms:modified xsi:type="dcterms:W3CDTF">2026-04-30T10:23:00Z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