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9E4E7C9" w14:textId="77777777" w:rsidTr="00796BDB">
        <w:trPr>
          <w:cantSplit/>
          <w:trHeight w:val="23"/>
        </w:trPr>
        <w:tc>
          <w:tcPr>
            <w:tcW w:w="3969" w:type="dxa"/>
            <w:vMerge w:val="restart"/>
            <w:tcMar>
              <w:left w:w="0" w:type="dxa"/>
            </w:tcMar>
          </w:tcPr>
          <w:p w14:paraId="04C12CAF" w14:textId="46DEA34E" w:rsidR="00D72F49" w:rsidRPr="00E85629" w:rsidRDefault="00D72F49" w:rsidP="00796BDB">
            <w:pPr>
              <w:tabs>
                <w:tab w:val="left" w:pos="851"/>
              </w:tabs>
              <w:spacing w:before="0" w:line="240" w:lineRule="atLeast"/>
              <w:rPr>
                <w:b/>
              </w:rPr>
            </w:pPr>
            <w:r w:rsidRPr="00122CE1">
              <w:rPr>
                <w:b/>
              </w:rPr>
              <w:t>Point de l'ordre du jour</w:t>
            </w:r>
            <w:r>
              <w:rPr>
                <w:b/>
              </w:rPr>
              <w:t>:</w:t>
            </w:r>
            <w:r w:rsidR="006C41C4">
              <w:rPr>
                <w:b/>
              </w:rPr>
              <w:t xml:space="preserve"> ADM 1</w:t>
            </w:r>
          </w:p>
        </w:tc>
        <w:tc>
          <w:tcPr>
            <w:tcW w:w="5245" w:type="dxa"/>
          </w:tcPr>
          <w:p w14:paraId="01DBD772" w14:textId="7A67937A" w:rsidR="00D72F49" w:rsidRPr="00E85629" w:rsidRDefault="00CF49F4" w:rsidP="00E51403">
            <w:pPr>
              <w:tabs>
                <w:tab w:val="left" w:pos="851"/>
              </w:tabs>
              <w:spacing w:before="0" w:line="240" w:lineRule="atLeast"/>
              <w:jc w:val="right"/>
              <w:rPr>
                <w:b/>
              </w:rPr>
            </w:pPr>
            <w:r>
              <w:rPr>
                <w:b/>
              </w:rPr>
              <w:t>Révision 1 du</w:t>
            </w:r>
            <w:r w:rsidR="00E51403">
              <w:rPr>
                <w:b/>
              </w:rPr>
              <w:br/>
            </w:r>
            <w:r w:rsidR="00D72F49">
              <w:rPr>
                <w:b/>
              </w:rPr>
              <w:t>Document C2</w:t>
            </w:r>
            <w:r w:rsidR="00E4448E">
              <w:rPr>
                <w:b/>
              </w:rPr>
              <w:t>6</w:t>
            </w:r>
            <w:r w:rsidR="00D72F49">
              <w:rPr>
                <w:b/>
              </w:rPr>
              <w:t>/</w:t>
            </w:r>
            <w:r w:rsidR="006C41C4">
              <w:rPr>
                <w:b/>
              </w:rPr>
              <w:t>84</w:t>
            </w:r>
            <w:r w:rsidR="00D72F49">
              <w:rPr>
                <w:b/>
              </w:rPr>
              <w:t>-F</w:t>
            </w:r>
          </w:p>
        </w:tc>
      </w:tr>
      <w:tr w:rsidR="00D72F49" w:rsidRPr="00C049D7" w14:paraId="6D8E91E4" w14:textId="77777777" w:rsidTr="00796BDB">
        <w:trPr>
          <w:cantSplit/>
        </w:trPr>
        <w:tc>
          <w:tcPr>
            <w:tcW w:w="3969" w:type="dxa"/>
            <w:vMerge/>
          </w:tcPr>
          <w:p w14:paraId="0D9CECC8" w14:textId="77777777" w:rsidR="00D72F49" w:rsidRPr="00813E5E" w:rsidRDefault="00D72F49" w:rsidP="00796BDB">
            <w:pPr>
              <w:tabs>
                <w:tab w:val="left" w:pos="851"/>
              </w:tabs>
              <w:spacing w:line="240" w:lineRule="atLeast"/>
              <w:rPr>
                <w:b/>
              </w:rPr>
            </w:pPr>
          </w:p>
        </w:tc>
        <w:tc>
          <w:tcPr>
            <w:tcW w:w="5245" w:type="dxa"/>
          </w:tcPr>
          <w:p w14:paraId="58346835" w14:textId="5009624D" w:rsidR="00D72F49" w:rsidRPr="00FC6D7D" w:rsidRDefault="00FD6B54" w:rsidP="00796BDB">
            <w:pPr>
              <w:tabs>
                <w:tab w:val="left" w:pos="851"/>
              </w:tabs>
              <w:spacing w:before="0"/>
              <w:jc w:val="right"/>
              <w:rPr>
                <w:b/>
                <w:lang w:val="en-GB"/>
              </w:rPr>
            </w:pPr>
            <w:r>
              <w:rPr>
                <w:b/>
              </w:rPr>
              <w:t xml:space="preserve">30 </w:t>
            </w:r>
            <w:r w:rsidR="006C41C4">
              <w:rPr>
                <w:b/>
              </w:rPr>
              <w:t>avril 2026</w:t>
            </w:r>
          </w:p>
        </w:tc>
      </w:tr>
      <w:tr w:rsidR="00D72F49" w:rsidRPr="00813E5E" w14:paraId="04E99792" w14:textId="77777777" w:rsidTr="00796BDB">
        <w:trPr>
          <w:cantSplit/>
          <w:trHeight w:val="23"/>
        </w:trPr>
        <w:tc>
          <w:tcPr>
            <w:tcW w:w="3969" w:type="dxa"/>
            <w:vMerge/>
          </w:tcPr>
          <w:p w14:paraId="117FD377" w14:textId="77777777" w:rsidR="00D72F49" w:rsidRPr="00FC6D7D" w:rsidRDefault="00D72F49" w:rsidP="00796BDB">
            <w:pPr>
              <w:tabs>
                <w:tab w:val="left" w:pos="851"/>
              </w:tabs>
              <w:spacing w:line="240" w:lineRule="atLeast"/>
              <w:rPr>
                <w:b/>
                <w:lang w:val="en-GB"/>
              </w:rPr>
            </w:pPr>
          </w:p>
        </w:tc>
        <w:tc>
          <w:tcPr>
            <w:tcW w:w="5245" w:type="dxa"/>
          </w:tcPr>
          <w:p w14:paraId="6FE0249D" w14:textId="525A88B5" w:rsidR="00D72F49" w:rsidRPr="00E85629" w:rsidRDefault="00D72F49" w:rsidP="00796BDB">
            <w:pPr>
              <w:tabs>
                <w:tab w:val="left" w:pos="851"/>
              </w:tabs>
              <w:spacing w:before="0" w:line="240" w:lineRule="atLeast"/>
              <w:jc w:val="right"/>
              <w:rPr>
                <w:b/>
              </w:rPr>
            </w:pPr>
            <w:r w:rsidRPr="00122CE1">
              <w:rPr>
                <w:b/>
                <w:lang w:val="fr-CH"/>
              </w:rPr>
              <w:t xml:space="preserve">Original: </w:t>
            </w:r>
            <w:r w:rsidR="006C41C4">
              <w:rPr>
                <w:b/>
                <w:lang w:val="fr-CH"/>
              </w:rPr>
              <w:t>espagnol</w:t>
            </w:r>
          </w:p>
        </w:tc>
      </w:tr>
      <w:tr w:rsidR="00D72F49" w:rsidRPr="00813E5E" w14:paraId="7A3D65A2" w14:textId="77777777" w:rsidTr="00796BDB">
        <w:trPr>
          <w:cantSplit/>
          <w:trHeight w:val="23"/>
        </w:trPr>
        <w:tc>
          <w:tcPr>
            <w:tcW w:w="3969" w:type="dxa"/>
          </w:tcPr>
          <w:p w14:paraId="10686B52" w14:textId="77777777" w:rsidR="00D72F49" w:rsidRPr="00813E5E" w:rsidRDefault="00D72F49" w:rsidP="00796BDB">
            <w:pPr>
              <w:tabs>
                <w:tab w:val="left" w:pos="851"/>
              </w:tabs>
              <w:spacing w:line="240" w:lineRule="atLeast"/>
              <w:rPr>
                <w:b/>
              </w:rPr>
            </w:pPr>
          </w:p>
        </w:tc>
        <w:tc>
          <w:tcPr>
            <w:tcW w:w="5245" w:type="dxa"/>
          </w:tcPr>
          <w:p w14:paraId="10E9F3DF" w14:textId="77777777" w:rsidR="00D72F49" w:rsidRDefault="00D72F49" w:rsidP="00796BDB">
            <w:pPr>
              <w:tabs>
                <w:tab w:val="left" w:pos="851"/>
              </w:tabs>
              <w:spacing w:before="0" w:line="240" w:lineRule="atLeast"/>
              <w:jc w:val="right"/>
              <w:rPr>
                <w:b/>
              </w:rPr>
            </w:pPr>
          </w:p>
        </w:tc>
      </w:tr>
      <w:tr w:rsidR="00D72F49" w:rsidRPr="00122CE1" w14:paraId="29C658CD" w14:textId="77777777" w:rsidTr="00796BDB">
        <w:trPr>
          <w:cantSplit/>
        </w:trPr>
        <w:tc>
          <w:tcPr>
            <w:tcW w:w="9214" w:type="dxa"/>
            <w:gridSpan w:val="2"/>
            <w:tcMar>
              <w:left w:w="0" w:type="dxa"/>
            </w:tcMar>
          </w:tcPr>
          <w:p w14:paraId="2070FDD3" w14:textId="09FBDD55" w:rsidR="00D72F49" w:rsidRPr="00425239" w:rsidRDefault="006C41C4" w:rsidP="00796BDB">
            <w:pPr>
              <w:pStyle w:val="Source"/>
              <w:jc w:val="left"/>
              <w:rPr>
                <w:sz w:val="32"/>
                <w:szCs w:val="32"/>
                <w:lang w:val="fr-CH"/>
              </w:rPr>
            </w:pPr>
            <w:r w:rsidRPr="00425239">
              <w:rPr>
                <w:rFonts w:cstheme="minorHAnsi"/>
                <w:color w:val="000000"/>
                <w:sz w:val="32"/>
                <w:szCs w:val="32"/>
              </w:rPr>
              <w:t>Contribution de la République argentine</w:t>
            </w:r>
          </w:p>
        </w:tc>
      </w:tr>
      <w:tr w:rsidR="00D72F49" w:rsidRPr="00813E5E" w14:paraId="53AB237C" w14:textId="77777777" w:rsidTr="00796BDB">
        <w:trPr>
          <w:cantSplit/>
        </w:trPr>
        <w:tc>
          <w:tcPr>
            <w:tcW w:w="9214" w:type="dxa"/>
            <w:gridSpan w:val="2"/>
            <w:tcMar>
              <w:left w:w="0" w:type="dxa"/>
            </w:tcMar>
          </w:tcPr>
          <w:p w14:paraId="39497F73" w14:textId="1DD82B08" w:rsidR="00D72F49" w:rsidRPr="006C41C4" w:rsidRDefault="006C41C4" w:rsidP="00796BDB">
            <w:pPr>
              <w:pStyle w:val="Subtitle"/>
              <w:framePr w:hSpace="0" w:wrap="auto" w:hAnchor="text" w:xAlign="left" w:yAlign="inline"/>
              <w:rPr>
                <w:sz w:val="32"/>
                <w:szCs w:val="32"/>
                <w:lang w:val="fr-FR"/>
              </w:rPr>
            </w:pPr>
            <w:r w:rsidRPr="006C41C4">
              <w:rPr>
                <w:rFonts w:cstheme="minorHAnsi"/>
                <w:sz w:val="32"/>
                <w:szCs w:val="32"/>
                <w:lang w:val="fr-FR"/>
              </w:rPr>
              <w:t>APPLICATION DE LA DÉCISION 482 – ÉTUDE DE CAS SUR LES COÛTS INDIRECTS ASSOCIÉS AUX FICHES DE NOTIFICATION DES RÉSEAUX</w:t>
            </w:r>
            <w:r w:rsidR="009F656A">
              <w:rPr>
                <w:rFonts w:cstheme="minorHAnsi"/>
                <w:sz w:val="32"/>
                <w:szCs w:val="32"/>
                <w:lang w:val="fr-FR"/>
              </w:rPr>
              <w:t xml:space="preserve"> </w:t>
            </w:r>
            <w:r w:rsidRPr="006C41C4">
              <w:rPr>
                <w:rFonts w:cstheme="minorHAnsi"/>
                <w:sz w:val="32"/>
                <w:szCs w:val="32"/>
                <w:lang w:val="fr-FR"/>
              </w:rPr>
              <w:t>À</w:t>
            </w:r>
            <w:r w:rsidR="00E51403">
              <w:rPr>
                <w:rFonts w:cstheme="minorHAnsi"/>
                <w:sz w:val="32"/>
                <w:szCs w:val="32"/>
                <w:lang w:val="fr-FR"/>
              </w:rPr>
              <w:t> </w:t>
            </w:r>
            <w:r w:rsidRPr="006C41C4">
              <w:rPr>
                <w:rFonts w:cstheme="minorHAnsi"/>
                <w:sz w:val="32"/>
                <w:szCs w:val="32"/>
                <w:lang w:val="fr-FR"/>
              </w:rPr>
              <w:t>SATELLITE ET DES SYSTÈMES À SATELLITES ET CADRE MÉTHODOLOGIQUE PROPOSÉ</w:t>
            </w:r>
          </w:p>
        </w:tc>
      </w:tr>
      <w:tr w:rsidR="00D72F49" w:rsidRPr="00813E5E" w14:paraId="7D8CBCF1" w14:textId="77777777" w:rsidTr="00796BDB">
        <w:trPr>
          <w:cantSplit/>
        </w:trPr>
        <w:tc>
          <w:tcPr>
            <w:tcW w:w="9214" w:type="dxa"/>
            <w:gridSpan w:val="2"/>
            <w:tcBorders>
              <w:top w:val="single" w:sz="4" w:space="0" w:color="auto"/>
              <w:bottom w:val="single" w:sz="4" w:space="0" w:color="auto"/>
            </w:tcBorders>
            <w:tcMar>
              <w:left w:w="0" w:type="dxa"/>
            </w:tcMar>
          </w:tcPr>
          <w:p w14:paraId="677D3B8A" w14:textId="77777777" w:rsidR="00D72F49" w:rsidRPr="0099485B" w:rsidRDefault="00F37FE5" w:rsidP="00796BDB">
            <w:pPr>
              <w:spacing w:before="160"/>
              <w:rPr>
                <w:b/>
                <w:bCs/>
                <w:sz w:val="26"/>
                <w:szCs w:val="26"/>
                <w:lang w:val="fr-CH"/>
              </w:rPr>
            </w:pPr>
            <w:r>
              <w:rPr>
                <w:b/>
                <w:bCs/>
                <w:sz w:val="26"/>
                <w:szCs w:val="26"/>
                <w:lang w:val="fr-CH"/>
              </w:rPr>
              <w:t>Objet</w:t>
            </w:r>
          </w:p>
          <w:p w14:paraId="4A6201C3" w14:textId="37A6015C" w:rsidR="00D72F49" w:rsidRPr="0099485B" w:rsidRDefault="006C41C4" w:rsidP="00425239">
            <w:pPr>
              <w:jc w:val="both"/>
              <w:rPr>
                <w:lang w:val="fr-CH"/>
              </w:rPr>
            </w:pPr>
            <w:r w:rsidRPr="006C41C4">
              <w:rPr>
                <w:lang w:val="fr-CH"/>
              </w:rPr>
              <w:t>Dans la présente contribution, la République argentine entend fournir un apport sur le plan économique et méthodologique qui contribuera à améliorer la prévisibilité du système et à faire en sorte que les coûts recouvrés soient proportionnels aux services effectivement fournis.</w:t>
            </w:r>
          </w:p>
          <w:p w14:paraId="2CEA6D82"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1684AB82" w14:textId="77777777" w:rsidR="006C41C4" w:rsidRPr="006C41C4" w:rsidRDefault="006C41C4" w:rsidP="00425239">
            <w:pPr>
              <w:jc w:val="both"/>
              <w:rPr>
                <w:lang w:val="fr-CH"/>
              </w:rPr>
            </w:pPr>
            <w:r w:rsidRPr="006C41C4">
              <w:rPr>
                <w:lang w:val="fr-CH"/>
              </w:rPr>
              <w:t>Le Conseil est invité à:</w:t>
            </w:r>
          </w:p>
          <w:p w14:paraId="7AB456FD" w14:textId="77777777" w:rsidR="006C41C4" w:rsidRPr="006C41C4" w:rsidRDefault="006C41C4" w:rsidP="00425239">
            <w:pPr>
              <w:pStyle w:val="enumlev1"/>
              <w:jc w:val="both"/>
              <w:rPr>
                <w:lang w:val="fr-CH"/>
              </w:rPr>
            </w:pPr>
            <w:r w:rsidRPr="006C41C4">
              <w:rPr>
                <w:lang w:val="fr-CH"/>
              </w:rPr>
              <w:t>–</w:t>
            </w:r>
            <w:r w:rsidRPr="006C41C4">
              <w:rPr>
                <w:lang w:val="fr-CH"/>
              </w:rPr>
              <w:tab/>
            </w:r>
            <w:r w:rsidRPr="006C41C4">
              <w:rPr>
                <w:b/>
                <w:bCs/>
                <w:lang w:val="fr-CH"/>
              </w:rPr>
              <w:t>prendre note</w:t>
            </w:r>
            <w:r w:rsidRPr="006C41C4">
              <w:rPr>
                <w:lang w:val="fr-CH"/>
              </w:rPr>
              <w:t xml:space="preserve"> de l'étude de cas présentée par la République argentine; et </w:t>
            </w:r>
          </w:p>
          <w:p w14:paraId="3877DBA2" w14:textId="737A3406" w:rsidR="00D72F49" w:rsidRPr="00122CE1" w:rsidRDefault="006C41C4" w:rsidP="00425239">
            <w:pPr>
              <w:pStyle w:val="enumlev1"/>
              <w:jc w:val="both"/>
              <w:rPr>
                <w:lang w:val="fr-CH"/>
              </w:rPr>
            </w:pPr>
            <w:r w:rsidRPr="006C41C4">
              <w:rPr>
                <w:lang w:val="fr-CH"/>
              </w:rPr>
              <w:t>–</w:t>
            </w:r>
            <w:r w:rsidRPr="006C41C4">
              <w:rPr>
                <w:lang w:val="fr-CH"/>
              </w:rPr>
              <w:tab/>
            </w:r>
            <w:r w:rsidRPr="006C41C4">
              <w:rPr>
                <w:b/>
                <w:bCs/>
                <w:lang w:val="fr-CH"/>
              </w:rPr>
              <w:t>examiner</w:t>
            </w:r>
            <w:r w:rsidRPr="006C41C4">
              <w:rPr>
                <w:lang w:val="fr-CH"/>
              </w:rPr>
              <w:t xml:space="preserve"> le cadre méthodologique proposé comme base des discussions futures et les ajustements éventuels à apporter à l'application de la Décision 482 du Conseil de l'UIT.</w:t>
            </w:r>
          </w:p>
          <w:p w14:paraId="45818BD5" w14:textId="77777777" w:rsidR="00D72F49" w:rsidRPr="00813E5E" w:rsidRDefault="00D72F49" w:rsidP="00796BDB">
            <w:pPr>
              <w:spacing w:before="160"/>
              <w:rPr>
                <w:caps/>
                <w:sz w:val="22"/>
              </w:rPr>
            </w:pPr>
            <w:r w:rsidRPr="00813E5E">
              <w:rPr>
                <w:sz w:val="22"/>
              </w:rPr>
              <w:t>____________</w:t>
            </w:r>
            <w:r>
              <w:rPr>
                <w:sz w:val="22"/>
              </w:rPr>
              <w:t>______</w:t>
            </w:r>
          </w:p>
          <w:p w14:paraId="15DE51DC" w14:textId="77777777" w:rsidR="00D72F49" w:rsidRDefault="00D72F49" w:rsidP="00796BDB">
            <w:pPr>
              <w:spacing w:before="160"/>
              <w:rPr>
                <w:b/>
                <w:bCs/>
                <w:sz w:val="26"/>
                <w:szCs w:val="26"/>
              </w:rPr>
            </w:pPr>
            <w:r w:rsidRPr="00F16BAB">
              <w:rPr>
                <w:b/>
                <w:bCs/>
                <w:sz w:val="26"/>
                <w:szCs w:val="26"/>
              </w:rPr>
              <w:t>Références</w:t>
            </w:r>
          </w:p>
          <w:p w14:paraId="0CF7127B" w14:textId="1F793C17" w:rsidR="00D72F49" w:rsidRPr="00425239" w:rsidRDefault="006C41C4" w:rsidP="00CE5172">
            <w:pPr>
              <w:pStyle w:val="Referencetext"/>
              <w:framePr w:hSpace="0" w:wrap="auto" w:vAnchor="margin" w:hAnchor="text" w:xAlign="left" w:yAlign="inline"/>
            </w:pPr>
            <w:hyperlink r:id="rId8" w:history="1">
              <w:r w:rsidRPr="00425239">
                <w:rPr>
                  <w:rStyle w:val="Hyperlink"/>
                  <w:rFonts w:eastAsia="Times New Roman" w:cs="Times New Roman"/>
                </w:rPr>
                <w:t>Décision 482</w:t>
              </w:r>
            </w:hyperlink>
            <w:r w:rsidRPr="00425239">
              <w:t xml:space="preserve"> (C01, dernière mod. C25) du </w:t>
            </w:r>
            <w:proofErr w:type="gramStart"/>
            <w:r w:rsidRPr="00425239">
              <w:t>Conseil;</w:t>
            </w:r>
            <w:proofErr w:type="gramEnd"/>
            <w:r w:rsidRPr="00425239">
              <w:t xml:space="preserve"> </w:t>
            </w:r>
            <w:hyperlink r:id="rId9" w:history="1">
              <w:r w:rsidRPr="00425239">
                <w:rPr>
                  <w:rStyle w:val="Hyperlink"/>
                  <w:rFonts w:eastAsia="Times New Roman" w:cs="Times New Roman"/>
                </w:rPr>
                <w:t>Règlement des radiocommunications</w:t>
              </w:r>
            </w:hyperlink>
            <w:r w:rsidRPr="00425239">
              <w:t xml:space="preserve"> de</w:t>
            </w:r>
            <w:r w:rsidR="009F656A" w:rsidRPr="00425239">
              <w:t> </w:t>
            </w:r>
            <w:r w:rsidRPr="00425239">
              <w:t>l'UIT</w:t>
            </w:r>
          </w:p>
        </w:tc>
      </w:tr>
    </w:tbl>
    <w:p w14:paraId="0195A5BA"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399335EF" w14:textId="77777777" w:rsidR="00F462A4" w:rsidRDefault="00F462A4" w:rsidP="00F462A4">
      <w:pPr>
        <w:pStyle w:val="Heading1"/>
      </w:pPr>
      <w:r>
        <w:lastRenderedPageBreak/>
        <w:t>1</w:t>
      </w:r>
      <w:r>
        <w:tab/>
        <w:t>Introduction</w:t>
      </w:r>
    </w:p>
    <w:p w14:paraId="5F88DAF4" w14:textId="77777777" w:rsidR="00F462A4" w:rsidRDefault="00F462A4" w:rsidP="00425239">
      <w:pPr>
        <w:jc w:val="both"/>
      </w:pPr>
      <w:r>
        <w:t>La République argentine réaffirme son attachement aux principes de durabilité, de transparence et d'équité qui régissent la gestion des ressources que sont le spectre et les orbites de satellites dans le cadre de l'Union internationale des télécommunications.</w:t>
      </w:r>
    </w:p>
    <w:p w14:paraId="2044A746" w14:textId="77777777" w:rsidR="00F462A4" w:rsidRDefault="00F462A4" w:rsidP="00425239">
      <w:pPr>
        <w:jc w:val="both"/>
      </w:pPr>
      <w:r>
        <w:t>En ce qui concerne l'application de la Décision 482 (C01, dernière mod. C25) du Conseil et afin de faciliter une mise en œuvre équilibrée du système de recouvrement des coûts associé à la notification, à la coordination et à l'inscription des réseaux à satellite et des systèmes à satellites, l'Argentine présente ci-après une étude de cas visant à analyser les coûts indirects associés à ces activités.</w:t>
      </w:r>
    </w:p>
    <w:p w14:paraId="04D1D9BD" w14:textId="77777777" w:rsidR="00F462A4" w:rsidRDefault="00F462A4" w:rsidP="00F462A4">
      <w:pPr>
        <w:pStyle w:val="Heading1"/>
      </w:pPr>
      <w:r>
        <w:t>2</w:t>
      </w:r>
      <w:r>
        <w:tab/>
        <w:t>Décision 482 du Conseil</w:t>
      </w:r>
    </w:p>
    <w:p w14:paraId="019AC8B5" w14:textId="04575E55" w:rsidR="00F462A4" w:rsidRDefault="00F462A4" w:rsidP="00425239">
      <w:pPr>
        <w:jc w:val="both"/>
      </w:pPr>
      <w:r>
        <w:t>La Décision 482 du Conseil établit le cadre pour le recouvrement des coûts directs découlant du traitement des fiches de notification des réseaux à satellite et des systèmes à satellites, y compris les évaluations techniques et administratives nécessaires à leur traitement conformément au Règlement des radiocommunications.</w:t>
      </w:r>
    </w:p>
    <w:p w14:paraId="2A127F34" w14:textId="77777777" w:rsidR="00F462A4" w:rsidRDefault="00F462A4" w:rsidP="00425239">
      <w:pPr>
        <w:jc w:val="both"/>
      </w:pPr>
      <w:r>
        <w:t>Dans la pratique, outre les coûts directs clairement identifiables, il existe aussi des coûts indirects associés au fonctionnement général de l'organisation. Bien que ces coûts soient imputables à l'appui nécessaire à la fourniture de service, il est essentiel de procéder à une définition et à une imputation précises pour préserver la cohérence économique du système.</w:t>
      </w:r>
    </w:p>
    <w:p w14:paraId="22A6B141" w14:textId="77777777" w:rsidR="00F462A4" w:rsidRDefault="00F462A4" w:rsidP="00F462A4">
      <w:pPr>
        <w:pStyle w:val="Heading1"/>
      </w:pPr>
      <w:r>
        <w:t>3</w:t>
      </w:r>
      <w:r>
        <w:tab/>
        <w:t>Étude de cas: Analyse des coûts associés au traitement des fiches de notification des réseaux à satellite et des systèmes à satellites</w:t>
      </w:r>
    </w:p>
    <w:p w14:paraId="6FEAD4E7" w14:textId="77777777" w:rsidR="00F462A4" w:rsidRDefault="00F462A4" w:rsidP="00425239">
      <w:pPr>
        <w:jc w:val="both"/>
      </w:pPr>
      <w:r>
        <w:t>Compte tenu d'une analyse des processus relatifs au traitement des fiches de notification des réseaux à satellite et des systèmes à satellites, l'Argentine constate que:</w:t>
      </w:r>
    </w:p>
    <w:p w14:paraId="1EF692A6" w14:textId="4B8BBE24" w:rsidR="00F462A4" w:rsidRDefault="00F462A4" w:rsidP="00425239">
      <w:pPr>
        <w:pStyle w:val="enumlev1"/>
        <w:jc w:val="both"/>
      </w:pPr>
      <w:r>
        <w:t>–</w:t>
      </w:r>
      <w:r>
        <w:tab/>
        <w:t>les coûts directs peuvent être recensés et quantifiés de manière objective, étant donné qu'ils découlent d'activités techniques spécifiques prévues dans la Décision 482;</w:t>
      </w:r>
    </w:p>
    <w:p w14:paraId="7464BBC0" w14:textId="6513D0C1" w:rsidR="00F462A4" w:rsidRDefault="00F462A4" w:rsidP="00425239">
      <w:pPr>
        <w:pStyle w:val="enumlev1"/>
        <w:jc w:val="both"/>
      </w:pPr>
      <w:r>
        <w:t>–</w:t>
      </w:r>
      <w:r>
        <w:tab/>
        <w:t>les coûts indirects, en l'absence de critères de référence clairs, peuvent varier considérablement et nuire à la transparence du système de recouvrement des coûts;</w:t>
      </w:r>
    </w:p>
    <w:p w14:paraId="57839F99" w14:textId="3F37EAB0" w:rsidR="00F462A4" w:rsidRDefault="00F462A4" w:rsidP="00425239">
      <w:pPr>
        <w:pStyle w:val="enumlev1"/>
        <w:jc w:val="both"/>
      </w:pPr>
      <w:r>
        <w:t>–</w:t>
      </w:r>
      <w:r>
        <w:tab/>
        <w:t>un rapport élevé entre les coûts indirects et les coûts directs peut nuire à la prévisibilité pour les administrations notificatrices et constituer un obstacle, en</w:t>
      </w:r>
      <w:r w:rsidR="009F656A">
        <w:t xml:space="preserve"> </w:t>
      </w:r>
      <w:r>
        <w:t>particulier pour les pays en développement.</w:t>
      </w:r>
    </w:p>
    <w:p w14:paraId="6F8E8B51" w14:textId="77777777" w:rsidR="00F462A4" w:rsidRDefault="00F462A4" w:rsidP="00F462A4">
      <w:pPr>
        <w:pStyle w:val="Heading1"/>
      </w:pPr>
      <w:r>
        <w:t>4</w:t>
      </w:r>
      <w:r>
        <w:tab/>
        <w:t>Approche économique et méthodologique</w:t>
      </w:r>
    </w:p>
    <w:p w14:paraId="4A83A15B" w14:textId="77777777" w:rsidR="00F462A4" w:rsidRDefault="00F462A4" w:rsidP="00F462A4">
      <w:pPr>
        <w:pStyle w:val="Heading2"/>
      </w:pPr>
      <w:r>
        <w:t>4.1</w:t>
      </w:r>
      <w:r>
        <w:tab/>
        <w:t>Classification des coûts</w:t>
      </w:r>
    </w:p>
    <w:p w14:paraId="36D1EE82" w14:textId="77777777" w:rsidR="00F462A4" w:rsidRDefault="00F462A4" w:rsidP="00425239">
      <w:pPr>
        <w:jc w:val="both"/>
      </w:pPr>
      <w:r>
        <w:t>Aux fins de la présente étude, une approche de classification conforme aux principes largement reconnus de la comptabilité analytique et de la gestion publique a été adoptée:</w:t>
      </w:r>
    </w:p>
    <w:p w14:paraId="2EB7D1E3" w14:textId="77777777" w:rsidR="00F462A4" w:rsidRDefault="00F462A4" w:rsidP="00F462A4">
      <w:pPr>
        <w:pStyle w:val="Headingb"/>
      </w:pPr>
      <w:r>
        <w:t>a)</w:t>
      </w:r>
      <w:r>
        <w:tab/>
        <w:t>Coûts directs</w:t>
      </w:r>
    </w:p>
    <w:p w14:paraId="5CFBB114" w14:textId="77777777" w:rsidR="00F462A4" w:rsidRDefault="00F462A4" w:rsidP="00425239">
      <w:pPr>
        <w:jc w:val="both"/>
      </w:pPr>
      <w:r>
        <w:t>Les coûts directs sont ceux qui peuvent être imputés de manière claire, vérifiable et exclusive à des activités spécifiques pour une fiche de notification donnée, notamment, mais non exclusivement:</w:t>
      </w:r>
    </w:p>
    <w:p w14:paraId="3EC52E46" w14:textId="77777777" w:rsidR="00F462A4" w:rsidRDefault="00F462A4" w:rsidP="00425239">
      <w:pPr>
        <w:pStyle w:val="enumlev1"/>
        <w:jc w:val="both"/>
      </w:pPr>
      <w:r>
        <w:t>–</w:t>
      </w:r>
      <w:r>
        <w:tab/>
        <w:t>l'analyse technique et réglementaire des réseaux notifiés;</w:t>
      </w:r>
    </w:p>
    <w:p w14:paraId="2D8CFD63" w14:textId="77777777" w:rsidR="00F462A4" w:rsidRDefault="00F462A4" w:rsidP="00425239">
      <w:pPr>
        <w:pStyle w:val="enumlev1"/>
        <w:jc w:val="both"/>
      </w:pPr>
      <w:r>
        <w:lastRenderedPageBreak/>
        <w:t>–</w:t>
      </w:r>
      <w:r>
        <w:tab/>
        <w:t>les études de compatibilité et de coordination;</w:t>
      </w:r>
    </w:p>
    <w:p w14:paraId="14E17D29" w14:textId="77777777" w:rsidR="00F462A4" w:rsidRDefault="00F462A4" w:rsidP="00425239">
      <w:pPr>
        <w:pStyle w:val="enumlev1"/>
        <w:jc w:val="both"/>
      </w:pPr>
      <w:r>
        <w:t>–</w:t>
      </w:r>
      <w:r>
        <w:tab/>
        <w:t>le traitement et l'enregistrement de l'information dans les systèmes de l'UIT;</w:t>
      </w:r>
    </w:p>
    <w:p w14:paraId="298B383B" w14:textId="77777777" w:rsidR="00F462A4" w:rsidRDefault="00F462A4" w:rsidP="00425239">
      <w:pPr>
        <w:pStyle w:val="enumlev1"/>
        <w:jc w:val="both"/>
      </w:pPr>
      <w:r>
        <w:t>–</w:t>
      </w:r>
      <w:r>
        <w:tab/>
        <w:t>la publication des sections spéciales correspondantes; et</w:t>
      </w:r>
    </w:p>
    <w:p w14:paraId="5CF8FAF6" w14:textId="77777777" w:rsidR="00F462A4" w:rsidRDefault="00F462A4" w:rsidP="00425239">
      <w:pPr>
        <w:pStyle w:val="enumlev1"/>
        <w:jc w:val="both"/>
      </w:pPr>
      <w:r>
        <w:t>–</w:t>
      </w:r>
      <w:r>
        <w:tab/>
        <w:t>l'interaction avec les administrations notificatrices concernées par un cas particulier.</w:t>
      </w:r>
    </w:p>
    <w:p w14:paraId="56C08CCD" w14:textId="77777777" w:rsidR="00F462A4" w:rsidRDefault="00F462A4" w:rsidP="00F462A4">
      <w:pPr>
        <w:pStyle w:val="Headingb"/>
      </w:pPr>
      <w:r>
        <w:t>b)</w:t>
      </w:r>
      <w:r>
        <w:tab/>
        <w:t>Coûts indirects</w:t>
      </w:r>
    </w:p>
    <w:p w14:paraId="33E681B8" w14:textId="77777777" w:rsidR="00F462A4" w:rsidRDefault="00F462A4" w:rsidP="00425239">
      <w:pPr>
        <w:jc w:val="both"/>
      </w:pPr>
      <w:r>
        <w:t>Les coûts indirects sont ceux qui sont nécessaires au fonctionnement général de l'organisation et ne peuvent être imputés exclusivement à une fiche de notification individuelle. Sont concernées, à titre d'exemple, les activités suivantes:</w:t>
      </w:r>
    </w:p>
    <w:p w14:paraId="2D0B433E" w14:textId="77777777" w:rsidR="00F462A4" w:rsidRDefault="00F462A4" w:rsidP="00425239">
      <w:pPr>
        <w:pStyle w:val="enumlev1"/>
        <w:jc w:val="both"/>
      </w:pPr>
      <w:r>
        <w:t>–</w:t>
      </w:r>
      <w:r>
        <w:tab/>
        <w:t>l'administration générale;</w:t>
      </w:r>
    </w:p>
    <w:p w14:paraId="241F5B5F" w14:textId="77777777" w:rsidR="00F462A4" w:rsidRDefault="00F462A4" w:rsidP="00425239">
      <w:pPr>
        <w:pStyle w:val="enumlev1"/>
        <w:jc w:val="both"/>
      </w:pPr>
      <w:r>
        <w:t>–</w:t>
      </w:r>
      <w:r>
        <w:tab/>
        <w:t>la gestion des ressources humaines;</w:t>
      </w:r>
    </w:p>
    <w:p w14:paraId="620107AD" w14:textId="77777777" w:rsidR="00F462A4" w:rsidRDefault="00F462A4" w:rsidP="00425239">
      <w:pPr>
        <w:pStyle w:val="enumlev1"/>
        <w:jc w:val="both"/>
      </w:pPr>
      <w:r>
        <w:t>–</w:t>
      </w:r>
      <w:r>
        <w:tab/>
        <w:t>la maintenance des infrastructures et des systèmes informatiques polyvalents; et</w:t>
      </w:r>
    </w:p>
    <w:p w14:paraId="5C907294" w14:textId="77777777" w:rsidR="00F462A4" w:rsidRDefault="00F462A4" w:rsidP="00425239">
      <w:pPr>
        <w:pStyle w:val="enumlev1"/>
        <w:jc w:val="both"/>
      </w:pPr>
      <w:r>
        <w:t>–</w:t>
      </w:r>
      <w:r>
        <w:tab/>
        <w:t>l'assistance administrative et financière.</w:t>
      </w:r>
    </w:p>
    <w:p w14:paraId="2C8885D6" w14:textId="77777777" w:rsidR="00F462A4" w:rsidRDefault="00F462A4" w:rsidP="00425239">
      <w:pPr>
        <w:jc w:val="both"/>
      </w:pPr>
      <w:r>
        <w:t>Cette distinction est essentielle pour assurer la traçabilité, la transparence et la proportionnalité du système de recouvrement des coûts.</w:t>
      </w:r>
    </w:p>
    <w:p w14:paraId="0C833611" w14:textId="77777777" w:rsidR="00F462A4" w:rsidRDefault="00F462A4" w:rsidP="00F462A4">
      <w:pPr>
        <w:pStyle w:val="Heading2"/>
      </w:pPr>
      <w:r>
        <w:t>4.2</w:t>
      </w:r>
      <w:r>
        <w:tab/>
        <w:t>Méthode d'estimation et d'imputation</w:t>
      </w:r>
    </w:p>
    <w:p w14:paraId="20BDDD0E" w14:textId="77777777" w:rsidR="00F462A4" w:rsidRDefault="00F462A4" w:rsidP="00425239">
      <w:pPr>
        <w:jc w:val="both"/>
      </w:pPr>
      <w:r>
        <w:t>L'étude de cas repose sur une méthodologie qui prévoit:</w:t>
      </w:r>
    </w:p>
    <w:p w14:paraId="2ED62260" w14:textId="77777777" w:rsidR="00F462A4" w:rsidRDefault="00F462A4" w:rsidP="00425239">
      <w:pPr>
        <w:pStyle w:val="enumlev1"/>
        <w:jc w:val="both"/>
      </w:pPr>
      <w:r>
        <w:t>–</w:t>
      </w:r>
      <w:r>
        <w:tab/>
        <w:t>l'identification des processus intervenant dans le traitement des fiches de notification des réseaux à satellite et des systèmes à satellites, en faisant la distinction entre activités essentielles et activités d'appui;</w:t>
      </w:r>
    </w:p>
    <w:p w14:paraId="67F190DE" w14:textId="77777777" w:rsidR="00F462A4" w:rsidRDefault="00F462A4" w:rsidP="00425239">
      <w:pPr>
        <w:pStyle w:val="enumlev1"/>
        <w:jc w:val="both"/>
      </w:pPr>
      <w:r>
        <w:t>–</w:t>
      </w:r>
      <w:r>
        <w:tab/>
        <w:t>l'estimation des coûts directs sur la base d'entrées mesurables, telles que les ressources techniques spécialisées et l'utilisation spécifique des systèmes; et</w:t>
      </w:r>
    </w:p>
    <w:p w14:paraId="394F863E" w14:textId="77777777" w:rsidR="00F462A4" w:rsidRDefault="00F462A4" w:rsidP="00425239">
      <w:pPr>
        <w:pStyle w:val="enumlev1"/>
        <w:jc w:val="both"/>
      </w:pPr>
      <w:r>
        <w:t>–</w:t>
      </w:r>
      <w:r>
        <w:tab/>
        <w:t>l'imputation des coûts indirects au moyen de critères de répartition raisonnables, cohérents et stables, en évitant l'imputation de coûts structurels sans rapport avec le niveau effectif du service fourni.</w:t>
      </w:r>
    </w:p>
    <w:p w14:paraId="3ADDBA16" w14:textId="77777777" w:rsidR="00F462A4" w:rsidRDefault="00F462A4" w:rsidP="00425239">
      <w:pPr>
        <w:jc w:val="both"/>
      </w:pPr>
      <w:r>
        <w:t>De ce point de vue, les coûts indirects devraient refléter uniquement l'appui nécessaire et proportionnel à l'exécution des activités directement attribuables à la Décision 482.</w:t>
      </w:r>
    </w:p>
    <w:p w14:paraId="6738B55B" w14:textId="77777777" w:rsidR="00F462A4" w:rsidRDefault="00F462A4" w:rsidP="00F462A4">
      <w:pPr>
        <w:pStyle w:val="Heading2"/>
      </w:pPr>
      <w:r>
        <w:t>4.3</w:t>
      </w:r>
      <w:r>
        <w:tab/>
        <w:t>Principes économiques applicables</w:t>
      </w:r>
    </w:p>
    <w:p w14:paraId="05925C53" w14:textId="77777777" w:rsidR="00F462A4" w:rsidRDefault="00F462A4" w:rsidP="00425239">
      <w:pPr>
        <w:jc w:val="both"/>
      </w:pPr>
      <w:r>
        <w:t>L'Argentine estime que le système de recouvrement des coûts devrait être régi, entre autres, par les principes suivants:</w:t>
      </w:r>
    </w:p>
    <w:p w14:paraId="5AEC7DB8" w14:textId="77777777" w:rsidR="00F462A4" w:rsidRDefault="00F462A4" w:rsidP="00425239">
      <w:pPr>
        <w:pStyle w:val="enumlev1"/>
        <w:jc w:val="both"/>
      </w:pPr>
      <w:r>
        <w:t>–</w:t>
      </w:r>
      <w:r>
        <w:tab/>
        <w:t>Causalité: les coûts recouvrés doivent être liés aux activités qui les génèrent.</w:t>
      </w:r>
    </w:p>
    <w:p w14:paraId="3D9FE412" w14:textId="77777777" w:rsidR="00F462A4" w:rsidRDefault="00F462A4" w:rsidP="00425239">
      <w:pPr>
        <w:pStyle w:val="enumlev1"/>
        <w:jc w:val="both"/>
      </w:pPr>
      <w:r>
        <w:t>–</w:t>
      </w:r>
      <w:r>
        <w:tab/>
        <w:t>Proportionnalité: les coûts indirects doivent être maintenus dans un rapport raisonnable avec les coûts directs.</w:t>
      </w:r>
    </w:p>
    <w:p w14:paraId="39FD536B" w14:textId="77777777" w:rsidR="00F462A4" w:rsidRDefault="00F462A4" w:rsidP="00425239">
      <w:pPr>
        <w:pStyle w:val="enumlev1"/>
        <w:jc w:val="both"/>
      </w:pPr>
      <w:r>
        <w:t>–</w:t>
      </w:r>
      <w:r>
        <w:tab/>
        <w:t>Prévisibilité: les administrations notificatrices doivent pouvoir anticiper les coûts associés à une fiche de notification avec un degré raisonnable de certitude.</w:t>
      </w:r>
    </w:p>
    <w:p w14:paraId="4675F149" w14:textId="77777777" w:rsidR="00F462A4" w:rsidRDefault="00F462A4" w:rsidP="00425239">
      <w:pPr>
        <w:pStyle w:val="enumlev1"/>
        <w:jc w:val="both"/>
      </w:pPr>
      <w:r>
        <w:t>–</w:t>
      </w:r>
      <w:r>
        <w:tab/>
        <w:t>Non-discrimination: la structure des coûts ne doit pas avoir d'incidence disproportionnée sur certaines administrations.</w:t>
      </w:r>
    </w:p>
    <w:p w14:paraId="35B646F3" w14:textId="77777777" w:rsidR="00F462A4" w:rsidRDefault="00F462A4" w:rsidP="00F462A4">
      <w:pPr>
        <w:pStyle w:val="Heading1"/>
      </w:pPr>
      <w:r>
        <w:lastRenderedPageBreak/>
        <w:t>5</w:t>
      </w:r>
      <w:r>
        <w:tab/>
        <w:t>Cadre proposé pour les coûts indirects</w:t>
      </w:r>
    </w:p>
    <w:p w14:paraId="2CCCB26B" w14:textId="77777777" w:rsidR="00F462A4" w:rsidRDefault="00F462A4" w:rsidP="00425239">
      <w:pPr>
        <w:jc w:val="both"/>
      </w:pPr>
      <w:r>
        <w:t>À la lumière de l'analyse effectuée, l'Administration de l'Argentine propose comme principe directeur que les coûts indirects associés à l'application de la Décision 482:</w:t>
      </w:r>
    </w:p>
    <w:p w14:paraId="43E57A0E" w14:textId="5DA379BA" w:rsidR="00F462A4" w:rsidRDefault="00F462A4" w:rsidP="00425239">
      <w:pPr>
        <w:pStyle w:val="enumlev1"/>
        <w:jc w:val="both"/>
      </w:pPr>
      <w:r>
        <w:t>–</w:t>
      </w:r>
      <w:r>
        <w:tab/>
        <w:t>ne dépassent pas 30% du total des coûts recouvrés pour les activités prévues dans la Décision 482.</w:t>
      </w:r>
    </w:p>
    <w:p w14:paraId="558833FD" w14:textId="77777777" w:rsidR="00F462A4" w:rsidRDefault="00F462A4" w:rsidP="0090653D">
      <w:pPr>
        <w:pStyle w:val="Headingb"/>
      </w:pPr>
      <w:r>
        <w:t>Justification économique du plafond proposé</w:t>
      </w:r>
    </w:p>
    <w:p w14:paraId="653F66FF" w14:textId="77777777" w:rsidR="00F462A4" w:rsidRDefault="00F462A4" w:rsidP="00425239">
      <w:pPr>
        <w:pStyle w:val="enumlev1"/>
        <w:jc w:val="both"/>
      </w:pPr>
      <w:r>
        <w:t>–</w:t>
      </w:r>
      <w:r>
        <w:tab/>
        <w:t>Dans les services techniques spécialisés, les coûts indirects représentent généralement une proportion mineure lorsque les processus sont clairement définis.</w:t>
      </w:r>
    </w:p>
    <w:p w14:paraId="4C5F28AA" w14:textId="77777777" w:rsidR="00F462A4" w:rsidRDefault="00F462A4" w:rsidP="00425239">
      <w:pPr>
        <w:pStyle w:val="enumlev1"/>
        <w:jc w:val="both"/>
      </w:pPr>
      <w:r>
        <w:t>–</w:t>
      </w:r>
      <w:r>
        <w:tab/>
        <w:t>Un plafond de 30% permet de couvrir adéquatement les fonctions d'appui nécessaires sans nuire au rapport coût/service.</w:t>
      </w:r>
    </w:p>
    <w:p w14:paraId="79A7EE67" w14:textId="77777777" w:rsidR="00F462A4" w:rsidRDefault="00F462A4" w:rsidP="00425239">
      <w:pPr>
        <w:pStyle w:val="enumlev1"/>
        <w:jc w:val="both"/>
      </w:pPr>
      <w:r>
        <w:t>–</w:t>
      </w:r>
      <w:r>
        <w:tab/>
        <w:t>Des pourcentages nettement plus élevés peuvent refléter:</w:t>
      </w:r>
    </w:p>
    <w:p w14:paraId="3A71CDCB" w14:textId="77777777" w:rsidR="00F462A4" w:rsidRDefault="00F462A4" w:rsidP="00425239">
      <w:pPr>
        <w:pStyle w:val="enumlev2"/>
        <w:jc w:val="both"/>
      </w:pPr>
      <w:r>
        <w:t>•</w:t>
      </w:r>
      <w:r>
        <w:tab/>
        <w:t>une imputation excessive des coûts structurels;</w:t>
      </w:r>
    </w:p>
    <w:p w14:paraId="3AF0BFA2" w14:textId="77777777" w:rsidR="00F462A4" w:rsidRDefault="00F462A4" w:rsidP="00425239">
      <w:pPr>
        <w:pStyle w:val="enumlev2"/>
        <w:jc w:val="both"/>
      </w:pPr>
      <w:r>
        <w:t>•</w:t>
      </w:r>
      <w:r>
        <w:tab/>
        <w:t>un manque de cohérence dans l'identification des coûts directs; ou</w:t>
      </w:r>
    </w:p>
    <w:p w14:paraId="40F4905B" w14:textId="77777777" w:rsidR="00F462A4" w:rsidRDefault="00F462A4" w:rsidP="00425239">
      <w:pPr>
        <w:pStyle w:val="enumlev2"/>
        <w:jc w:val="both"/>
      </w:pPr>
      <w:r>
        <w:t>•</w:t>
      </w:r>
      <w:r>
        <w:tab/>
        <w:t>des inefficacités dans les processus d'appui.</w:t>
      </w:r>
    </w:p>
    <w:p w14:paraId="0152B91F" w14:textId="77777777" w:rsidR="00F462A4" w:rsidRDefault="00F462A4" w:rsidP="00425239">
      <w:pPr>
        <w:pStyle w:val="enumlev1"/>
        <w:jc w:val="both"/>
      </w:pPr>
      <w:r>
        <w:t>–</w:t>
      </w:r>
      <w:r>
        <w:tab/>
        <w:t>L'adoption d'une valeur de référence quantitative permet de réduire la variabilité, d'améliorer la transparence et de faciliter l'évaluation périodique du système.</w:t>
      </w:r>
    </w:p>
    <w:p w14:paraId="5D94875E" w14:textId="77777777" w:rsidR="00F462A4" w:rsidRDefault="00F462A4" w:rsidP="00425239">
      <w:pPr>
        <w:jc w:val="both"/>
      </w:pPr>
      <w:r>
        <w:t>L'Administration de l'Argentine souligne qu'il convient de considérer cette valeur comme une orientation méthodologique plutôt que comme une limite stricte. En outre, cette valeur devrait être revue périodiquement en fonction de l'évolution des processus, du volume des fiches de notification reçues par l'UIT et des gains d'efficacité opérationnelle.</w:t>
      </w:r>
    </w:p>
    <w:p w14:paraId="261A0854" w14:textId="77777777" w:rsidR="00F462A4" w:rsidRDefault="00F462A4" w:rsidP="0090653D">
      <w:pPr>
        <w:pStyle w:val="Heading1"/>
      </w:pPr>
      <w:r>
        <w:t>6</w:t>
      </w:r>
      <w:r>
        <w:tab/>
        <w:t>Conclusions</w:t>
      </w:r>
    </w:p>
    <w:p w14:paraId="4FBE4206" w14:textId="77777777" w:rsidR="00F462A4" w:rsidRDefault="00F462A4" w:rsidP="007A6163">
      <w:pPr>
        <w:jc w:val="both"/>
      </w:pPr>
      <w:r>
        <w:t>L'Administration de l'Argentine estime que l'établissement d'un cadre clair pour les coûts indirects associés aux activités menées au titre de la Décision 482 du Conseil contribuerait à:</w:t>
      </w:r>
    </w:p>
    <w:p w14:paraId="50F7D345" w14:textId="77777777" w:rsidR="00F462A4" w:rsidRDefault="00F462A4" w:rsidP="007A6163">
      <w:pPr>
        <w:pStyle w:val="enumlev1"/>
        <w:jc w:val="both"/>
      </w:pPr>
      <w:r>
        <w:t>–</w:t>
      </w:r>
      <w:r>
        <w:tab/>
        <w:t>accroître la transparence et la confiance dans le système de recouvrement des coûts;</w:t>
      </w:r>
    </w:p>
    <w:p w14:paraId="4E70D7E8" w14:textId="77777777" w:rsidR="00F462A4" w:rsidRDefault="00F462A4" w:rsidP="007A6163">
      <w:pPr>
        <w:pStyle w:val="enumlev1"/>
        <w:jc w:val="both"/>
      </w:pPr>
      <w:r>
        <w:t>–</w:t>
      </w:r>
      <w:r>
        <w:tab/>
        <w:t>garantir une application équilibrée et proportionnée de la Décision 482; et</w:t>
      </w:r>
    </w:p>
    <w:p w14:paraId="545AA19B" w14:textId="5A17B0F4" w:rsidR="006A11AE" w:rsidRDefault="00F462A4" w:rsidP="007A6163">
      <w:pPr>
        <w:pStyle w:val="enumlev1"/>
        <w:jc w:val="both"/>
      </w:pPr>
      <w:r>
        <w:t>–</w:t>
      </w:r>
      <w:r>
        <w:tab/>
        <w:t>promouvoir un accès équitable à l'utilisation des ressources orbites/spectre.</w:t>
      </w:r>
    </w:p>
    <w:p w14:paraId="2FE4EB10" w14:textId="77777777" w:rsidR="00425239" w:rsidRPr="00F462A4" w:rsidRDefault="00425239" w:rsidP="00425239">
      <w:pPr>
        <w:pStyle w:val="enumlev1"/>
        <w:jc w:val="both"/>
      </w:pPr>
    </w:p>
    <w:p w14:paraId="33F6A9E0" w14:textId="77777777" w:rsidR="00897553" w:rsidRDefault="006A11AE" w:rsidP="002D2336">
      <w:pPr>
        <w:jc w:val="center"/>
      </w:pPr>
      <w:r>
        <w:t>______________</w:t>
      </w:r>
    </w:p>
    <w:sectPr w:rsidR="00897553" w:rsidSect="00D72F4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0D6F" w14:textId="77777777" w:rsidR="003C6722" w:rsidRDefault="003C6722">
      <w:r>
        <w:separator/>
      </w:r>
    </w:p>
  </w:endnote>
  <w:endnote w:type="continuationSeparator" w:id="0">
    <w:p w14:paraId="185AD92A" w14:textId="77777777" w:rsidR="003C6722" w:rsidRDefault="003C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1F8" w14:textId="212DE182" w:rsidR="00732045" w:rsidRDefault="00E45BF6">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2B539E">
      <w:t>30.04.26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768101" w14:textId="77777777" w:rsidTr="00E31DCE">
      <w:trPr>
        <w:jc w:val="center"/>
      </w:trPr>
      <w:tc>
        <w:tcPr>
          <w:tcW w:w="1803" w:type="dxa"/>
          <w:vAlign w:val="center"/>
        </w:tcPr>
        <w:p w14:paraId="0673FB76" w14:textId="2D4F7C38" w:rsidR="00A51849" w:rsidRDefault="0090653D" w:rsidP="00A51849">
          <w:pPr>
            <w:pStyle w:val="Header"/>
            <w:jc w:val="left"/>
            <w:rPr>
              <w:noProof/>
            </w:rPr>
          </w:pPr>
          <w:r>
            <w:rPr>
              <w:noProof/>
            </w:rPr>
            <w:t>260</w:t>
          </w:r>
          <w:r w:rsidR="00720ABB">
            <w:rPr>
              <w:noProof/>
            </w:rPr>
            <w:t>1127</w:t>
          </w:r>
        </w:p>
      </w:tc>
      <w:tc>
        <w:tcPr>
          <w:tcW w:w="8261" w:type="dxa"/>
        </w:tcPr>
        <w:p w14:paraId="2A8286B4" w14:textId="6ADCB7A1" w:rsidR="00A51849" w:rsidRPr="00E06FD5" w:rsidRDefault="00A51849" w:rsidP="009835CA">
          <w:pPr>
            <w:pStyle w:val="Header"/>
            <w:tabs>
              <w:tab w:val="left" w:pos="6452"/>
              <w:tab w:val="right" w:pos="8505"/>
              <w:tab w:val="right" w:pos="9639"/>
            </w:tabs>
            <w:jc w:val="left"/>
            <w:rPr>
              <w:rFonts w:ascii="Arial" w:hAnsi="Arial" w:cs="Arial"/>
              <w:b/>
              <w:bCs/>
              <w:szCs w:val="18"/>
            </w:rPr>
          </w:pPr>
          <w:r>
            <w:rPr>
              <w:bCs/>
            </w:rPr>
            <w:tab/>
          </w:r>
          <w:r w:rsidR="009835CA" w:rsidRPr="00623AE3">
            <w:rPr>
              <w:bCs/>
            </w:rPr>
            <w:t>C</w:t>
          </w:r>
          <w:r w:rsidR="009835CA">
            <w:rPr>
              <w:bCs/>
            </w:rPr>
            <w:t>26</w:t>
          </w:r>
          <w:r w:rsidR="009835CA" w:rsidRPr="00623AE3">
            <w:rPr>
              <w:bCs/>
            </w:rPr>
            <w:t>/</w:t>
          </w:r>
          <w:r w:rsidR="009835CA">
            <w:rPr>
              <w:bCs/>
            </w:rPr>
            <w:t>84(R</w:t>
          </w:r>
          <w:r w:rsidR="009F656A">
            <w:rPr>
              <w:bCs/>
            </w:rPr>
            <w:t>é</w:t>
          </w:r>
          <w:r w:rsidR="009835CA">
            <w:rPr>
              <w:bCs/>
            </w:rPr>
            <w:t>v.1)</w:t>
          </w:r>
          <w:r w:rsidR="009835CA" w:rsidRPr="00623AE3">
            <w:rPr>
              <w:bCs/>
            </w:rPr>
            <w:t>-</w:t>
          </w:r>
          <w:r w:rsidR="009835CA">
            <w:rPr>
              <w:bCs/>
            </w:rPr>
            <w:t>F</w:t>
          </w:r>
          <w:r>
            <w:rPr>
              <w:bCs/>
            </w:rPr>
            <w:tab/>
          </w:r>
          <w:r>
            <w:fldChar w:fldCharType="begin"/>
          </w:r>
          <w:r>
            <w:instrText>PAGE</w:instrText>
          </w:r>
          <w:r>
            <w:fldChar w:fldCharType="separate"/>
          </w:r>
          <w:r>
            <w:t>1</w:t>
          </w:r>
          <w:r>
            <w:rPr>
              <w:noProof/>
            </w:rPr>
            <w:fldChar w:fldCharType="end"/>
          </w:r>
        </w:p>
      </w:tc>
    </w:tr>
  </w:tbl>
  <w:p w14:paraId="193FE67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9414F63" w14:textId="77777777" w:rsidTr="00E31DCE">
      <w:trPr>
        <w:jc w:val="center"/>
      </w:trPr>
      <w:tc>
        <w:tcPr>
          <w:tcW w:w="1803" w:type="dxa"/>
          <w:vAlign w:val="center"/>
        </w:tcPr>
        <w:p w14:paraId="492C741C"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496F2DEA" w14:textId="3612432C" w:rsidR="00A51849" w:rsidRPr="00E06FD5" w:rsidRDefault="00A51849" w:rsidP="009835CA">
          <w:pPr>
            <w:pStyle w:val="Header"/>
            <w:tabs>
              <w:tab w:val="left" w:pos="6452"/>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6C41C4">
            <w:rPr>
              <w:bCs/>
            </w:rPr>
            <w:t>84</w:t>
          </w:r>
          <w:r w:rsidR="00E51403">
            <w:rPr>
              <w:bCs/>
            </w:rPr>
            <w:t>(R</w:t>
          </w:r>
          <w:r w:rsidR="009F656A">
            <w:rPr>
              <w:bCs/>
            </w:rPr>
            <w:t>é</w:t>
          </w:r>
          <w:r w:rsidR="00E51403">
            <w:rPr>
              <w:bCs/>
            </w:rPr>
            <w:t>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98F599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B931" w14:textId="77777777" w:rsidR="003C6722" w:rsidRDefault="003C6722">
      <w:r>
        <w:t>____________________</w:t>
      </w:r>
    </w:p>
  </w:footnote>
  <w:footnote w:type="continuationSeparator" w:id="0">
    <w:p w14:paraId="398028A5" w14:textId="77777777" w:rsidR="003C6722" w:rsidRDefault="003C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2F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87657F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C90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373766389">
    <w:abstractNumId w:val="9"/>
  </w:num>
  <w:num w:numId="2" w16cid:durableId="795760605">
    <w:abstractNumId w:val="7"/>
  </w:num>
  <w:num w:numId="3" w16cid:durableId="1008560280">
    <w:abstractNumId w:val="6"/>
  </w:num>
  <w:num w:numId="4" w16cid:durableId="488057226">
    <w:abstractNumId w:val="5"/>
  </w:num>
  <w:num w:numId="5" w16cid:durableId="1440225349">
    <w:abstractNumId w:val="4"/>
  </w:num>
  <w:num w:numId="6" w16cid:durableId="813454185">
    <w:abstractNumId w:val="8"/>
  </w:num>
  <w:num w:numId="7" w16cid:durableId="688408102">
    <w:abstractNumId w:val="3"/>
  </w:num>
  <w:num w:numId="8" w16cid:durableId="1353385060">
    <w:abstractNumId w:val="2"/>
  </w:num>
  <w:num w:numId="9" w16cid:durableId="1301426833">
    <w:abstractNumId w:val="1"/>
  </w:num>
  <w:num w:numId="10" w16cid:durableId="226384614">
    <w:abstractNumId w:val="0"/>
  </w:num>
  <w:num w:numId="11" w16cid:durableId="596064233">
    <w:abstractNumId w:val="8"/>
  </w:num>
  <w:num w:numId="12" w16cid:durableId="1922328346">
    <w:abstractNumId w:val="3"/>
  </w:num>
  <w:num w:numId="13" w16cid:durableId="1489248882">
    <w:abstractNumId w:val="2"/>
  </w:num>
  <w:num w:numId="14" w16cid:durableId="786776625">
    <w:abstractNumId w:val="1"/>
  </w:num>
  <w:num w:numId="15" w16cid:durableId="55111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F6"/>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D7726"/>
    <w:rsid w:val="001E4D21"/>
    <w:rsid w:val="00207CD1"/>
    <w:rsid w:val="00226657"/>
    <w:rsid w:val="002477A2"/>
    <w:rsid w:val="00263A51"/>
    <w:rsid w:val="00267E02"/>
    <w:rsid w:val="00271321"/>
    <w:rsid w:val="00277DEA"/>
    <w:rsid w:val="002A5D44"/>
    <w:rsid w:val="002B539E"/>
    <w:rsid w:val="002C3F32"/>
    <w:rsid w:val="002C4E3D"/>
    <w:rsid w:val="002D2336"/>
    <w:rsid w:val="002E0BC4"/>
    <w:rsid w:val="002F1B76"/>
    <w:rsid w:val="0033568E"/>
    <w:rsid w:val="00355FF5"/>
    <w:rsid w:val="00361350"/>
    <w:rsid w:val="003B6CB7"/>
    <w:rsid w:val="003C3FAE"/>
    <w:rsid w:val="003C6722"/>
    <w:rsid w:val="004038CB"/>
    <w:rsid w:val="0040546F"/>
    <w:rsid w:val="004177BD"/>
    <w:rsid w:val="0042404A"/>
    <w:rsid w:val="00425239"/>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A6C51"/>
    <w:rsid w:val="005B1938"/>
    <w:rsid w:val="005C3890"/>
    <w:rsid w:val="005F7BFE"/>
    <w:rsid w:val="00600017"/>
    <w:rsid w:val="00602682"/>
    <w:rsid w:val="006235CA"/>
    <w:rsid w:val="0062366E"/>
    <w:rsid w:val="006643AB"/>
    <w:rsid w:val="006A11AE"/>
    <w:rsid w:val="006B224B"/>
    <w:rsid w:val="006C41C4"/>
    <w:rsid w:val="006F0A53"/>
    <w:rsid w:val="0071402E"/>
    <w:rsid w:val="00720ABB"/>
    <w:rsid w:val="007210CD"/>
    <w:rsid w:val="00732045"/>
    <w:rsid w:val="0073275D"/>
    <w:rsid w:val="007369DB"/>
    <w:rsid w:val="0077110E"/>
    <w:rsid w:val="007956C2"/>
    <w:rsid w:val="00796BDB"/>
    <w:rsid w:val="007A187E"/>
    <w:rsid w:val="007A6163"/>
    <w:rsid w:val="007C72C2"/>
    <w:rsid w:val="007D4436"/>
    <w:rsid w:val="007F257A"/>
    <w:rsid w:val="007F3665"/>
    <w:rsid w:val="00800037"/>
    <w:rsid w:val="0082299A"/>
    <w:rsid w:val="0083391C"/>
    <w:rsid w:val="0084546D"/>
    <w:rsid w:val="00861D73"/>
    <w:rsid w:val="00882919"/>
    <w:rsid w:val="00897553"/>
    <w:rsid w:val="008A4E87"/>
    <w:rsid w:val="008D76E6"/>
    <w:rsid w:val="0090653D"/>
    <w:rsid w:val="0092392D"/>
    <w:rsid w:val="0093234A"/>
    <w:rsid w:val="00956A78"/>
    <w:rsid w:val="0097363B"/>
    <w:rsid w:val="00973F53"/>
    <w:rsid w:val="0098348E"/>
    <w:rsid w:val="009835CA"/>
    <w:rsid w:val="009A6BAA"/>
    <w:rsid w:val="009A76A8"/>
    <w:rsid w:val="009C307F"/>
    <w:rsid w:val="009C353C"/>
    <w:rsid w:val="009D5955"/>
    <w:rsid w:val="009F0FB8"/>
    <w:rsid w:val="009F656A"/>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2FCB"/>
    <w:rsid w:val="00CE5172"/>
    <w:rsid w:val="00CF0534"/>
    <w:rsid w:val="00CF183B"/>
    <w:rsid w:val="00CF49F4"/>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5BF6"/>
    <w:rsid w:val="00E47427"/>
    <w:rsid w:val="00E51403"/>
    <w:rsid w:val="00E93668"/>
    <w:rsid w:val="00E95647"/>
    <w:rsid w:val="00EB6350"/>
    <w:rsid w:val="00ED799B"/>
    <w:rsid w:val="00F015A9"/>
    <w:rsid w:val="00F15B57"/>
    <w:rsid w:val="00F35EF4"/>
    <w:rsid w:val="00F37FE5"/>
    <w:rsid w:val="00F427DB"/>
    <w:rsid w:val="00F462A4"/>
    <w:rsid w:val="00FA5EB1"/>
    <w:rsid w:val="00FA7439"/>
    <w:rsid w:val="00FC4EC0"/>
    <w:rsid w:val="00FC6D7D"/>
    <w:rsid w:val="00FD6B54"/>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BB5D"/>
  <w15:docId w15:val="{85B8544F-899C-4486-8664-9256A6BC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pub/R-REG-RR-2024/fr"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0E948-F3E5-424E-9FD3-A2CE6659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5</TotalTime>
  <Pages>4</Pages>
  <Words>1133</Words>
  <Characters>7038</Characters>
  <Application>Microsoft Office Word</Application>
  <DocSecurity>0</DocSecurity>
  <Lines>149</Lines>
  <Paragraphs>90</Paragraphs>
  <ScaleCrop>false</ScaleCrop>
  <HeadingPairs>
    <vt:vector size="2" baseType="variant">
      <vt:variant>
        <vt:lpstr>Title</vt:lpstr>
      </vt:variant>
      <vt:variant>
        <vt:i4>1</vt:i4>
      </vt:variant>
    </vt:vector>
  </HeadingPairs>
  <TitlesOfParts>
    <vt:vector size="1" baseType="lpstr">
      <vt:lpstr>Application de la Décision 482 - Étude de cas sur les coûts indirects associés aux fiches de notification des réseaux à satellite et des systèmes à satellites et cadre méthodologique proposé</vt:lpstr>
    </vt:vector>
  </TitlesOfParts>
  <Manager>Secrétariat général - Pool</Manager>
  <Company>Union internationale des télécommunications (UIT)</Company>
  <LinksUpToDate>false</LinksUpToDate>
  <CharactersWithSpaces>8081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de la Décision 482 - Étude de cas sur les coûts indirects associés aux fiches de notification des réseaux à satellite et des systèmes à satellites et cadre méthodologique proposé</dc:title>
  <dc:subject>Conseil 2026 de l'UIT</dc:subject>
  <cp:keywords>C26; C2026; Council 2026; PP26</cp:keywords>
  <dc:description/>
  <cp:lastPrinted>2000-07-18T08:55:00Z</cp:lastPrinted>
  <dcterms:created xsi:type="dcterms:W3CDTF">2026-04-30T12:56:00Z</dcterms:created>
  <dcterms:modified xsi:type="dcterms:W3CDTF">2026-04-30T13:00:00Z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