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9065704" w14:textId="77777777" w:rsidTr="00555C29">
        <w:trPr>
          <w:cantSplit/>
          <w:trHeight w:val="23"/>
        </w:trPr>
        <w:tc>
          <w:tcPr>
            <w:tcW w:w="3969" w:type="dxa"/>
            <w:vMerge w:val="restart"/>
            <w:tcMar>
              <w:left w:w="0" w:type="dxa"/>
            </w:tcMar>
          </w:tcPr>
          <w:p w14:paraId="21D0DCC9" w14:textId="7A64166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336337">
              <w:rPr>
                <w:b/>
                <w:bCs/>
                <w:color w:val="000000"/>
                <w:lang w:val="zh-CN"/>
              </w:rPr>
              <w:t>ADM 1</w:t>
            </w:r>
          </w:p>
        </w:tc>
        <w:tc>
          <w:tcPr>
            <w:tcW w:w="5245" w:type="dxa"/>
          </w:tcPr>
          <w:p w14:paraId="64B2C397" w14:textId="57215014"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023684">
              <w:rPr>
                <w:rFonts w:hint="eastAsia"/>
                <w:b/>
                <w:lang w:val="fr-CH" w:eastAsia="zh-CN"/>
              </w:rPr>
              <w:t>84</w:t>
            </w:r>
            <w:r w:rsidR="002B6ABF">
              <w:rPr>
                <w:b/>
                <w:lang w:val="fr-CH" w:eastAsia="zh-CN"/>
              </w:rPr>
              <w:t>(Rev.1)</w:t>
            </w:r>
            <w:r w:rsidRPr="00E24D59">
              <w:rPr>
                <w:b/>
                <w:lang w:val="fr-CH"/>
              </w:rPr>
              <w:t>-C</w:t>
            </w:r>
          </w:p>
        </w:tc>
      </w:tr>
      <w:tr w:rsidR="00E24D59" w:rsidRPr="00813E5E" w14:paraId="7B002278" w14:textId="77777777" w:rsidTr="00555C29">
        <w:trPr>
          <w:cantSplit/>
        </w:trPr>
        <w:tc>
          <w:tcPr>
            <w:tcW w:w="3969" w:type="dxa"/>
            <w:vMerge/>
          </w:tcPr>
          <w:p w14:paraId="43450227"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97079DE" w14:textId="4D0C1ACF" w:rsidR="00E24D59" w:rsidRPr="00E85629" w:rsidRDefault="002D2A48"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sidR="002B6ABF">
              <w:rPr>
                <w:b/>
                <w:lang w:eastAsia="zh-CN"/>
              </w:rPr>
              <w:t>30</w:t>
            </w:r>
            <w:r>
              <w:rPr>
                <w:rFonts w:hint="eastAsia"/>
                <w:b/>
                <w:lang w:eastAsia="zh-CN"/>
              </w:rPr>
              <w:t>日</w:t>
            </w:r>
          </w:p>
        </w:tc>
      </w:tr>
      <w:tr w:rsidR="00E24D59" w:rsidRPr="00813E5E" w14:paraId="4C12AD56" w14:textId="77777777" w:rsidTr="00555C29">
        <w:trPr>
          <w:cantSplit/>
          <w:trHeight w:val="23"/>
        </w:trPr>
        <w:tc>
          <w:tcPr>
            <w:tcW w:w="3969" w:type="dxa"/>
            <w:vMerge/>
          </w:tcPr>
          <w:p w14:paraId="4F375A37"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98CDD4E" w14:textId="3546EDC9"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704FB4">
              <w:rPr>
                <w:rFonts w:cstheme="minorHAnsi" w:hint="eastAsia"/>
                <w:b/>
                <w:bCs/>
                <w:lang w:val="ru-RU" w:eastAsia="zh-CN"/>
              </w:rPr>
              <w:t>西班牙</w:t>
            </w:r>
            <w:r w:rsidR="00023684">
              <w:rPr>
                <w:rFonts w:cstheme="minorHAnsi" w:hint="eastAsia"/>
                <w:b/>
                <w:bCs/>
                <w:lang w:val="ru-RU" w:eastAsia="zh-CN"/>
              </w:rPr>
              <w:t>文</w:t>
            </w:r>
          </w:p>
        </w:tc>
      </w:tr>
      <w:tr w:rsidR="00E24D59" w:rsidRPr="00813E5E" w14:paraId="30134D15" w14:textId="77777777" w:rsidTr="00555C29">
        <w:trPr>
          <w:cantSplit/>
          <w:trHeight w:val="23"/>
        </w:trPr>
        <w:tc>
          <w:tcPr>
            <w:tcW w:w="3969" w:type="dxa"/>
          </w:tcPr>
          <w:p w14:paraId="03909855" w14:textId="77777777" w:rsidR="00E24D59" w:rsidRPr="00813E5E" w:rsidRDefault="00E24D59" w:rsidP="00555C29">
            <w:pPr>
              <w:tabs>
                <w:tab w:val="left" w:pos="851"/>
              </w:tabs>
              <w:spacing w:line="240" w:lineRule="atLeast"/>
              <w:rPr>
                <w:b/>
              </w:rPr>
            </w:pPr>
          </w:p>
        </w:tc>
        <w:tc>
          <w:tcPr>
            <w:tcW w:w="5245" w:type="dxa"/>
          </w:tcPr>
          <w:p w14:paraId="5D30B16B" w14:textId="77777777" w:rsidR="00E24D59" w:rsidRDefault="00E24D59" w:rsidP="00555C29">
            <w:pPr>
              <w:tabs>
                <w:tab w:val="left" w:pos="851"/>
              </w:tabs>
              <w:spacing w:before="0" w:line="240" w:lineRule="atLeast"/>
              <w:jc w:val="right"/>
              <w:rPr>
                <w:b/>
              </w:rPr>
            </w:pPr>
          </w:p>
        </w:tc>
      </w:tr>
      <w:tr w:rsidR="00E24D59" w:rsidRPr="00813E5E" w14:paraId="41BA85EA" w14:textId="77777777" w:rsidTr="00555C29">
        <w:trPr>
          <w:cantSplit/>
        </w:trPr>
        <w:tc>
          <w:tcPr>
            <w:tcW w:w="9214" w:type="dxa"/>
            <w:gridSpan w:val="2"/>
            <w:tcMar>
              <w:left w:w="0" w:type="dxa"/>
            </w:tcMar>
          </w:tcPr>
          <w:p w14:paraId="6F80F817" w14:textId="59BBE5A4" w:rsidR="00E24D59" w:rsidRPr="00C24DAC" w:rsidRDefault="00023684" w:rsidP="00C24DAC">
            <w:pPr>
              <w:pStyle w:val="Source"/>
              <w:framePr w:hSpace="0" w:wrap="auto" w:vAnchor="margin" w:hAnchor="text" w:xAlign="left" w:yAlign="inline"/>
            </w:pPr>
            <w:bookmarkStart w:id="5" w:name="dsource" w:colFirst="0" w:colLast="0"/>
            <w:bookmarkEnd w:id="4"/>
            <w:r>
              <w:rPr>
                <w:bCs/>
                <w:color w:val="000000"/>
                <w:lang w:val="zh-CN"/>
              </w:rPr>
              <w:t>阿根廷共和国</w:t>
            </w:r>
            <w:r w:rsidR="00242A97" w:rsidRPr="00242A97">
              <w:rPr>
                <w:rFonts w:hint="eastAsia"/>
              </w:rPr>
              <w:t>的文稿</w:t>
            </w:r>
          </w:p>
        </w:tc>
      </w:tr>
      <w:tr w:rsidR="00E24D59" w:rsidRPr="00813E5E" w14:paraId="203D24CE" w14:textId="77777777" w:rsidTr="00023684">
        <w:trPr>
          <w:cantSplit/>
        </w:trPr>
        <w:tc>
          <w:tcPr>
            <w:tcW w:w="9214" w:type="dxa"/>
            <w:gridSpan w:val="2"/>
            <w:tcMar>
              <w:left w:w="0" w:type="dxa"/>
            </w:tcMar>
          </w:tcPr>
          <w:p w14:paraId="2BB029B7" w14:textId="17B37FC2" w:rsidR="00E24D59" w:rsidRPr="00C24DAC" w:rsidRDefault="00023684" w:rsidP="00C24DAC">
            <w:pPr>
              <w:pStyle w:val="Subtitle"/>
              <w:framePr w:hSpace="0" w:wrap="auto" w:vAnchor="margin" w:hAnchor="text" w:xAlign="left" w:yAlign="inline"/>
            </w:pPr>
            <w:bookmarkStart w:id="6" w:name="dtitle1" w:colFirst="0" w:colLast="0"/>
            <w:bookmarkEnd w:id="5"/>
            <w:r>
              <w:rPr>
                <w:color w:val="000000"/>
                <w:lang w:val="zh-CN"/>
              </w:rPr>
              <w:t>第</w:t>
            </w:r>
            <w:r>
              <w:rPr>
                <w:color w:val="000000"/>
                <w:lang w:val="zh-CN"/>
              </w:rPr>
              <w:t>482</w:t>
            </w:r>
            <w:r>
              <w:rPr>
                <w:color w:val="000000"/>
                <w:lang w:val="zh-CN"/>
              </w:rPr>
              <w:t>号决定的应用</w:t>
            </w:r>
            <w:r>
              <w:rPr>
                <w:color w:val="000000"/>
                <w:lang w:val="zh-CN"/>
              </w:rPr>
              <w:t xml:space="preserve"> – </w:t>
            </w:r>
            <w:r>
              <w:rPr>
                <w:color w:val="000000"/>
                <w:lang w:val="zh-CN"/>
              </w:rPr>
              <w:t>与卫星网络和系统申报</w:t>
            </w:r>
            <w:r>
              <w:rPr>
                <w:rFonts w:hint="eastAsia"/>
                <w:color w:val="000000"/>
                <w:lang w:val="zh-CN"/>
              </w:rPr>
              <w:t>资料</w:t>
            </w:r>
            <w:r>
              <w:rPr>
                <w:color w:val="000000"/>
                <w:lang w:val="zh-CN"/>
              </w:rPr>
              <w:t>相关的</w:t>
            </w:r>
            <w:r w:rsidR="00DC03CE">
              <w:rPr>
                <w:color w:val="000000"/>
                <w:lang w:val="en-US"/>
              </w:rPr>
              <w:br/>
            </w:r>
            <w:r>
              <w:rPr>
                <w:color w:val="000000"/>
                <w:lang w:val="zh-CN"/>
              </w:rPr>
              <w:t>间接</w:t>
            </w:r>
            <w:r w:rsidR="00065C46">
              <w:rPr>
                <w:rFonts w:hint="eastAsia"/>
                <w:color w:val="000000"/>
                <w:lang w:val="zh-CN"/>
              </w:rPr>
              <w:t>成本</w:t>
            </w:r>
            <w:r>
              <w:rPr>
                <w:color w:val="000000"/>
                <w:lang w:val="zh-CN"/>
              </w:rPr>
              <w:t>的案例研究和拟议方法框架</w:t>
            </w:r>
          </w:p>
        </w:tc>
      </w:tr>
      <w:tr w:rsidR="00E24D59" w:rsidRPr="00813E5E" w14:paraId="57F64260" w14:textId="77777777" w:rsidTr="00023684">
        <w:trPr>
          <w:cantSplit/>
        </w:trPr>
        <w:tc>
          <w:tcPr>
            <w:tcW w:w="9214" w:type="dxa"/>
            <w:gridSpan w:val="2"/>
            <w:tcMar>
              <w:left w:w="0" w:type="dxa"/>
            </w:tcMar>
          </w:tcPr>
          <w:p w14:paraId="64B9A5B6" w14:textId="1946CA02" w:rsidR="003F086E" w:rsidRPr="00477D57" w:rsidRDefault="003F086E" w:rsidP="00555C29">
            <w:pPr>
              <w:rPr>
                <w:b/>
                <w:bCs/>
                <w:lang w:eastAsia="zh-CN"/>
              </w:rPr>
            </w:pPr>
            <w:r w:rsidRPr="00477D57">
              <w:rPr>
                <w:b/>
                <w:bCs/>
                <w:lang w:eastAsia="zh-CN"/>
              </w:rPr>
              <w:t>目的</w:t>
            </w:r>
          </w:p>
          <w:p w14:paraId="41171DC5" w14:textId="16604E73" w:rsidR="003F086E" w:rsidRPr="00242A97" w:rsidRDefault="00023684" w:rsidP="00336337">
            <w:pPr>
              <w:ind w:firstLineChars="200" w:firstLine="480"/>
              <w:rPr>
                <w:rFonts w:eastAsiaTheme="majorEastAsia" w:cs="Calibri"/>
                <w:lang w:eastAsia="zh-CN"/>
              </w:rPr>
            </w:pPr>
            <w:r>
              <w:rPr>
                <w:color w:val="000000"/>
                <w:lang w:val="zh-CN" w:eastAsia="zh-CN"/>
              </w:rPr>
              <w:t>在本文稿中，阿根廷共和国</w:t>
            </w:r>
            <w:r>
              <w:rPr>
                <w:rFonts w:hint="eastAsia"/>
                <w:color w:val="000000"/>
                <w:lang w:val="zh-CN" w:eastAsia="zh-CN"/>
              </w:rPr>
              <w:t>希望</w:t>
            </w:r>
            <w:r>
              <w:rPr>
                <w:color w:val="000000"/>
                <w:lang w:val="zh-CN" w:eastAsia="zh-CN"/>
              </w:rPr>
              <w:t>提供经济和方法方面的输入意见，这将有助于提高系统的可预测性，并确保回收的成本与实际提供的服务</w:t>
            </w:r>
            <w:r>
              <w:rPr>
                <w:rFonts w:hint="eastAsia"/>
                <w:color w:val="000000"/>
                <w:lang w:val="zh-CN" w:eastAsia="zh-CN"/>
              </w:rPr>
              <w:t>相称</w:t>
            </w:r>
            <w:r w:rsidR="00A83AFD">
              <w:rPr>
                <w:rFonts w:eastAsiaTheme="majorEastAsia" w:cs="Calibri" w:hint="eastAsia"/>
                <w:lang w:eastAsia="zh-CN"/>
              </w:rPr>
              <w:t>。</w:t>
            </w:r>
          </w:p>
          <w:p w14:paraId="2EDDE290" w14:textId="77777777" w:rsidR="003F086E" w:rsidRPr="00477D57" w:rsidRDefault="003F086E" w:rsidP="00555C29">
            <w:pPr>
              <w:rPr>
                <w:b/>
                <w:bCs/>
                <w:lang w:eastAsia="zh-CN"/>
              </w:rPr>
            </w:pPr>
            <w:r w:rsidRPr="00477D57">
              <w:rPr>
                <w:b/>
                <w:bCs/>
                <w:lang w:eastAsia="zh-CN"/>
              </w:rPr>
              <w:t>理事会需采取的行动</w:t>
            </w:r>
          </w:p>
          <w:p w14:paraId="1940ABFF" w14:textId="77777777" w:rsidR="00023684" w:rsidRPr="00E46BA1" w:rsidRDefault="00023684" w:rsidP="00DC03CE">
            <w:pPr>
              <w:ind w:firstLineChars="200" w:firstLine="480"/>
              <w:rPr>
                <w:lang w:eastAsia="zh-CN"/>
              </w:rPr>
            </w:pPr>
            <w:r>
              <w:rPr>
                <w:color w:val="000000"/>
                <w:lang w:val="zh-CN" w:eastAsia="zh-CN"/>
              </w:rPr>
              <w:t>请国际电联理事会：</w:t>
            </w:r>
          </w:p>
          <w:p w14:paraId="6EE539D8" w14:textId="6AE90133" w:rsidR="00023684" w:rsidRPr="00E46BA1" w:rsidRDefault="00023684" w:rsidP="00023684">
            <w:pPr>
              <w:pStyle w:val="enumlev1"/>
              <w:rPr>
                <w:lang w:eastAsia="zh-CN"/>
              </w:rPr>
            </w:pPr>
            <w:r w:rsidRPr="00E46BA1">
              <w:rPr>
                <w:color w:val="000000"/>
                <w:lang w:eastAsia="zh-CN"/>
              </w:rPr>
              <w:t>–</w:t>
            </w:r>
            <w:r w:rsidRPr="00E46BA1">
              <w:rPr>
                <w:color w:val="000000"/>
                <w:lang w:eastAsia="zh-CN"/>
              </w:rPr>
              <w:tab/>
            </w:r>
            <w:r>
              <w:rPr>
                <w:color w:val="000000"/>
                <w:lang w:val="zh-CN" w:eastAsia="zh-CN"/>
              </w:rPr>
              <w:t>将阿根廷共和国介绍的案例研究</w:t>
            </w:r>
            <w:r w:rsidRPr="00023684">
              <w:rPr>
                <w:b/>
                <w:bCs/>
                <w:color w:val="000000"/>
                <w:lang w:val="zh-CN" w:eastAsia="zh-CN"/>
              </w:rPr>
              <w:t>记录在案</w:t>
            </w:r>
            <w:r>
              <w:rPr>
                <w:rFonts w:hint="eastAsia"/>
                <w:color w:val="000000"/>
                <w:lang w:val="zh-CN" w:eastAsia="zh-CN"/>
              </w:rPr>
              <w:t>；</w:t>
            </w:r>
            <w:r>
              <w:rPr>
                <w:color w:val="000000"/>
                <w:lang w:val="zh-CN" w:eastAsia="zh-CN"/>
              </w:rPr>
              <w:t>和</w:t>
            </w:r>
          </w:p>
          <w:p w14:paraId="07001A96" w14:textId="2B6CAB49" w:rsidR="008F64AD" w:rsidRPr="00242A97" w:rsidRDefault="00023684" w:rsidP="00DC03CE">
            <w:pPr>
              <w:pStyle w:val="enumlev1"/>
              <w:rPr>
                <w:rFonts w:eastAsiaTheme="majorEastAsia" w:cs="Calibri"/>
                <w:lang w:eastAsia="zh-CN"/>
              </w:rPr>
            </w:pPr>
            <w:r w:rsidRPr="00E46BA1">
              <w:rPr>
                <w:color w:val="000000"/>
                <w:lang w:eastAsia="zh-CN"/>
              </w:rPr>
              <w:t>–</w:t>
            </w:r>
            <w:r w:rsidRPr="00E46BA1">
              <w:rPr>
                <w:color w:val="000000"/>
                <w:lang w:eastAsia="zh-CN"/>
              </w:rPr>
              <w:tab/>
            </w:r>
            <w:r w:rsidRPr="00DC03CE">
              <w:rPr>
                <w:rFonts w:hint="eastAsia"/>
                <w:b/>
                <w:bCs/>
                <w:color w:val="000000"/>
                <w:lang w:eastAsia="zh-CN"/>
              </w:rPr>
              <w:t>审议</w:t>
            </w:r>
            <w:r w:rsidRPr="00DC03CE">
              <w:rPr>
                <w:color w:val="000000"/>
                <w:lang w:eastAsia="zh-CN"/>
              </w:rPr>
              <w:t>将拟议的方法框架作为未来讨论和可能调整应用国际电联理事会第</w:t>
            </w:r>
            <w:r w:rsidRPr="00DC03CE">
              <w:rPr>
                <w:color w:val="000000"/>
                <w:lang w:eastAsia="zh-CN"/>
              </w:rPr>
              <w:t>482</w:t>
            </w:r>
            <w:r w:rsidRPr="00DC03CE">
              <w:rPr>
                <w:color w:val="000000"/>
                <w:lang w:eastAsia="zh-CN"/>
              </w:rPr>
              <w:t>号决定的基础</w:t>
            </w:r>
            <w:r w:rsidR="00745200" w:rsidRPr="00DC03CE">
              <w:rPr>
                <w:rFonts w:hint="eastAsia"/>
                <w:color w:val="000000"/>
                <w:lang w:eastAsia="zh-CN"/>
              </w:rPr>
              <w:t>。</w:t>
            </w:r>
          </w:p>
          <w:p w14:paraId="2A08AE5B" w14:textId="77777777" w:rsidR="00E24D59" w:rsidRPr="00DA2D30" w:rsidRDefault="00DA2D30" w:rsidP="00DA2D30">
            <w:pPr>
              <w:rPr>
                <w:lang w:eastAsia="zh-CN"/>
              </w:rPr>
            </w:pPr>
            <w:r>
              <w:rPr>
                <w:lang w:eastAsia="zh-CN"/>
              </w:rPr>
              <w:t>_______________</w:t>
            </w:r>
          </w:p>
          <w:p w14:paraId="2A15A5F0" w14:textId="77777777" w:rsidR="00E24D59" w:rsidRPr="00477D57" w:rsidRDefault="00E24D59" w:rsidP="00555C29">
            <w:pPr>
              <w:rPr>
                <w:b/>
                <w:bCs/>
                <w:lang w:eastAsia="zh-CN"/>
              </w:rPr>
            </w:pPr>
            <w:r w:rsidRPr="00477D57">
              <w:rPr>
                <w:rFonts w:hint="eastAsia"/>
                <w:b/>
                <w:bCs/>
                <w:lang w:eastAsia="zh-CN"/>
              </w:rPr>
              <w:t>参考文件</w:t>
            </w:r>
          </w:p>
          <w:p w14:paraId="1B8BA99A" w14:textId="680EFBB2" w:rsidR="00E24D59" w:rsidRPr="007B47A6" w:rsidRDefault="00023684" w:rsidP="00CB1F7F">
            <w:pPr>
              <w:spacing w:after="120"/>
              <w:ind w:firstLineChars="200" w:firstLine="440"/>
              <w:rPr>
                <w:rFonts w:asciiTheme="minorHAnsi" w:eastAsiaTheme="majorEastAsia" w:hAnsiTheme="minorHAnsi" w:cstheme="minorHAnsi"/>
                <w:sz w:val="22"/>
                <w:szCs w:val="22"/>
                <w:lang w:eastAsia="zh-CN"/>
              </w:rPr>
            </w:pPr>
            <w:r w:rsidRPr="007B47A6">
              <w:rPr>
                <w:rFonts w:asciiTheme="minorHAnsi" w:eastAsia="STKaiti" w:hAnsiTheme="minorHAnsi" w:cstheme="minorHAnsi"/>
                <w:sz w:val="22"/>
                <w:szCs w:val="22"/>
                <w:lang w:eastAsia="zh-CN"/>
              </w:rPr>
              <w:t>理事会</w:t>
            </w:r>
            <w:hyperlink r:id="rId8" w:history="1">
              <w:r w:rsidRPr="001F681B">
                <w:rPr>
                  <w:rStyle w:val="Hyperlink"/>
                  <w:rFonts w:asciiTheme="minorHAnsi" w:eastAsia="STKaiti" w:hAnsiTheme="minorHAnsi" w:cstheme="minorHAnsi"/>
                  <w:noProof w:val="0"/>
                  <w:sz w:val="22"/>
                  <w:szCs w:val="22"/>
                  <w:lang w:eastAsia="zh-CN"/>
                </w:rPr>
                <w:t>第</w:t>
              </w:r>
              <w:r w:rsidRPr="001F681B">
                <w:rPr>
                  <w:rStyle w:val="Hyperlink"/>
                  <w:rFonts w:asciiTheme="minorHAnsi" w:eastAsia="STKaiti" w:hAnsiTheme="minorHAnsi" w:cstheme="minorHAnsi"/>
                  <w:noProof w:val="0"/>
                  <w:sz w:val="22"/>
                  <w:szCs w:val="22"/>
                  <w:lang w:eastAsia="zh-CN"/>
                </w:rPr>
                <w:t>482</w:t>
              </w:r>
              <w:r w:rsidRPr="001F681B">
                <w:rPr>
                  <w:rStyle w:val="Hyperlink"/>
                  <w:rFonts w:asciiTheme="minorHAnsi" w:eastAsia="STKaiti" w:hAnsiTheme="minorHAnsi" w:cstheme="minorHAnsi"/>
                  <w:noProof w:val="0"/>
                  <w:sz w:val="22"/>
                  <w:szCs w:val="22"/>
                  <w:lang w:eastAsia="zh-CN"/>
                </w:rPr>
                <w:t>号决定（</w:t>
              </w:r>
              <w:r w:rsidRPr="001F681B">
                <w:rPr>
                  <w:rStyle w:val="Hyperlink"/>
                  <w:rFonts w:asciiTheme="minorHAnsi" w:eastAsia="STKaiti" w:hAnsiTheme="minorHAnsi" w:cstheme="minorHAnsi"/>
                  <w:noProof w:val="0"/>
                  <w:sz w:val="22"/>
                  <w:szCs w:val="22"/>
                  <w:lang w:eastAsia="zh-CN"/>
                </w:rPr>
                <w:t>C01</w:t>
              </w:r>
              <w:r w:rsidRPr="001F681B">
                <w:rPr>
                  <w:rStyle w:val="Hyperlink"/>
                  <w:rFonts w:asciiTheme="minorHAnsi" w:eastAsia="STKaiti" w:hAnsiTheme="minorHAnsi" w:cstheme="minorHAnsi"/>
                  <w:noProof w:val="0"/>
                  <w:sz w:val="22"/>
                  <w:szCs w:val="22"/>
                  <w:lang w:eastAsia="zh-CN"/>
                </w:rPr>
                <w:t>，最后修正</w:t>
              </w:r>
              <w:r w:rsidRPr="001F681B">
                <w:rPr>
                  <w:rStyle w:val="Hyperlink"/>
                  <w:rFonts w:asciiTheme="minorHAnsi" w:eastAsia="STKaiti" w:hAnsiTheme="minorHAnsi" w:cstheme="minorHAnsi"/>
                  <w:noProof w:val="0"/>
                  <w:sz w:val="22"/>
                  <w:szCs w:val="22"/>
                  <w:lang w:eastAsia="zh-CN"/>
                </w:rPr>
                <w:t>C25</w:t>
              </w:r>
              <w:r w:rsidRPr="001F681B">
                <w:rPr>
                  <w:rStyle w:val="Hyperlink"/>
                  <w:rFonts w:asciiTheme="minorHAnsi" w:eastAsia="STKaiti" w:hAnsiTheme="minorHAnsi" w:cstheme="minorHAnsi"/>
                  <w:noProof w:val="0"/>
                  <w:sz w:val="22"/>
                  <w:szCs w:val="22"/>
                  <w:lang w:eastAsia="zh-CN"/>
                </w:rPr>
                <w:t>）</w:t>
              </w:r>
            </w:hyperlink>
            <w:r w:rsidRPr="007B47A6">
              <w:rPr>
                <w:rFonts w:asciiTheme="minorHAnsi" w:eastAsia="STKaiti" w:hAnsiTheme="minorHAnsi" w:cstheme="minorHAnsi"/>
                <w:sz w:val="22"/>
                <w:szCs w:val="22"/>
                <w:lang w:eastAsia="zh-CN"/>
              </w:rPr>
              <w:t>；</w:t>
            </w:r>
            <w:hyperlink r:id="rId9" w:history="1">
              <w:r w:rsidRPr="001F681B">
                <w:rPr>
                  <w:rStyle w:val="Hyperlink"/>
                  <w:rFonts w:asciiTheme="minorHAnsi" w:eastAsia="STKaiti" w:hAnsiTheme="minorHAnsi" w:cstheme="minorHAnsi"/>
                  <w:noProof w:val="0"/>
                  <w:sz w:val="22"/>
                  <w:szCs w:val="22"/>
                  <w:lang w:eastAsia="zh-CN"/>
                </w:rPr>
                <w:t>国际电联《无线电规则》</w:t>
              </w:r>
            </w:hyperlink>
          </w:p>
        </w:tc>
      </w:tr>
      <w:bookmarkEnd w:id="2"/>
      <w:bookmarkEnd w:id="6"/>
    </w:tbl>
    <w:p w14:paraId="1C145BA3"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6BE8D1C" w14:textId="4FA332A6" w:rsidR="002D2A48" w:rsidRPr="002D2A48" w:rsidRDefault="00336337" w:rsidP="0071027F">
      <w:pPr>
        <w:pStyle w:val="Heading1"/>
        <w:rPr>
          <w:rFonts w:eastAsia="Times New Roman"/>
          <w:lang w:eastAsia="zh-CN"/>
        </w:rPr>
      </w:pPr>
      <w:r>
        <w:rPr>
          <w:lang w:val="zh-CN" w:eastAsia="zh-CN"/>
        </w:rPr>
        <w:lastRenderedPageBreak/>
        <w:t>1</w:t>
      </w:r>
      <w:r>
        <w:rPr>
          <w:lang w:val="zh-CN" w:eastAsia="zh-CN"/>
        </w:rPr>
        <w:tab/>
      </w:r>
      <w:r>
        <w:rPr>
          <w:rFonts w:hint="eastAsia"/>
          <w:lang w:val="zh-CN" w:eastAsia="zh-CN"/>
        </w:rPr>
        <w:t>引言</w:t>
      </w:r>
    </w:p>
    <w:p w14:paraId="710083C9" w14:textId="5721BB72" w:rsidR="00023684" w:rsidRPr="00E46BA1" w:rsidRDefault="00023684" w:rsidP="0071027F">
      <w:pPr>
        <w:ind w:firstLineChars="200" w:firstLine="480"/>
        <w:rPr>
          <w:lang w:eastAsia="zh-CN"/>
        </w:rPr>
      </w:pPr>
      <w:r>
        <w:rPr>
          <w:lang w:val="zh-CN" w:eastAsia="zh-CN"/>
        </w:rPr>
        <w:t>阿根廷共和国重申其致力于在国际电信联盟框架内指导频谱和卫星轨道资源管理的可持续性、透明和公平原则。</w:t>
      </w:r>
    </w:p>
    <w:p w14:paraId="2BA46B0C" w14:textId="1DEF9A94" w:rsidR="00336337" w:rsidRPr="0022325D" w:rsidRDefault="00023684" w:rsidP="0071027F">
      <w:pPr>
        <w:ind w:firstLineChars="200" w:firstLine="480"/>
        <w:rPr>
          <w:rFonts w:asciiTheme="minorHAnsi" w:hAnsiTheme="minorHAnsi" w:cstheme="minorHAnsi"/>
          <w:lang w:eastAsia="zh-CN"/>
        </w:rPr>
      </w:pPr>
      <w:r>
        <w:rPr>
          <w:lang w:val="zh-CN" w:eastAsia="zh-CN"/>
        </w:rPr>
        <w:t>关于第</w:t>
      </w:r>
      <w:r>
        <w:rPr>
          <w:lang w:val="zh-CN" w:eastAsia="zh-CN"/>
        </w:rPr>
        <w:t>482</w:t>
      </w:r>
      <w:r>
        <w:rPr>
          <w:lang w:val="zh-CN" w:eastAsia="zh-CN"/>
        </w:rPr>
        <w:t>号决定（</w:t>
      </w:r>
      <w:r>
        <w:rPr>
          <w:lang w:val="zh-CN" w:eastAsia="zh-CN"/>
        </w:rPr>
        <w:t>C01</w:t>
      </w:r>
      <w:r>
        <w:rPr>
          <w:lang w:val="zh-CN" w:eastAsia="zh-CN"/>
        </w:rPr>
        <w:t>，最近修正</w:t>
      </w:r>
      <w:r>
        <w:rPr>
          <w:lang w:val="zh-CN" w:eastAsia="zh-CN"/>
        </w:rPr>
        <w:t>C25</w:t>
      </w:r>
      <w:r>
        <w:rPr>
          <w:lang w:val="zh-CN" w:eastAsia="zh-CN"/>
        </w:rPr>
        <w:t>）的实施，以及为了促进平衡地实施与卫星网络和系统的通知、协调和登记有关的成本回收制度，阿根廷特此提出一</w:t>
      </w:r>
      <w:r w:rsidR="00751D72">
        <w:rPr>
          <w:rFonts w:hint="eastAsia"/>
          <w:lang w:val="zh-CN" w:eastAsia="zh-CN"/>
        </w:rPr>
        <w:t>项</w:t>
      </w:r>
      <w:r>
        <w:rPr>
          <w:lang w:val="zh-CN" w:eastAsia="zh-CN"/>
        </w:rPr>
        <w:t>案例研究，分析与这些活动相关的间接成本</w:t>
      </w:r>
      <w:r w:rsidR="00336337">
        <w:rPr>
          <w:lang w:val="zh-CN" w:eastAsia="zh-CN"/>
        </w:rPr>
        <w:t>。</w:t>
      </w:r>
    </w:p>
    <w:p w14:paraId="0082B1CA" w14:textId="6CF196CE" w:rsidR="00336337" w:rsidRPr="0071027F" w:rsidRDefault="00336337" w:rsidP="0071027F">
      <w:pPr>
        <w:pStyle w:val="Heading1"/>
        <w:rPr>
          <w:lang w:val="zh-CN" w:eastAsia="zh-CN"/>
        </w:rPr>
      </w:pPr>
      <w:r w:rsidRPr="0071027F">
        <w:rPr>
          <w:lang w:val="zh-CN" w:eastAsia="zh-CN"/>
        </w:rPr>
        <w:t>2</w:t>
      </w:r>
      <w:r w:rsidRPr="0071027F">
        <w:rPr>
          <w:lang w:val="zh-CN" w:eastAsia="zh-CN"/>
        </w:rPr>
        <w:tab/>
      </w:r>
      <w:r w:rsidR="00023684" w:rsidRPr="0071027F">
        <w:rPr>
          <w:lang w:val="zh-CN" w:eastAsia="zh-CN"/>
        </w:rPr>
        <w:t>理事会第</w:t>
      </w:r>
      <w:r w:rsidR="00023684" w:rsidRPr="0071027F">
        <w:rPr>
          <w:lang w:val="zh-CN" w:eastAsia="zh-CN"/>
        </w:rPr>
        <w:t>482</w:t>
      </w:r>
      <w:r w:rsidR="00023684" w:rsidRPr="0071027F">
        <w:rPr>
          <w:lang w:val="zh-CN" w:eastAsia="zh-CN"/>
        </w:rPr>
        <w:t>号决定</w:t>
      </w:r>
    </w:p>
    <w:p w14:paraId="25898D46" w14:textId="019B6875" w:rsidR="00023684" w:rsidRPr="00E46BA1" w:rsidRDefault="00023684" w:rsidP="0071027F">
      <w:pPr>
        <w:ind w:firstLineChars="200" w:firstLine="480"/>
        <w:rPr>
          <w:lang w:eastAsia="zh-CN"/>
        </w:rPr>
      </w:pPr>
      <w:r>
        <w:rPr>
          <w:lang w:val="zh-CN" w:eastAsia="zh-CN"/>
        </w:rPr>
        <w:t>理事会第</w:t>
      </w:r>
      <w:r>
        <w:rPr>
          <w:lang w:val="zh-CN" w:eastAsia="zh-CN"/>
        </w:rPr>
        <w:t>482</w:t>
      </w:r>
      <w:r>
        <w:rPr>
          <w:lang w:val="zh-CN" w:eastAsia="zh-CN"/>
        </w:rPr>
        <w:t>号决定为卫星网络和系统申报</w:t>
      </w:r>
      <w:r w:rsidR="00065C46">
        <w:rPr>
          <w:rFonts w:hint="eastAsia"/>
          <w:lang w:val="zh-CN" w:eastAsia="zh-CN"/>
        </w:rPr>
        <w:t>资料</w:t>
      </w:r>
      <w:r>
        <w:rPr>
          <w:lang w:val="zh-CN" w:eastAsia="zh-CN"/>
        </w:rPr>
        <w:t>处理产生的直接成本回收建立了一个框架，其中包括根据《无线电规则》进行卫星网络和系统申报处理所需的技术和行政评估。</w:t>
      </w:r>
    </w:p>
    <w:p w14:paraId="529A2659" w14:textId="25C9533E" w:rsidR="00336337" w:rsidRPr="0022325D" w:rsidRDefault="00023684" w:rsidP="0071027F">
      <w:pPr>
        <w:ind w:firstLineChars="200" w:firstLine="480"/>
        <w:rPr>
          <w:lang w:eastAsia="zh-CN"/>
        </w:rPr>
      </w:pPr>
      <w:r>
        <w:rPr>
          <w:lang w:val="zh-CN" w:eastAsia="zh-CN"/>
        </w:rPr>
        <w:t>在实践中，除了明确无误的直接费用外，还</w:t>
      </w:r>
      <w:r w:rsidR="00065C46">
        <w:rPr>
          <w:rFonts w:hint="eastAsia"/>
          <w:lang w:val="zh-CN" w:eastAsia="zh-CN"/>
        </w:rPr>
        <w:t>发生</w:t>
      </w:r>
      <w:r>
        <w:rPr>
          <w:lang w:val="zh-CN" w:eastAsia="zh-CN"/>
        </w:rPr>
        <w:t>了与组织一般性运作相关的间接费用。虽然这些成本可归因于业务提供所需的支持，但对它们的适当定义和分配对于保持系统的经济一致性至关重要</w:t>
      </w:r>
      <w:r w:rsidR="00336337">
        <w:rPr>
          <w:lang w:val="zh-CN" w:eastAsia="zh-CN"/>
        </w:rPr>
        <w:t>。</w:t>
      </w:r>
    </w:p>
    <w:p w14:paraId="7EBDF4E0" w14:textId="29C9C39B" w:rsidR="00336337" w:rsidRPr="0071027F" w:rsidRDefault="00336337" w:rsidP="00336337">
      <w:pPr>
        <w:pStyle w:val="Heading1"/>
        <w:rPr>
          <w:lang w:val="zh-CN" w:eastAsia="zh-CN"/>
        </w:rPr>
      </w:pPr>
      <w:r w:rsidRPr="0071027F">
        <w:rPr>
          <w:lang w:val="zh-CN" w:eastAsia="zh-CN"/>
        </w:rPr>
        <w:t>3</w:t>
      </w:r>
      <w:r w:rsidR="00E657C2" w:rsidRPr="0071027F">
        <w:rPr>
          <w:lang w:val="zh-CN" w:eastAsia="zh-CN"/>
        </w:rPr>
        <w:tab/>
      </w:r>
      <w:r w:rsidR="00023684" w:rsidRPr="0071027F">
        <w:rPr>
          <w:lang w:val="zh-CN" w:eastAsia="zh-CN"/>
        </w:rPr>
        <w:t>案例研究：与处理卫星网络和系统申报</w:t>
      </w:r>
      <w:r w:rsidR="00065C46" w:rsidRPr="0071027F">
        <w:rPr>
          <w:rFonts w:hint="eastAsia"/>
          <w:lang w:val="zh-CN" w:eastAsia="zh-CN"/>
        </w:rPr>
        <w:t>资料</w:t>
      </w:r>
      <w:r w:rsidR="00023684" w:rsidRPr="0071027F">
        <w:rPr>
          <w:lang w:val="zh-CN" w:eastAsia="zh-CN"/>
        </w:rPr>
        <w:t>相关的成本分析</w:t>
      </w:r>
    </w:p>
    <w:p w14:paraId="397E521F" w14:textId="776211DD" w:rsidR="00023684" w:rsidRPr="00E46BA1" w:rsidRDefault="00023684" w:rsidP="0071027F">
      <w:pPr>
        <w:ind w:firstLineChars="200" w:firstLine="480"/>
        <w:rPr>
          <w:lang w:eastAsia="zh-CN"/>
        </w:rPr>
      </w:pPr>
      <w:r>
        <w:rPr>
          <w:lang w:val="zh-CN" w:eastAsia="zh-CN"/>
        </w:rPr>
        <w:t>根据对卫星网络和系统</w:t>
      </w:r>
      <w:r w:rsidR="00065C46">
        <w:rPr>
          <w:lang w:val="zh-CN" w:eastAsia="zh-CN"/>
        </w:rPr>
        <w:t>申报资料</w:t>
      </w:r>
      <w:r>
        <w:rPr>
          <w:lang w:val="zh-CN" w:eastAsia="zh-CN"/>
        </w:rPr>
        <w:t>处理进程的分析，阿根廷认为：</w:t>
      </w:r>
    </w:p>
    <w:p w14:paraId="3E213F6F" w14:textId="7D12BFB9" w:rsidR="00023684" w:rsidRPr="00E46BA1" w:rsidRDefault="00023684" w:rsidP="00023684">
      <w:pPr>
        <w:pStyle w:val="enumlev1"/>
        <w:rPr>
          <w:lang w:eastAsia="zh-CN"/>
        </w:rPr>
      </w:pPr>
      <w:r>
        <w:rPr>
          <w:lang w:val="zh-CN" w:eastAsia="zh-CN"/>
        </w:rPr>
        <w:t>–</w:t>
      </w:r>
      <w:r w:rsidR="00065C46">
        <w:rPr>
          <w:lang w:val="zh-CN" w:eastAsia="zh-CN"/>
        </w:rPr>
        <w:tab/>
      </w:r>
      <w:r>
        <w:rPr>
          <w:lang w:val="zh-CN" w:eastAsia="zh-CN"/>
        </w:rPr>
        <w:t>直接成本可以客观地确定和量化，因为它们产生于第</w:t>
      </w:r>
      <w:r>
        <w:rPr>
          <w:lang w:val="zh-CN" w:eastAsia="zh-CN"/>
        </w:rPr>
        <w:t>482</w:t>
      </w:r>
      <w:r>
        <w:rPr>
          <w:lang w:val="zh-CN" w:eastAsia="zh-CN"/>
        </w:rPr>
        <w:t>号决定中规定的具体技术活动。</w:t>
      </w:r>
    </w:p>
    <w:p w14:paraId="1C8B6CCD" w14:textId="3D110875" w:rsidR="00023684" w:rsidRPr="00E46BA1" w:rsidRDefault="00023684" w:rsidP="00023684">
      <w:pPr>
        <w:pStyle w:val="enumlev1"/>
        <w:rPr>
          <w:lang w:eastAsia="zh-CN"/>
        </w:rPr>
      </w:pPr>
      <w:r>
        <w:rPr>
          <w:lang w:val="zh-CN" w:eastAsia="zh-CN"/>
        </w:rPr>
        <w:t>–</w:t>
      </w:r>
      <w:r w:rsidR="00065C46">
        <w:rPr>
          <w:lang w:val="zh-CN" w:eastAsia="zh-CN"/>
        </w:rPr>
        <w:tab/>
      </w:r>
      <w:r>
        <w:rPr>
          <w:lang w:val="zh-CN" w:eastAsia="zh-CN"/>
        </w:rPr>
        <w:t>如果没有明确的参考标准，间接</w:t>
      </w:r>
      <w:r w:rsidR="00065C46">
        <w:rPr>
          <w:rFonts w:hint="eastAsia"/>
          <w:lang w:val="zh-CN" w:eastAsia="zh-CN"/>
        </w:rPr>
        <w:t>成本</w:t>
      </w:r>
      <w:r>
        <w:rPr>
          <w:lang w:val="zh-CN" w:eastAsia="zh-CN"/>
        </w:rPr>
        <w:t>可能产生重大变化，并影响成本回收制度的透明度。</w:t>
      </w:r>
    </w:p>
    <w:p w14:paraId="1FB02E06" w14:textId="76893A2D" w:rsidR="00336337" w:rsidRPr="0022325D" w:rsidRDefault="00023684" w:rsidP="00023684">
      <w:pPr>
        <w:pStyle w:val="enumlev1"/>
        <w:rPr>
          <w:lang w:eastAsia="zh-CN"/>
        </w:rPr>
      </w:pPr>
      <w:r>
        <w:rPr>
          <w:lang w:val="zh-CN" w:eastAsia="zh-CN"/>
        </w:rPr>
        <w:t>–</w:t>
      </w:r>
      <w:r w:rsidR="00065C46">
        <w:rPr>
          <w:lang w:val="zh-CN" w:eastAsia="zh-CN"/>
        </w:rPr>
        <w:tab/>
      </w:r>
      <w:r w:rsidR="00065C46">
        <w:rPr>
          <w:rFonts w:hint="eastAsia"/>
          <w:lang w:val="zh-CN" w:eastAsia="zh-CN"/>
        </w:rPr>
        <w:t>很高的</w:t>
      </w:r>
      <w:r>
        <w:rPr>
          <w:lang w:val="zh-CN" w:eastAsia="zh-CN"/>
        </w:rPr>
        <w:t>间接</w:t>
      </w:r>
      <w:r w:rsidR="00065C46">
        <w:rPr>
          <w:rFonts w:hint="eastAsia"/>
          <w:lang w:val="zh-CN" w:eastAsia="zh-CN"/>
        </w:rPr>
        <w:t>成本</w:t>
      </w:r>
      <w:r>
        <w:rPr>
          <w:lang w:val="zh-CN" w:eastAsia="zh-CN"/>
        </w:rPr>
        <w:t>与直接</w:t>
      </w:r>
      <w:r w:rsidR="00065C46">
        <w:rPr>
          <w:rFonts w:hint="eastAsia"/>
          <w:lang w:val="zh-CN" w:eastAsia="zh-CN"/>
        </w:rPr>
        <w:t>成本</w:t>
      </w:r>
      <w:r>
        <w:rPr>
          <w:lang w:val="zh-CN" w:eastAsia="zh-CN"/>
        </w:rPr>
        <w:t>比例可能对通知主管部门的可预测性产生负面影响，并成为障碍，对发展中国家尤其如此</w:t>
      </w:r>
      <w:r w:rsidR="00336337">
        <w:rPr>
          <w:lang w:val="zh-CN" w:eastAsia="zh-CN"/>
        </w:rPr>
        <w:t>。</w:t>
      </w:r>
    </w:p>
    <w:p w14:paraId="44E26EAD" w14:textId="27BE9461" w:rsidR="00336337" w:rsidRPr="0071027F" w:rsidRDefault="00336337" w:rsidP="00336337">
      <w:pPr>
        <w:pStyle w:val="Heading1"/>
        <w:rPr>
          <w:lang w:val="zh-CN" w:eastAsia="zh-CN"/>
        </w:rPr>
      </w:pPr>
      <w:r w:rsidRPr="0071027F">
        <w:rPr>
          <w:lang w:val="zh-CN" w:eastAsia="zh-CN"/>
        </w:rPr>
        <w:t>4</w:t>
      </w:r>
      <w:r w:rsidR="001C714E" w:rsidRPr="0071027F">
        <w:rPr>
          <w:lang w:val="zh-CN" w:eastAsia="zh-CN"/>
        </w:rPr>
        <w:tab/>
      </w:r>
      <w:r w:rsidR="00023684" w:rsidRPr="0071027F">
        <w:rPr>
          <w:lang w:val="zh-CN" w:eastAsia="zh-CN"/>
        </w:rPr>
        <w:t>经济和方法论方法</w:t>
      </w:r>
    </w:p>
    <w:p w14:paraId="1C410651" w14:textId="77777777" w:rsidR="00023684" w:rsidRPr="00E46BA1" w:rsidRDefault="00023684" w:rsidP="00023684">
      <w:pPr>
        <w:pStyle w:val="Heading2"/>
        <w:rPr>
          <w:lang w:eastAsia="zh-CN"/>
        </w:rPr>
      </w:pPr>
      <w:r>
        <w:rPr>
          <w:bCs/>
          <w:lang w:val="zh-CN" w:eastAsia="zh-CN"/>
        </w:rPr>
        <w:t>4.1</w:t>
      </w:r>
      <w:r>
        <w:rPr>
          <w:lang w:val="zh-CN" w:eastAsia="zh-CN"/>
        </w:rPr>
        <w:tab/>
      </w:r>
      <w:r>
        <w:rPr>
          <w:bCs/>
          <w:lang w:val="zh-CN" w:eastAsia="zh-CN"/>
        </w:rPr>
        <w:t>成本分类</w:t>
      </w:r>
    </w:p>
    <w:p w14:paraId="059C0521" w14:textId="77777777" w:rsidR="00023684" w:rsidRPr="00E46BA1" w:rsidRDefault="00023684" w:rsidP="0071027F">
      <w:pPr>
        <w:ind w:firstLineChars="200" w:firstLine="480"/>
        <w:rPr>
          <w:lang w:eastAsia="zh-CN"/>
        </w:rPr>
      </w:pPr>
      <w:r>
        <w:rPr>
          <w:lang w:val="zh-CN" w:eastAsia="zh-CN"/>
        </w:rPr>
        <w:t>为开展此项研究，采用了一种符合广泛接受的成本核算和公共管理原则的分类方法：</w:t>
      </w:r>
    </w:p>
    <w:p w14:paraId="4D7D8334" w14:textId="48CA5887" w:rsidR="00023684" w:rsidRPr="00E46BA1" w:rsidRDefault="00023684" w:rsidP="00023684">
      <w:pPr>
        <w:pStyle w:val="Headingb"/>
        <w:rPr>
          <w:lang w:eastAsia="zh-CN"/>
        </w:rPr>
      </w:pPr>
      <w:r>
        <w:rPr>
          <w:bCs/>
          <w:lang w:val="zh-CN" w:eastAsia="zh-CN"/>
        </w:rPr>
        <w:t>a)</w:t>
      </w:r>
      <w:r w:rsidR="00065C46">
        <w:rPr>
          <w:bCs/>
          <w:lang w:val="zh-CN" w:eastAsia="zh-CN"/>
        </w:rPr>
        <w:tab/>
      </w:r>
      <w:r w:rsidR="00065C46">
        <w:rPr>
          <w:rFonts w:hint="eastAsia"/>
          <w:bCs/>
          <w:lang w:val="zh-CN" w:eastAsia="zh-CN"/>
        </w:rPr>
        <w:t>直接成本</w:t>
      </w:r>
    </w:p>
    <w:p w14:paraId="631F2EEA" w14:textId="120B61C6" w:rsidR="00023684" w:rsidRPr="00E46BA1" w:rsidRDefault="00023684" w:rsidP="0071027F">
      <w:pPr>
        <w:ind w:firstLineChars="200" w:firstLine="480"/>
        <w:rPr>
          <w:lang w:eastAsia="zh-CN"/>
        </w:rPr>
      </w:pPr>
      <w:r>
        <w:rPr>
          <w:lang w:val="zh-CN" w:eastAsia="zh-CN"/>
        </w:rPr>
        <w:t>直接成本是指一</w:t>
      </w:r>
      <w:r w:rsidR="00065C46">
        <w:rPr>
          <w:rFonts w:hint="eastAsia"/>
          <w:lang w:val="zh-CN" w:eastAsia="zh-CN"/>
        </w:rPr>
        <w:t>份</w:t>
      </w:r>
      <w:r>
        <w:rPr>
          <w:lang w:val="zh-CN" w:eastAsia="zh-CN"/>
        </w:rPr>
        <w:t>通知可明确、可核实和专门分配给具体活动的成本，包括但不限于：</w:t>
      </w:r>
    </w:p>
    <w:p w14:paraId="3E57BCB8" w14:textId="2AAF15DF"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已通知网络的技术</w:t>
      </w:r>
      <w:r>
        <w:rPr>
          <w:lang w:val="zh-CN" w:eastAsia="zh-CN"/>
        </w:rPr>
        <w:t>/</w:t>
      </w:r>
      <w:r w:rsidR="00916ED1">
        <w:rPr>
          <w:rFonts w:hint="eastAsia"/>
          <w:lang w:val="zh-CN" w:eastAsia="zh-CN"/>
        </w:rPr>
        <w:t>规则</w:t>
      </w:r>
      <w:r>
        <w:rPr>
          <w:lang w:val="zh-CN" w:eastAsia="zh-CN"/>
        </w:rPr>
        <w:t>分析</w:t>
      </w:r>
      <w:r w:rsidR="00916ED1">
        <w:rPr>
          <w:rFonts w:hint="eastAsia"/>
          <w:lang w:val="zh-CN" w:eastAsia="zh-CN"/>
        </w:rPr>
        <w:t>；</w:t>
      </w:r>
    </w:p>
    <w:p w14:paraId="46EFC665" w14:textId="499C92E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兼容性和协调研究</w:t>
      </w:r>
      <w:r w:rsidR="00916ED1">
        <w:rPr>
          <w:rFonts w:hint="eastAsia"/>
          <w:lang w:val="zh-CN" w:eastAsia="zh-CN"/>
        </w:rPr>
        <w:t>；</w:t>
      </w:r>
    </w:p>
    <w:p w14:paraId="779AEB94" w14:textId="654FD0F3"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国际电联系统中信息的处理和记录</w:t>
      </w:r>
      <w:r w:rsidR="00916ED1">
        <w:rPr>
          <w:rFonts w:hint="eastAsia"/>
          <w:lang w:val="zh-CN" w:eastAsia="zh-CN"/>
        </w:rPr>
        <w:t>；</w:t>
      </w:r>
    </w:p>
    <w:p w14:paraId="0D4C7345" w14:textId="7582A67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公布相应的特节</w:t>
      </w:r>
      <w:r w:rsidR="00916ED1">
        <w:rPr>
          <w:rFonts w:hint="eastAsia"/>
          <w:lang w:val="zh-CN" w:eastAsia="zh-CN"/>
        </w:rPr>
        <w:t>；</w:t>
      </w:r>
      <w:r>
        <w:rPr>
          <w:lang w:val="zh-CN" w:eastAsia="zh-CN"/>
        </w:rPr>
        <w:t>和</w:t>
      </w:r>
    </w:p>
    <w:p w14:paraId="48EEE420" w14:textId="0B3961F9" w:rsidR="00023684" w:rsidRPr="00E46BA1" w:rsidRDefault="00023684" w:rsidP="00023684">
      <w:pPr>
        <w:pStyle w:val="enumlev1"/>
        <w:rPr>
          <w:lang w:eastAsia="zh-CN"/>
        </w:rPr>
      </w:pPr>
      <w:r>
        <w:rPr>
          <w:lang w:val="zh-CN" w:eastAsia="zh-CN"/>
        </w:rPr>
        <w:t>–</w:t>
      </w:r>
      <w:r w:rsidR="00B45542">
        <w:rPr>
          <w:lang w:val="zh-CN" w:eastAsia="zh-CN"/>
        </w:rPr>
        <w:tab/>
      </w:r>
      <w:r>
        <w:rPr>
          <w:lang w:val="zh-CN" w:eastAsia="zh-CN"/>
        </w:rPr>
        <w:t>与涉及具体案件的通知主管部门的</w:t>
      </w:r>
      <w:r w:rsidR="00916ED1">
        <w:rPr>
          <w:rFonts w:hint="eastAsia"/>
          <w:lang w:val="zh-CN" w:eastAsia="zh-CN"/>
        </w:rPr>
        <w:t>接洽</w:t>
      </w:r>
      <w:r>
        <w:rPr>
          <w:lang w:val="zh-CN" w:eastAsia="zh-CN"/>
        </w:rPr>
        <w:t>。</w:t>
      </w:r>
    </w:p>
    <w:p w14:paraId="0FB27319" w14:textId="2CF2DEB1" w:rsidR="00023684" w:rsidRPr="00E46BA1" w:rsidRDefault="00023684" w:rsidP="00023684">
      <w:pPr>
        <w:pStyle w:val="Headingb"/>
        <w:rPr>
          <w:lang w:eastAsia="zh-CN"/>
        </w:rPr>
      </w:pPr>
      <w:r>
        <w:rPr>
          <w:bCs/>
          <w:lang w:val="zh-CN" w:eastAsia="zh-CN"/>
        </w:rPr>
        <w:lastRenderedPageBreak/>
        <w:t>b)</w:t>
      </w:r>
      <w:r w:rsidR="00916ED1">
        <w:rPr>
          <w:bCs/>
          <w:lang w:val="zh-CN" w:eastAsia="zh-CN"/>
        </w:rPr>
        <w:tab/>
      </w:r>
      <w:r w:rsidR="00916ED1">
        <w:rPr>
          <w:rFonts w:hint="eastAsia"/>
          <w:bCs/>
          <w:lang w:val="zh-CN" w:eastAsia="zh-CN"/>
        </w:rPr>
        <w:t>间接成本</w:t>
      </w:r>
    </w:p>
    <w:p w14:paraId="4BF646E5" w14:textId="63709C18" w:rsidR="00023684" w:rsidRPr="00E46BA1" w:rsidRDefault="00023684" w:rsidP="0071027F">
      <w:pPr>
        <w:ind w:firstLineChars="200" w:firstLine="480"/>
        <w:rPr>
          <w:lang w:eastAsia="zh-CN"/>
        </w:rPr>
      </w:pPr>
      <w:r>
        <w:rPr>
          <w:lang w:val="zh-CN" w:eastAsia="zh-CN"/>
        </w:rPr>
        <w:t>间接成本是组织一般运作所必需的成本，不能完全</w:t>
      </w:r>
      <w:r w:rsidR="00566346">
        <w:rPr>
          <w:rFonts w:hint="eastAsia"/>
          <w:lang w:val="zh-CN" w:eastAsia="zh-CN"/>
        </w:rPr>
        <w:t>归因</w:t>
      </w:r>
      <w:r>
        <w:rPr>
          <w:lang w:val="zh-CN" w:eastAsia="zh-CN"/>
        </w:rPr>
        <w:t>于一项单项</w:t>
      </w:r>
      <w:r w:rsidR="00065C46">
        <w:rPr>
          <w:lang w:val="zh-CN" w:eastAsia="zh-CN"/>
        </w:rPr>
        <w:t>申报资料</w:t>
      </w:r>
      <w:r>
        <w:rPr>
          <w:lang w:val="zh-CN" w:eastAsia="zh-CN"/>
        </w:rPr>
        <w:t>，例如：</w:t>
      </w:r>
    </w:p>
    <w:p w14:paraId="420A9D9A" w14:textId="62A8F1D3"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一般主管部门</w:t>
      </w:r>
      <w:r w:rsidR="00566346">
        <w:rPr>
          <w:rFonts w:hint="eastAsia"/>
          <w:lang w:val="zh-CN" w:eastAsia="zh-CN"/>
        </w:rPr>
        <w:t>；</w:t>
      </w:r>
    </w:p>
    <w:p w14:paraId="2C4CF1B1" w14:textId="6EEF9440"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人力资源管理</w:t>
      </w:r>
      <w:r w:rsidR="00566346">
        <w:rPr>
          <w:rFonts w:hint="eastAsia"/>
          <w:lang w:val="zh-CN" w:eastAsia="zh-CN"/>
        </w:rPr>
        <w:t>；</w:t>
      </w:r>
    </w:p>
    <w:p w14:paraId="1EE0D77D" w14:textId="720741C1"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维护</w:t>
      </w:r>
      <w:r w:rsidR="00566346">
        <w:rPr>
          <w:rFonts w:hint="eastAsia"/>
          <w:lang w:val="zh-CN" w:eastAsia="zh-CN"/>
        </w:rPr>
        <w:t>多</w:t>
      </w:r>
      <w:r>
        <w:rPr>
          <w:lang w:val="zh-CN" w:eastAsia="zh-CN"/>
        </w:rPr>
        <w:t>用途的</w:t>
      </w:r>
      <w:r>
        <w:rPr>
          <w:lang w:val="zh-CN" w:eastAsia="zh-CN"/>
        </w:rPr>
        <w:t>IT</w:t>
      </w:r>
      <w:r>
        <w:rPr>
          <w:lang w:val="zh-CN" w:eastAsia="zh-CN"/>
        </w:rPr>
        <w:t>基础设施和系统</w:t>
      </w:r>
      <w:r w:rsidR="00566346">
        <w:rPr>
          <w:rFonts w:hint="eastAsia"/>
          <w:lang w:val="zh-CN" w:eastAsia="zh-CN"/>
        </w:rPr>
        <w:t>；</w:t>
      </w:r>
      <w:r>
        <w:rPr>
          <w:lang w:val="zh-CN" w:eastAsia="zh-CN"/>
        </w:rPr>
        <w:t>和</w:t>
      </w:r>
    </w:p>
    <w:p w14:paraId="32B79520" w14:textId="1B728A11" w:rsidR="00023684" w:rsidRPr="00E46BA1" w:rsidRDefault="00023684" w:rsidP="00023684">
      <w:pPr>
        <w:pStyle w:val="enumlev1"/>
        <w:rPr>
          <w:lang w:eastAsia="zh-CN"/>
        </w:rPr>
      </w:pPr>
      <w:r>
        <w:rPr>
          <w:lang w:val="zh-CN" w:eastAsia="zh-CN"/>
        </w:rPr>
        <w:t>–</w:t>
      </w:r>
      <w:r w:rsidR="00566346">
        <w:rPr>
          <w:lang w:val="zh-CN" w:eastAsia="zh-CN"/>
        </w:rPr>
        <w:tab/>
      </w:r>
      <w:r>
        <w:rPr>
          <w:lang w:val="zh-CN" w:eastAsia="zh-CN"/>
        </w:rPr>
        <w:t>行政和财务支持。</w:t>
      </w:r>
    </w:p>
    <w:p w14:paraId="47E0C7BD" w14:textId="77777777" w:rsidR="00023684" w:rsidRPr="00E46BA1" w:rsidRDefault="00023684" w:rsidP="0071027F">
      <w:pPr>
        <w:ind w:firstLineChars="200" w:firstLine="480"/>
        <w:rPr>
          <w:lang w:eastAsia="zh-CN"/>
        </w:rPr>
      </w:pPr>
      <w:r>
        <w:rPr>
          <w:lang w:val="zh-CN" w:eastAsia="zh-CN"/>
        </w:rPr>
        <w:t>这种区分对于确保成本回收制度的可追溯性、透明度和相称性至关重要。</w:t>
      </w:r>
    </w:p>
    <w:p w14:paraId="155B72B5" w14:textId="77777777" w:rsidR="00023684" w:rsidRPr="00E46BA1" w:rsidRDefault="00023684" w:rsidP="00023684">
      <w:pPr>
        <w:pStyle w:val="Heading2"/>
        <w:rPr>
          <w:lang w:eastAsia="zh-CN"/>
        </w:rPr>
      </w:pPr>
      <w:r>
        <w:rPr>
          <w:bCs/>
          <w:lang w:val="zh-CN" w:eastAsia="zh-CN"/>
        </w:rPr>
        <w:t>4.2</w:t>
      </w:r>
      <w:r>
        <w:rPr>
          <w:lang w:val="zh-CN" w:eastAsia="zh-CN"/>
        </w:rPr>
        <w:tab/>
      </w:r>
      <w:r>
        <w:rPr>
          <w:bCs/>
          <w:lang w:val="zh-CN" w:eastAsia="zh-CN"/>
        </w:rPr>
        <w:t>估算和划分的方法</w:t>
      </w:r>
    </w:p>
    <w:p w14:paraId="704C4372" w14:textId="77777777" w:rsidR="00023684" w:rsidRPr="00E46BA1" w:rsidRDefault="00023684" w:rsidP="0071027F">
      <w:pPr>
        <w:ind w:firstLineChars="200" w:firstLine="480"/>
        <w:rPr>
          <w:lang w:eastAsia="zh-CN"/>
        </w:rPr>
      </w:pPr>
      <w:r>
        <w:rPr>
          <w:lang w:val="zh-CN" w:eastAsia="zh-CN"/>
        </w:rPr>
        <w:t>该案例研究基于以下方法：</w:t>
      </w:r>
    </w:p>
    <w:p w14:paraId="38C4675F" w14:textId="7E49C2D1"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确定处理卫星网络和系统</w:t>
      </w:r>
      <w:r w:rsidR="00065C46">
        <w:rPr>
          <w:lang w:val="zh-CN" w:eastAsia="zh-CN"/>
        </w:rPr>
        <w:t>申报资料</w:t>
      </w:r>
      <w:r>
        <w:rPr>
          <w:lang w:val="zh-CN" w:eastAsia="zh-CN"/>
        </w:rPr>
        <w:t>所涉及的程序，区分核心活动和</w:t>
      </w:r>
      <w:r w:rsidR="00E51FC8">
        <w:rPr>
          <w:rFonts w:hint="eastAsia"/>
          <w:lang w:val="zh-CN" w:eastAsia="zh-CN"/>
        </w:rPr>
        <w:t>支撑</w:t>
      </w:r>
      <w:r>
        <w:rPr>
          <w:lang w:val="zh-CN" w:eastAsia="zh-CN"/>
        </w:rPr>
        <w:t>活动</w:t>
      </w:r>
      <w:r w:rsidR="00E51FC8">
        <w:rPr>
          <w:rFonts w:hint="eastAsia"/>
          <w:lang w:val="zh-CN" w:eastAsia="zh-CN"/>
        </w:rPr>
        <w:t>；</w:t>
      </w:r>
    </w:p>
    <w:p w14:paraId="61BE8432" w14:textId="2305902B"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根据可衡量的投入估算直接成本，如专用的技术资源和系统的具体使用</w:t>
      </w:r>
      <w:r w:rsidR="00E51FC8">
        <w:rPr>
          <w:rFonts w:hint="eastAsia"/>
          <w:lang w:val="zh-CN" w:eastAsia="zh-CN"/>
        </w:rPr>
        <w:t>；</w:t>
      </w:r>
      <w:r>
        <w:rPr>
          <w:lang w:val="zh-CN" w:eastAsia="zh-CN"/>
        </w:rPr>
        <w:t>和</w:t>
      </w:r>
    </w:p>
    <w:p w14:paraId="64E26673" w14:textId="277899E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通过合理、一致和稳定的分摊标准分配间接成本，避免分配与实际服务水平无关的结构性成本。</w:t>
      </w:r>
    </w:p>
    <w:p w14:paraId="5C814662" w14:textId="77777777" w:rsidR="00023684" w:rsidRPr="00E46BA1" w:rsidRDefault="00023684" w:rsidP="0071027F">
      <w:pPr>
        <w:ind w:firstLineChars="200" w:firstLine="480"/>
        <w:rPr>
          <w:lang w:eastAsia="zh-CN"/>
        </w:rPr>
      </w:pPr>
      <w:r>
        <w:rPr>
          <w:lang w:val="zh-CN" w:eastAsia="zh-CN"/>
        </w:rPr>
        <w:t>从这个角度来看，间接成本应只反映执行直接属于第</w:t>
      </w:r>
      <w:r>
        <w:rPr>
          <w:lang w:val="zh-CN" w:eastAsia="zh-CN"/>
        </w:rPr>
        <w:t>482</w:t>
      </w:r>
      <w:r>
        <w:rPr>
          <w:lang w:val="zh-CN" w:eastAsia="zh-CN"/>
        </w:rPr>
        <w:t>号决定的活动所必要的和成比例的支持。</w:t>
      </w:r>
    </w:p>
    <w:p w14:paraId="6675FA10" w14:textId="77777777" w:rsidR="00023684" w:rsidRPr="00E46BA1" w:rsidRDefault="00023684" w:rsidP="00023684">
      <w:pPr>
        <w:pStyle w:val="Heading2"/>
        <w:rPr>
          <w:lang w:eastAsia="zh-CN"/>
        </w:rPr>
      </w:pPr>
      <w:r>
        <w:rPr>
          <w:bCs/>
          <w:lang w:val="zh-CN" w:eastAsia="zh-CN"/>
        </w:rPr>
        <w:t>4.3</w:t>
      </w:r>
      <w:r>
        <w:rPr>
          <w:lang w:val="zh-CN" w:eastAsia="zh-CN"/>
        </w:rPr>
        <w:tab/>
      </w:r>
      <w:r>
        <w:rPr>
          <w:bCs/>
          <w:lang w:val="zh-CN" w:eastAsia="zh-CN"/>
        </w:rPr>
        <w:t>适用的经济原则</w:t>
      </w:r>
    </w:p>
    <w:p w14:paraId="57071732" w14:textId="77777777" w:rsidR="00023684" w:rsidRPr="00E46BA1" w:rsidRDefault="00023684" w:rsidP="0071027F">
      <w:pPr>
        <w:ind w:firstLineChars="200" w:firstLine="480"/>
        <w:rPr>
          <w:lang w:eastAsia="zh-CN"/>
        </w:rPr>
      </w:pPr>
      <w:r>
        <w:rPr>
          <w:lang w:val="zh-CN" w:eastAsia="zh-CN"/>
        </w:rPr>
        <w:t>阿根廷认为，成本回收制度应特别遵循以下原则：</w:t>
      </w:r>
    </w:p>
    <w:p w14:paraId="4611BBC5" w14:textId="7985C31A"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因果关系：</w:t>
      </w:r>
      <w:r w:rsidR="00E51FC8">
        <w:rPr>
          <w:lang w:val="zh-CN" w:eastAsia="zh-CN"/>
        </w:rPr>
        <w:t>回收</w:t>
      </w:r>
      <w:r w:rsidR="00E51FC8">
        <w:rPr>
          <w:rFonts w:hint="eastAsia"/>
          <w:lang w:val="zh-CN" w:eastAsia="zh-CN"/>
        </w:rPr>
        <w:t>的</w:t>
      </w:r>
      <w:r>
        <w:rPr>
          <w:lang w:val="zh-CN" w:eastAsia="zh-CN"/>
        </w:rPr>
        <w:t>成本必须与产生成本的活动相关。</w:t>
      </w:r>
    </w:p>
    <w:p w14:paraId="315D4FE8" w14:textId="1B9AC1BF"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相称性：间接成本必须与直接成本保持合理的比例。</w:t>
      </w:r>
    </w:p>
    <w:p w14:paraId="63CF3ADD" w14:textId="1B07754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可预测性：通知主管部门必须能够以合理的确定性预测与一项</w:t>
      </w:r>
      <w:r w:rsidR="00065C46">
        <w:rPr>
          <w:lang w:val="zh-CN" w:eastAsia="zh-CN"/>
        </w:rPr>
        <w:t>申报资料</w:t>
      </w:r>
      <w:r>
        <w:rPr>
          <w:lang w:val="zh-CN" w:eastAsia="zh-CN"/>
        </w:rPr>
        <w:t>相关的费用。</w:t>
      </w:r>
    </w:p>
    <w:p w14:paraId="20122A58" w14:textId="082A39A6"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非歧视性：成本结构不得对某些主管部门造成不成比例的影响。</w:t>
      </w:r>
    </w:p>
    <w:p w14:paraId="73EF47AF" w14:textId="56F25285" w:rsidR="00023684" w:rsidRPr="0071027F" w:rsidRDefault="00023684" w:rsidP="00023684">
      <w:pPr>
        <w:pStyle w:val="Heading1"/>
        <w:rPr>
          <w:lang w:val="zh-CN" w:eastAsia="zh-CN"/>
        </w:rPr>
      </w:pPr>
      <w:r w:rsidRPr="0071027F">
        <w:rPr>
          <w:lang w:val="zh-CN" w:eastAsia="zh-CN"/>
        </w:rPr>
        <w:t>5</w:t>
      </w:r>
      <w:r w:rsidR="00E51FC8" w:rsidRPr="0071027F">
        <w:rPr>
          <w:lang w:val="zh-CN" w:eastAsia="zh-CN"/>
        </w:rPr>
        <w:tab/>
      </w:r>
      <w:r w:rsidRPr="0071027F">
        <w:rPr>
          <w:lang w:val="zh-CN" w:eastAsia="zh-CN"/>
        </w:rPr>
        <w:t>建议的间接成本框架</w:t>
      </w:r>
    </w:p>
    <w:p w14:paraId="3D9DFCFC" w14:textId="77777777" w:rsidR="00023684" w:rsidRPr="00E46BA1" w:rsidRDefault="00023684" w:rsidP="0071027F">
      <w:pPr>
        <w:ind w:firstLineChars="200" w:firstLine="480"/>
        <w:rPr>
          <w:lang w:eastAsia="zh-CN"/>
        </w:rPr>
      </w:pPr>
      <w:r>
        <w:rPr>
          <w:lang w:val="zh-CN" w:eastAsia="zh-CN"/>
        </w:rPr>
        <w:t>根据所进行的分析，阿根廷主管部门建议将应用第</w:t>
      </w:r>
      <w:r>
        <w:rPr>
          <w:lang w:val="zh-CN" w:eastAsia="zh-CN"/>
        </w:rPr>
        <w:t>482</w:t>
      </w:r>
      <w:r>
        <w:rPr>
          <w:lang w:val="zh-CN" w:eastAsia="zh-CN"/>
        </w:rPr>
        <w:t>号决定相关的间接成本作为指导原则：</w:t>
      </w:r>
    </w:p>
    <w:p w14:paraId="70FF257D" w14:textId="646D615F"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不超过第</w:t>
      </w:r>
      <w:r>
        <w:rPr>
          <w:lang w:val="zh-CN" w:eastAsia="zh-CN"/>
        </w:rPr>
        <w:t>482</w:t>
      </w:r>
      <w:r>
        <w:rPr>
          <w:lang w:val="zh-CN" w:eastAsia="zh-CN"/>
        </w:rPr>
        <w:t>号决定规定的活动所回收</w:t>
      </w:r>
      <w:r w:rsidR="00E51FC8">
        <w:rPr>
          <w:rFonts w:hint="eastAsia"/>
          <w:lang w:val="zh-CN" w:eastAsia="zh-CN"/>
        </w:rPr>
        <w:t>成本</w:t>
      </w:r>
      <w:r>
        <w:rPr>
          <w:lang w:val="zh-CN" w:eastAsia="zh-CN"/>
        </w:rPr>
        <w:t>总额的</w:t>
      </w:r>
      <w:r>
        <w:rPr>
          <w:lang w:val="zh-CN" w:eastAsia="zh-CN"/>
        </w:rPr>
        <w:t>30%</w:t>
      </w:r>
      <w:r>
        <w:rPr>
          <w:lang w:val="zh-CN" w:eastAsia="zh-CN"/>
        </w:rPr>
        <w:t>。</w:t>
      </w:r>
    </w:p>
    <w:p w14:paraId="074E135E" w14:textId="45267604" w:rsidR="00023684" w:rsidRPr="00E46BA1" w:rsidRDefault="00E51FC8" w:rsidP="00023684">
      <w:pPr>
        <w:pStyle w:val="Headingb"/>
        <w:rPr>
          <w:lang w:eastAsia="zh-CN"/>
        </w:rPr>
      </w:pPr>
      <w:r>
        <w:rPr>
          <w:rFonts w:hint="eastAsia"/>
          <w:bCs/>
          <w:lang w:eastAsia="zh-CN"/>
        </w:rPr>
        <w:t>拟议</w:t>
      </w:r>
      <w:r w:rsidR="00023684">
        <w:rPr>
          <w:bCs/>
          <w:lang w:val="zh-CN" w:eastAsia="zh-CN"/>
        </w:rPr>
        <w:t>上限的经济理由</w:t>
      </w:r>
    </w:p>
    <w:p w14:paraId="5949A070" w14:textId="730B3D26"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在专门的技术服务中，当流程</w:t>
      </w:r>
      <w:r w:rsidR="00E51FC8">
        <w:rPr>
          <w:rFonts w:hint="eastAsia"/>
          <w:lang w:val="zh-CN" w:eastAsia="zh-CN"/>
        </w:rPr>
        <w:t>有</w:t>
      </w:r>
      <w:r>
        <w:rPr>
          <w:lang w:val="zh-CN" w:eastAsia="zh-CN"/>
        </w:rPr>
        <w:t>明确定义时，间接成本通常只占很小的一部分。</w:t>
      </w:r>
    </w:p>
    <w:p w14:paraId="789CD7BA" w14:textId="1135BF2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30%</w:t>
      </w:r>
      <w:r>
        <w:rPr>
          <w:lang w:val="zh-CN" w:eastAsia="zh-CN"/>
        </w:rPr>
        <w:t>的上限允许在不破坏服务成本比的情况下充分满足必要的支持职能。</w:t>
      </w:r>
    </w:p>
    <w:p w14:paraId="340D021E" w14:textId="55F25D95"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明显较高的百分比可能反映：</w:t>
      </w:r>
    </w:p>
    <w:p w14:paraId="72170300" w14:textId="7D5BF119" w:rsidR="00023684" w:rsidRPr="00E46BA1" w:rsidRDefault="00023684" w:rsidP="00023684">
      <w:pPr>
        <w:pStyle w:val="enumlev2"/>
        <w:rPr>
          <w:lang w:eastAsia="zh-CN"/>
        </w:rPr>
      </w:pPr>
      <w:r w:rsidRPr="00E46BA1">
        <w:rPr>
          <w:lang w:val="zh-CN" w:eastAsia="zh-CN"/>
        </w:rPr>
        <w:t>•</w:t>
      </w:r>
      <w:r>
        <w:rPr>
          <w:lang w:val="zh-CN" w:eastAsia="zh-CN"/>
        </w:rPr>
        <w:tab/>
      </w:r>
      <w:r>
        <w:rPr>
          <w:lang w:val="zh-CN" w:eastAsia="zh-CN"/>
        </w:rPr>
        <w:t>结构性成本的过度分配</w:t>
      </w:r>
      <w:r w:rsidR="00E51FC8">
        <w:rPr>
          <w:rFonts w:hint="eastAsia"/>
          <w:lang w:val="zh-CN" w:eastAsia="zh-CN"/>
        </w:rPr>
        <w:t>；</w:t>
      </w:r>
    </w:p>
    <w:p w14:paraId="77DB097D" w14:textId="0870CC08" w:rsidR="00023684" w:rsidRPr="00E46BA1" w:rsidRDefault="00023684" w:rsidP="00023684">
      <w:pPr>
        <w:pStyle w:val="enumlev2"/>
        <w:rPr>
          <w:lang w:eastAsia="zh-CN"/>
        </w:rPr>
      </w:pPr>
      <w:r w:rsidRPr="004E1ACA">
        <w:rPr>
          <w:lang w:eastAsia="zh-CN"/>
        </w:rPr>
        <w:t>•</w:t>
      </w:r>
      <w:r w:rsidRPr="004E1ACA">
        <w:rPr>
          <w:lang w:eastAsia="zh-CN"/>
        </w:rPr>
        <w:tab/>
      </w:r>
      <w:r>
        <w:rPr>
          <w:lang w:val="zh-CN" w:eastAsia="zh-CN"/>
        </w:rPr>
        <w:t>在确定直接成本方面缺乏一致性</w:t>
      </w:r>
      <w:r w:rsidR="00E51FC8" w:rsidRPr="004E1ACA">
        <w:rPr>
          <w:rFonts w:hint="eastAsia"/>
          <w:lang w:eastAsia="zh-CN"/>
        </w:rPr>
        <w:t>；</w:t>
      </w:r>
      <w:r>
        <w:rPr>
          <w:lang w:val="zh-CN" w:eastAsia="zh-CN"/>
        </w:rPr>
        <w:t>或</w:t>
      </w:r>
    </w:p>
    <w:p w14:paraId="2907EF3B" w14:textId="77777777" w:rsidR="00023684" w:rsidRPr="00E46BA1" w:rsidRDefault="00023684" w:rsidP="00023684">
      <w:pPr>
        <w:pStyle w:val="enumlev2"/>
        <w:rPr>
          <w:lang w:eastAsia="zh-CN"/>
        </w:rPr>
      </w:pPr>
      <w:r w:rsidRPr="00E46BA1">
        <w:rPr>
          <w:lang w:val="zh-CN" w:eastAsia="zh-CN"/>
        </w:rPr>
        <w:lastRenderedPageBreak/>
        <w:t>•</w:t>
      </w:r>
      <w:r>
        <w:rPr>
          <w:lang w:val="zh-CN" w:eastAsia="zh-CN"/>
        </w:rPr>
        <w:tab/>
      </w:r>
      <w:r>
        <w:rPr>
          <w:lang w:val="zh-CN" w:eastAsia="zh-CN"/>
        </w:rPr>
        <w:t>支持流程效率低下。</w:t>
      </w:r>
    </w:p>
    <w:p w14:paraId="307176C9" w14:textId="6A5014E3"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采用定量基准有助于减少可变性、提高透明度并促进对系统的定期评估。</w:t>
      </w:r>
    </w:p>
    <w:p w14:paraId="0BE6DA62" w14:textId="7BB58095" w:rsidR="00023684" w:rsidRPr="00E46BA1" w:rsidRDefault="00023684" w:rsidP="0071027F">
      <w:pPr>
        <w:ind w:firstLineChars="200" w:firstLine="480"/>
        <w:rPr>
          <w:lang w:eastAsia="zh-CN"/>
        </w:rPr>
      </w:pPr>
      <w:r>
        <w:rPr>
          <w:lang w:val="zh-CN" w:eastAsia="zh-CN"/>
        </w:rPr>
        <w:t>阿根廷主管部门强调，此数值旨在作为方法指导而非硬性规定上限。此外，应根据程序的演变、国际电联收到的</w:t>
      </w:r>
      <w:r w:rsidR="00065C46">
        <w:rPr>
          <w:lang w:val="zh-CN" w:eastAsia="zh-CN"/>
        </w:rPr>
        <w:t>申报资料</w:t>
      </w:r>
      <w:r>
        <w:rPr>
          <w:lang w:val="zh-CN" w:eastAsia="zh-CN"/>
        </w:rPr>
        <w:t>量和工作效率的提高情况定期对其进行审查。</w:t>
      </w:r>
    </w:p>
    <w:p w14:paraId="3254A184" w14:textId="1D3E3B55" w:rsidR="00023684" w:rsidRPr="0071027F" w:rsidRDefault="00023684" w:rsidP="00023684">
      <w:pPr>
        <w:pStyle w:val="Heading1"/>
        <w:rPr>
          <w:lang w:val="zh-CN" w:eastAsia="zh-CN"/>
        </w:rPr>
      </w:pPr>
      <w:r w:rsidRPr="0071027F">
        <w:rPr>
          <w:lang w:val="zh-CN" w:eastAsia="zh-CN"/>
        </w:rPr>
        <w:t>6</w:t>
      </w:r>
      <w:r w:rsidR="00E51FC8" w:rsidRPr="0071027F">
        <w:rPr>
          <w:lang w:val="zh-CN" w:eastAsia="zh-CN"/>
        </w:rPr>
        <w:tab/>
      </w:r>
      <w:r w:rsidRPr="0071027F">
        <w:rPr>
          <w:lang w:val="zh-CN" w:eastAsia="zh-CN"/>
        </w:rPr>
        <w:t>最后的考虑</w:t>
      </w:r>
    </w:p>
    <w:p w14:paraId="73C51C77" w14:textId="17F446AA" w:rsidR="00023684" w:rsidRPr="00E46BA1" w:rsidRDefault="00023684" w:rsidP="0071027F">
      <w:pPr>
        <w:ind w:firstLineChars="200" w:firstLine="480"/>
        <w:rPr>
          <w:lang w:eastAsia="zh-CN"/>
        </w:rPr>
      </w:pPr>
      <w:r>
        <w:rPr>
          <w:lang w:val="zh-CN" w:eastAsia="zh-CN"/>
        </w:rPr>
        <w:t>阿根廷主管部门认为，为与理事会第</w:t>
      </w:r>
      <w:r>
        <w:rPr>
          <w:lang w:val="zh-CN" w:eastAsia="zh-CN"/>
        </w:rPr>
        <w:t>482</w:t>
      </w:r>
      <w:r>
        <w:rPr>
          <w:lang w:val="zh-CN" w:eastAsia="zh-CN"/>
        </w:rPr>
        <w:t>号决定开展的活动相关的间接</w:t>
      </w:r>
      <w:r w:rsidR="00E51FC8">
        <w:rPr>
          <w:rFonts w:hint="eastAsia"/>
          <w:lang w:val="zh-CN" w:eastAsia="zh-CN"/>
        </w:rPr>
        <w:t>成本</w:t>
      </w:r>
      <w:r>
        <w:rPr>
          <w:lang w:val="zh-CN" w:eastAsia="zh-CN"/>
        </w:rPr>
        <w:t>建立一个明确的框架将有助于：</w:t>
      </w:r>
    </w:p>
    <w:p w14:paraId="6BE2076D" w14:textId="59DAFD48"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增强成本回收制度的透明度和信心</w:t>
      </w:r>
      <w:r w:rsidR="00E51FC8">
        <w:rPr>
          <w:rFonts w:hint="eastAsia"/>
          <w:lang w:val="zh-CN" w:eastAsia="zh-CN"/>
        </w:rPr>
        <w:t>；</w:t>
      </w:r>
    </w:p>
    <w:p w14:paraId="5943C6B9" w14:textId="742CB28A"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确保均衡和成比例地执行第</w:t>
      </w:r>
      <w:r>
        <w:rPr>
          <w:lang w:val="zh-CN" w:eastAsia="zh-CN"/>
        </w:rPr>
        <w:t>482</w:t>
      </w:r>
      <w:r>
        <w:rPr>
          <w:lang w:val="zh-CN" w:eastAsia="zh-CN"/>
        </w:rPr>
        <w:t>号决定</w:t>
      </w:r>
      <w:r w:rsidR="00E51FC8">
        <w:rPr>
          <w:rFonts w:hint="eastAsia"/>
          <w:lang w:val="zh-CN" w:eastAsia="zh-CN"/>
        </w:rPr>
        <w:t>；</w:t>
      </w:r>
      <w:r>
        <w:rPr>
          <w:lang w:val="zh-CN" w:eastAsia="zh-CN"/>
        </w:rPr>
        <w:t>和</w:t>
      </w:r>
    </w:p>
    <w:p w14:paraId="182B973A" w14:textId="71CA41B4" w:rsidR="00023684" w:rsidRPr="00E46BA1" w:rsidRDefault="00023684" w:rsidP="00023684">
      <w:pPr>
        <w:pStyle w:val="enumlev1"/>
        <w:rPr>
          <w:lang w:eastAsia="zh-CN"/>
        </w:rPr>
      </w:pPr>
      <w:r>
        <w:rPr>
          <w:lang w:val="zh-CN" w:eastAsia="zh-CN"/>
        </w:rPr>
        <w:t>–</w:t>
      </w:r>
      <w:r w:rsidR="00E51FC8">
        <w:rPr>
          <w:lang w:val="zh-CN" w:eastAsia="zh-CN"/>
        </w:rPr>
        <w:tab/>
      </w:r>
      <w:r>
        <w:rPr>
          <w:lang w:val="zh-CN" w:eastAsia="zh-CN"/>
        </w:rPr>
        <w:t>促进平等使用轨道频谱资源。</w:t>
      </w:r>
    </w:p>
    <w:p w14:paraId="0F54F894" w14:textId="77777777" w:rsidR="00E323D0" w:rsidRDefault="00E323D0" w:rsidP="001F681B">
      <w:pPr>
        <w:rPr>
          <w:lang w:eastAsia="zh-CN"/>
        </w:rPr>
      </w:pPr>
    </w:p>
    <w:p w14:paraId="49D10C1F" w14:textId="77777777" w:rsidR="00E323D0" w:rsidRPr="00E323D0" w:rsidRDefault="00E323D0" w:rsidP="00E323D0">
      <w:pPr>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CA72" w14:textId="77777777" w:rsidR="00844B90" w:rsidRDefault="00844B90">
      <w:r>
        <w:separator/>
      </w:r>
    </w:p>
  </w:endnote>
  <w:endnote w:type="continuationSeparator" w:id="0">
    <w:p w14:paraId="7F3280D3" w14:textId="77777777" w:rsidR="00844B90" w:rsidRDefault="0084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57E7BAD" w14:textId="77777777" w:rsidTr="00E31DCE">
      <w:trPr>
        <w:jc w:val="center"/>
      </w:trPr>
      <w:tc>
        <w:tcPr>
          <w:tcW w:w="1803" w:type="dxa"/>
          <w:vAlign w:val="center"/>
        </w:tcPr>
        <w:p w14:paraId="3B034609" w14:textId="20E40279" w:rsidR="00E24D59" w:rsidRPr="0068421B"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8421B">
            <w:rPr>
              <w:rFonts w:eastAsiaTheme="minorEastAsia" w:hint="eastAsia"/>
              <w:noProof/>
              <w:color w:val="808080" w:themeColor="background1" w:themeShade="80"/>
              <w:lang w:eastAsia="zh-CN"/>
            </w:rPr>
            <w:t xml:space="preserve"> 260</w:t>
          </w:r>
          <w:r w:rsidR="001F681B">
            <w:rPr>
              <w:rFonts w:eastAsiaTheme="minorEastAsia"/>
              <w:noProof/>
              <w:color w:val="808080" w:themeColor="background1" w:themeShade="80"/>
              <w:lang w:eastAsia="zh-CN"/>
            </w:rPr>
            <w:t>1127</w:t>
          </w:r>
        </w:p>
      </w:tc>
      <w:tc>
        <w:tcPr>
          <w:tcW w:w="8261" w:type="dxa"/>
        </w:tcPr>
        <w:p w14:paraId="07A2A41C" w14:textId="1C13032E" w:rsidR="00E24D59" w:rsidRPr="00A13406" w:rsidRDefault="00E24D59" w:rsidP="001F681B">
          <w:pPr>
            <w:pStyle w:val="Header"/>
            <w:tabs>
              <w:tab w:val="left" w:pos="6448"/>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6929AE">
            <w:rPr>
              <w:rFonts w:eastAsiaTheme="minorEastAsia" w:hint="eastAsia"/>
              <w:bCs/>
              <w:color w:val="808080" w:themeColor="background1" w:themeShade="80"/>
              <w:lang w:eastAsia="zh-CN"/>
            </w:rPr>
            <w:t>84</w:t>
          </w:r>
          <w:r w:rsidR="001F681B">
            <w:rPr>
              <w:rFonts w:eastAsiaTheme="minorEastAsia"/>
              <w:bCs/>
              <w:color w:val="808080" w:themeColor="background1" w:themeShade="80"/>
              <w:lang w:eastAsia="zh-CN"/>
            </w:rPr>
            <w:t>(Rev.1)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05B437C"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8819EF3" w14:textId="77777777" w:rsidTr="00E31DCE">
      <w:trPr>
        <w:jc w:val="center"/>
      </w:trPr>
      <w:tc>
        <w:tcPr>
          <w:tcW w:w="1803" w:type="dxa"/>
          <w:vAlign w:val="center"/>
        </w:tcPr>
        <w:p w14:paraId="4C658A28"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E720DA0" w14:textId="52D77256" w:rsidR="00E24D59" w:rsidRPr="00A13406" w:rsidRDefault="00E24D59" w:rsidP="001F681B">
          <w:pPr>
            <w:pStyle w:val="Header"/>
            <w:tabs>
              <w:tab w:val="left" w:pos="6589"/>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023684">
            <w:rPr>
              <w:rFonts w:eastAsiaTheme="minorEastAsia" w:hint="eastAsia"/>
              <w:bCs/>
              <w:color w:val="808080" w:themeColor="background1" w:themeShade="80"/>
              <w:lang w:eastAsia="zh-CN"/>
            </w:rPr>
            <w:t>84</w:t>
          </w:r>
          <w:r w:rsidR="001F681B">
            <w:rPr>
              <w:rFonts w:eastAsiaTheme="minorEastAsia"/>
              <w:bCs/>
              <w:color w:val="808080" w:themeColor="background1" w:themeShade="80"/>
              <w:lang w:eastAsia="zh-CN"/>
            </w:rPr>
            <w:t>(Rev.1)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FBB9271"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625A" w14:textId="77777777" w:rsidR="00844B90" w:rsidRDefault="00844B90">
      <w:r>
        <w:t>____________________</w:t>
      </w:r>
    </w:p>
  </w:footnote>
  <w:footnote w:type="continuationSeparator" w:id="0">
    <w:p w14:paraId="229079D0" w14:textId="77777777" w:rsidR="00844B90" w:rsidRDefault="0084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C152"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48"/>
    <w:rsid w:val="00001B77"/>
    <w:rsid w:val="0000517A"/>
    <w:rsid w:val="0000538F"/>
    <w:rsid w:val="00023684"/>
    <w:rsid w:val="00031E72"/>
    <w:rsid w:val="00035CFD"/>
    <w:rsid w:val="000364E2"/>
    <w:rsid w:val="000404D2"/>
    <w:rsid w:val="00051501"/>
    <w:rsid w:val="00063321"/>
    <w:rsid w:val="000646BD"/>
    <w:rsid w:val="00065C46"/>
    <w:rsid w:val="0008180C"/>
    <w:rsid w:val="000853C0"/>
    <w:rsid w:val="00093DD9"/>
    <w:rsid w:val="0009409E"/>
    <w:rsid w:val="000A1C21"/>
    <w:rsid w:val="000A48B3"/>
    <w:rsid w:val="000C0BC5"/>
    <w:rsid w:val="000D15EA"/>
    <w:rsid w:val="000D249F"/>
    <w:rsid w:val="000D7012"/>
    <w:rsid w:val="000E13C4"/>
    <w:rsid w:val="000F2DCF"/>
    <w:rsid w:val="00100D84"/>
    <w:rsid w:val="00124C9D"/>
    <w:rsid w:val="0012681C"/>
    <w:rsid w:val="001305DE"/>
    <w:rsid w:val="0015333E"/>
    <w:rsid w:val="00154460"/>
    <w:rsid w:val="00157773"/>
    <w:rsid w:val="0018251A"/>
    <w:rsid w:val="00190272"/>
    <w:rsid w:val="00193244"/>
    <w:rsid w:val="00195C6C"/>
    <w:rsid w:val="00195FED"/>
    <w:rsid w:val="001A4BD6"/>
    <w:rsid w:val="001B6E2B"/>
    <w:rsid w:val="001C6A66"/>
    <w:rsid w:val="001C714E"/>
    <w:rsid w:val="001D0466"/>
    <w:rsid w:val="001D5A18"/>
    <w:rsid w:val="001F47F2"/>
    <w:rsid w:val="001F681B"/>
    <w:rsid w:val="00205B90"/>
    <w:rsid w:val="00215132"/>
    <w:rsid w:val="00220C45"/>
    <w:rsid w:val="00224449"/>
    <w:rsid w:val="00240136"/>
    <w:rsid w:val="00242A97"/>
    <w:rsid w:val="00277DEA"/>
    <w:rsid w:val="00280EB8"/>
    <w:rsid w:val="002916B4"/>
    <w:rsid w:val="002A1D39"/>
    <w:rsid w:val="002A6670"/>
    <w:rsid w:val="002A71A7"/>
    <w:rsid w:val="002B64C3"/>
    <w:rsid w:val="002B6ABF"/>
    <w:rsid w:val="002C3F32"/>
    <w:rsid w:val="002D2A48"/>
    <w:rsid w:val="002E7FB0"/>
    <w:rsid w:val="00303502"/>
    <w:rsid w:val="003079BD"/>
    <w:rsid w:val="00313763"/>
    <w:rsid w:val="00316E90"/>
    <w:rsid w:val="00325C25"/>
    <w:rsid w:val="00336337"/>
    <w:rsid w:val="00372C8F"/>
    <w:rsid w:val="0037479B"/>
    <w:rsid w:val="00380ECE"/>
    <w:rsid w:val="00381D60"/>
    <w:rsid w:val="00393DDF"/>
    <w:rsid w:val="00397F55"/>
    <w:rsid w:val="003B4454"/>
    <w:rsid w:val="003C2E37"/>
    <w:rsid w:val="003C437B"/>
    <w:rsid w:val="003C5536"/>
    <w:rsid w:val="003D71E0"/>
    <w:rsid w:val="003E22C5"/>
    <w:rsid w:val="003F086E"/>
    <w:rsid w:val="003F1415"/>
    <w:rsid w:val="0040144C"/>
    <w:rsid w:val="00403EB7"/>
    <w:rsid w:val="004111B3"/>
    <w:rsid w:val="004178E6"/>
    <w:rsid w:val="00430BF0"/>
    <w:rsid w:val="00433F32"/>
    <w:rsid w:val="00465C35"/>
    <w:rsid w:val="004672E6"/>
    <w:rsid w:val="00474ED1"/>
    <w:rsid w:val="00477D57"/>
    <w:rsid w:val="00481498"/>
    <w:rsid w:val="00491BA9"/>
    <w:rsid w:val="00493085"/>
    <w:rsid w:val="004930F3"/>
    <w:rsid w:val="004A36EC"/>
    <w:rsid w:val="004C7D99"/>
    <w:rsid w:val="004D163F"/>
    <w:rsid w:val="004D24BE"/>
    <w:rsid w:val="004E1ACA"/>
    <w:rsid w:val="004E4BFF"/>
    <w:rsid w:val="004F2598"/>
    <w:rsid w:val="005403F7"/>
    <w:rsid w:val="00540632"/>
    <w:rsid w:val="00541CF4"/>
    <w:rsid w:val="00544B2E"/>
    <w:rsid w:val="005451E8"/>
    <w:rsid w:val="005507F2"/>
    <w:rsid w:val="00555C29"/>
    <w:rsid w:val="00566346"/>
    <w:rsid w:val="005759CC"/>
    <w:rsid w:val="00576C08"/>
    <w:rsid w:val="00581B24"/>
    <w:rsid w:val="00586125"/>
    <w:rsid w:val="005A72E1"/>
    <w:rsid w:val="005C6632"/>
    <w:rsid w:val="005D1C9E"/>
    <w:rsid w:val="005E5C37"/>
    <w:rsid w:val="00602842"/>
    <w:rsid w:val="00614DF8"/>
    <w:rsid w:val="00616F91"/>
    <w:rsid w:val="00626728"/>
    <w:rsid w:val="00630DD5"/>
    <w:rsid w:val="00637584"/>
    <w:rsid w:val="00645CC8"/>
    <w:rsid w:val="00654257"/>
    <w:rsid w:val="0065435A"/>
    <w:rsid w:val="006657AD"/>
    <w:rsid w:val="00670D8A"/>
    <w:rsid w:val="00672315"/>
    <w:rsid w:val="0068421B"/>
    <w:rsid w:val="006929AE"/>
    <w:rsid w:val="006967C2"/>
    <w:rsid w:val="006A2DD3"/>
    <w:rsid w:val="006A5113"/>
    <w:rsid w:val="006A5AF8"/>
    <w:rsid w:val="006C36CD"/>
    <w:rsid w:val="00700D1F"/>
    <w:rsid w:val="00704FB4"/>
    <w:rsid w:val="0071027F"/>
    <w:rsid w:val="007205CB"/>
    <w:rsid w:val="0072138B"/>
    <w:rsid w:val="00725601"/>
    <w:rsid w:val="00726073"/>
    <w:rsid w:val="00734FE8"/>
    <w:rsid w:val="007360CE"/>
    <w:rsid w:val="00745200"/>
    <w:rsid w:val="00751D72"/>
    <w:rsid w:val="0077110E"/>
    <w:rsid w:val="00772315"/>
    <w:rsid w:val="00775157"/>
    <w:rsid w:val="007813AE"/>
    <w:rsid w:val="00797821"/>
    <w:rsid w:val="007A37DB"/>
    <w:rsid w:val="007B47A6"/>
    <w:rsid w:val="007B652E"/>
    <w:rsid w:val="007E189D"/>
    <w:rsid w:val="007E27A5"/>
    <w:rsid w:val="007F0210"/>
    <w:rsid w:val="0080607B"/>
    <w:rsid w:val="00806E3F"/>
    <w:rsid w:val="00811259"/>
    <w:rsid w:val="00813AA2"/>
    <w:rsid w:val="008173A3"/>
    <w:rsid w:val="00820AA2"/>
    <w:rsid w:val="008418F5"/>
    <w:rsid w:val="00844B90"/>
    <w:rsid w:val="0084546D"/>
    <w:rsid w:val="0086059C"/>
    <w:rsid w:val="00864589"/>
    <w:rsid w:val="00867F87"/>
    <w:rsid w:val="00872C03"/>
    <w:rsid w:val="00874373"/>
    <w:rsid w:val="00874C82"/>
    <w:rsid w:val="00890AFB"/>
    <w:rsid w:val="00890FC4"/>
    <w:rsid w:val="00895905"/>
    <w:rsid w:val="008A2BFB"/>
    <w:rsid w:val="008F64AD"/>
    <w:rsid w:val="00911230"/>
    <w:rsid w:val="00911867"/>
    <w:rsid w:val="009164A9"/>
    <w:rsid w:val="00916ED1"/>
    <w:rsid w:val="009258CB"/>
    <w:rsid w:val="0093362E"/>
    <w:rsid w:val="00944563"/>
    <w:rsid w:val="00944CAC"/>
    <w:rsid w:val="00953160"/>
    <w:rsid w:val="009625D8"/>
    <w:rsid w:val="00983878"/>
    <w:rsid w:val="0098459B"/>
    <w:rsid w:val="00997185"/>
    <w:rsid w:val="009A3456"/>
    <w:rsid w:val="009A76A8"/>
    <w:rsid w:val="009C2458"/>
    <w:rsid w:val="009C4A7B"/>
    <w:rsid w:val="009C6123"/>
    <w:rsid w:val="009C6DC3"/>
    <w:rsid w:val="009D3AF6"/>
    <w:rsid w:val="009F1E3E"/>
    <w:rsid w:val="009F3D39"/>
    <w:rsid w:val="00A01F4F"/>
    <w:rsid w:val="00A109AF"/>
    <w:rsid w:val="00A1213C"/>
    <w:rsid w:val="00A13406"/>
    <w:rsid w:val="00A272FF"/>
    <w:rsid w:val="00A31981"/>
    <w:rsid w:val="00A403A1"/>
    <w:rsid w:val="00A41287"/>
    <w:rsid w:val="00A5354B"/>
    <w:rsid w:val="00A71B57"/>
    <w:rsid w:val="00A83AFD"/>
    <w:rsid w:val="00AA2E08"/>
    <w:rsid w:val="00AB42C1"/>
    <w:rsid w:val="00AC516F"/>
    <w:rsid w:val="00AE101F"/>
    <w:rsid w:val="00AE195F"/>
    <w:rsid w:val="00AE2926"/>
    <w:rsid w:val="00B0184B"/>
    <w:rsid w:val="00B035CD"/>
    <w:rsid w:val="00B0769D"/>
    <w:rsid w:val="00B217F8"/>
    <w:rsid w:val="00B326AA"/>
    <w:rsid w:val="00B332EA"/>
    <w:rsid w:val="00B370A0"/>
    <w:rsid w:val="00B40A53"/>
    <w:rsid w:val="00B45365"/>
    <w:rsid w:val="00B45542"/>
    <w:rsid w:val="00B46A65"/>
    <w:rsid w:val="00B60184"/>
    <w:rsid w:val="00B612A6"/>
    <w:rsid w:val="00B62D20"/>
    <w:rsid w:val="00B71B67"/>
    <w:rsid w:val="00B81E75"/>
    <w:rsid w:val="00B83CE3"/>
    <w:rsid w:val="00B90A2C"/>
    <w:rsid w:val="00B91673"/>
    <w:rsid w:val="00B93453"/>
    <w:rsid w:val="00B9445B"/>
    <w:rsid w:val="00BC0184"/>
    <w:rsid w:val="00BD0954"/>
    <w:rsid w:val="00BD0C0C"/>
    <w:rsid w:val="00BD1A5A"/>
    <w:rsid w:val="00BD7A9B"/>
    <w:rsid w:val="00BD7BE1"/>
    <w:rsid w:val="00BE2015"/>
    <w:rsid w:val="00BF416B"/>
    <w:rsid w:val="00C22AF8"/>
    <w:rsid w:val="00C24DAC"/>
    <w:rsid w:val="00C27780"/>
    <w:rsid w:val="00C45EB2"/>
    <w:rsid w:val="00C63BAC"/>
    <w:rsid w:val="00C64AEE"/>
    <w:rsid w:val="00C64E4E"/>
    <w:rsid w:val="00C66E64"/>
    <w:rsid w:val="00C679A1"/>
    <w:rsid w:val="00C7578D"/>
    <w:rsid w:val="00C761A0"/>
    <w:rsid w:val="00C85F7E"/>
    <w:rsid w:val="00C90D53"/>
    <w:rsid w:val="00CA0B2E"/>
    <w:rsid w:val="00CA260A"/>
    <w:rsid w:val="00CA6EF7"/>
    <w:rsid w:val="00CB1F7F"/>
    <w:rsid w:val="00CC4726"/>
    <w:rsid w:val="00CD47F0"/>
    <w:rsid w:val="00CD5566"/>
    <w:rsid w:val="00CD64D7"/>
    <w:rsid w:val="00CE2FCB"/>
    <w:rsid w:val="00CE6F22"/>
    <w:rsid w:val="00CF41F6"/>
    <w:rsid w:val="00CF7D3E"/>
    <w:rsid w:val="00D01C99"/>
    <w:rsid w:val="00D02B4E"/>
    <w:rsid w:val="00D21F11"/>
    <w:rsid w:val="00D36817"/>
    <w:rsid w:val="00D453EE"/>
    <w:rsid w:val="00D5666C"/>
    <w:rsid w:val="00D666BC"/>
    <w:rsid w:val="00D83542"/>
    <w:rsid w:val="00D855A0"/>
    <w:rsid w:val="00D85DBD"/>
    <w:rsid w:val="00D87C3A"/>
    <w:rsid w:val="00D92F45"/>
    <w:rsid w:val="00D94637"/>
    <w:rsid w:val="00D9725C"/>
    <w:rsid w:val="00DA0E66"/>
    <w:rsid w:val="00DA2D30"/>
    <w:rsid w:val="00DA7006"/>
    <w:rsid w:val="00DB3621"/>
    <w:rsid w:val="00DC03CE"/>
    <w:rsid w:val="00DC6427"/>
    <w:rsid w:val="00DD62F5"/>
    <w:rsid w:val="00DD66A1"/>
    <w:rsid w:val="00DE196D"/>
    <w:rsid w:val="00DF6B49"/>
    <w:rsid w:val="00E067C5"/>
    <w:rsid w:val="00E24D59"/>
    <w:rsid w:val="00E265BF"/>
    <w:rsid w:val="00E323D0"/>
    <w:rsid w:val="00E34C96"/>
    <w:rsid w:val="00E370C4"/>
    <w:rsid w:val="00E378D8"/>
    <w:rsid w:val="00E43A12"/>
    <w:rsid w:val="00E47F9E"/>
    <w:rsid w:val="00E51F6D"/>
    <w:rsid w:val="00E51FC8"/>
    <w:rsid w:val="00E657C2"/>
    <w:rsid w:val="00E67128"/>
    <w:rsid w:val="00E67C67"/>
    <w:rsid w:val="00E77476"/>
    <w:rsid w:val="00E8228B"/>
    <w:rsid w:val="00EA3D74"/>
    <w:rsid w:val="00EA6AC5"/>
    <w:rsid w:val="00EE5706"/>
    <w:rsid w:val="00EF373D"/>
    <w:rsid w:val="00EF6BCB"/>
    <w:rsid w:val="00F11595"/>
    <w:rsid w:val="00F13BC9"/>
    <w:rsid w:val="00F274A7"/>
    <w:rsid w:val="00F357B2"/>
    <w:rsid w:val="00F36556"/>
    <w:rsid w:val="00F6736A"/>
    <w:rsid w:val="00F705DF"/>
    <w:rsid w:val="00F70622"/>
    <w:rsid w:val="00F85624"/>
    <w:rsid w:val="00F87C05"/>
    <w:rsid w:val="00F93191"/>
    <w:rsid w:val="00F93A17"/>
    <w:rsid w:val="00F9695D"/>
    <w:rsid w:val="00FA2AF6"/>
    <w:rsid w:val="00FA2D7B"/>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26A96"/>
  <w15:docId w15:val="{49112931-00C3-4D5B-A23A-B1DE3872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pub/R-REG-RR-2024"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4</Pages>
  <Words>244</Words>
  <Characters>1851</Characters>
  <Application>Microsoft Office Word</Application>
  <DocSecurity>4</DocSecurity>
  <Lines>39</Lines>
  <Paragraphs>23</Paragraphs>
  <ScaleCrop>false</ScaleCrop>
  <HeadingPairs>
    <vt:vector size="2" baseType="variant">
      <vt:variant>
        <vt:lpstr>Title</vt:lpstr>
      </vt:variant>
      <vt:variant>
        <vt:i4>1</vt:i4>
      </vt:variant>
    </vt:vector>
  </HeadingPairs>
  <TitlesOfParts>
    <vt:vector size="1" baseType="lpstr">
      <vt:lpstr>Clear, consistent and respectful time management for ITU conferences and assemblies</vt:lpstr>
    </vt:vector>
  </TitlesOfParts>
  <Manager>General Secretariat - Pool</Manager>
  <Company>International Telecommunication Union (ITU)</Company>
  <LinksUpToDate>false</LinksUpToDate>
  <CharactersWithSpaces>2072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Decision 482 - Case study on indirect costs associated with satellite network and system filings and proposed methodological framework</dc:title>
  <dc:subject>ITU Council 2026</dc:subject>
  <cp:keywords>C26; C2026; Council 2026; PP26</cp:keywords>
  <dc:description/>
  <cp:lastPrinted>2015-02-24T13:23:00Z</cp:lastPrinted>
  <dcterms:created xsi:type="dcterms:W3CDTF">2026-04-30T13:01:00Z</dcterms:created>
  <dcterms:modified xsi:type="dcterms:W3CDTF">2026-04-30T13:01:00Z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