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46BA1" w14:paraId="370421EC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763EE65" w14:textId="71D220C6" w:rsidR="00AD3606" w:rsidRPr="00E46BA1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  <w:lang w:val="en-GB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E46BA1">
              <w:rPr>
                <w:b/>
                <w:color w:val="000000"/>
                <w:lang w:val="en-GB"/>
              </w:rPr>
              <w:t xml:space="preserve">Agenda item: </w:t>
            </w:r>
            <w:r w:rsidR="00D72BCF" w:rsidRPr="00E46BA1">
              <w:rPr>
                <w:b/>
                <w:color w:val="000000"/>
                <w:lang w:val="en-GB"/>
              </w:rPr>
              <w:t>ADM 1</w:t>
            </w:r>
          </w:p>
        </w:tc>
        <w:tc>
          <w:tcPr>
            <w:tcW w:w="5245" w:type="dxa"/>
          </w:tcPr>
          <w:p w14:paraId="4FBD94D9" w14:textId="0321665C" w:rsidR="00AD3606" w:rsidRPr="00E46BA1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GB"/>
              </w:rPr>
            </w:pPr>
            <w:r w:rsidRPr="00E46BA1">
              <w:rPr>
                <w:b/>
                <w:color w:val="000000"/>
                <w:lang w:val="en-GB"/>
              </w:rPr>
              <w:t>Document C2</w:t>
            </w:r>
            <w:r w:rsidR="00DE532B" w:rsidRPr="00E46BA1">
              <w:rPr>
                <w:b/>
                <w:color w:val="000000"/>
                <w:lang w:val="en-GB"/>
              </w:rPr>
              <w:t>6</w:t>
            </w:r>
            <w:r w:rsidRPr="00E46BA1">
              <w:rPr>
                <w:b/>
                <w:color w:val="000000"/>
                <w:lang w:val="en-GB"/>
              </w:rPr>
              <w:t>/</w:t>
            </w:r>
            <w:r w:rsidR="00D72BCF" w:rsidRPr="00E46BA1">
              <w:rPr>
                <w:b/>
                <w:color w:val="000000"/>
                <w:lang w:val="en-GB"/>
              </w:rPr>
              <w:t>84</w:t>
            </w:r>
            <w:r w:rsidRPr="00E46BA1">
              <w:rPr>
                <w:b/>
                <w:color w:val="000000"/>
                <w:lang w:val="en-GB"/>
              </w:rPr>
              <w:t>-E</w:t>
            </w:r>
          </w:p>
        </w:tc>
      </w:tr>
      <w:tr w:rsidR="00AD3606" w:rsidRPr="00E46BA1" w14:paraId="272126EF" w14:textId="77777777" w:rsidTr="00954C49">
        <w:trPr>
          <w:cantSplit/>
        </w:trPr>
        <w:tc>
          <w:tcPr>
            <w:tcW w:w="3969" w:type="dxa"/>
            <w:vMerge/>
          </w:tcPr>
          <w:p w14:paraId="34963373" w14:textId="77777777" w:rsidR="00AD3606" w:rsidRPr="00E46BA1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1409F05" w14:textId="1F891432" w:rsidR="00AD3606" w:rsidRPr="00E46BA1" w:rsidRDefault="00D72BCF" w:rsidP="00954C49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 w:rsidRPr="00E46BA1">
              <w:rPr>
                <w:b/>
                <w:color w:val="000000"/>
                <w:lang w:val="en-GB"/>
              </w:rPr>
              <w:t>14 April 2026</w:t>
            </w:r>
          </w:p>
        </w:tc>
      </w:tr>
      <w:tr w:rsidR="00AD3606" w:rsidRPr="00E46BA1" w14:paraId="2DABE59C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3DDF676E" w14:textId="77777777" w:rsidR="00AD3606" w:rsidRPr="00E46BA1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E8FCCAD" w14:textId="674E1C3E" w:rsidR="00AD3606" w:rsidRPr="00E46BA1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GB"/>
              </w:rPr>
            </w:pPr>
            <w:r w:rsidRPr="00E46BA1">
              <w:rPr>
                <w:b/>
                <w:color w:val="000000"/>
                <w:lang w:val="en-GB"/>
              </w:rPr>
              <w:t xml:space="preserve">Original: </w:t>
            </w:r>
            <w:r w:rsidR="00D72BCF" w:rsidRPr="00E46BA1">
              <w:rPr>
                <w:b/>
                <w:color w:val="000000"/>
                <w:lang w:val="en-GB"/>
              </w:rPr>
              <w:t>Spanish</w:t>
            </w:r>
          </w:p>
        </w:tc>
      </w:tr>
      <w:tr w:rsidR="00472BAD" w:rsidRPr="00E46BA1" w14:paraId="1B5260F3" w14:textId="77777777" w:rsidTr="00954C49">
        <w:trPr>
          <w:cantSplit/>
          <w:trHeight w:val="23"/>
        </w:trPr>
        <w:tc>
          <w:tcPr>
            <w:tcW w:w="3969" w:type="dxa"/>
          </w:tcPr>
          <w:p w14:paraId="36946691" w14:textId="77777777" w:rsidR="00472BAD" w:rsidRPr="00E46BA1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762F9ACB" w14:textId="77777777" w:rsidR="00472BAD" w:rsidRPr="00E46BA1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GB"/>
              </w:rPr>
            </w:pPr>
          </w:p>
        </w:tc>
      </w:tr>
      <w:tr w:rsidR="00AD3606" w:rsidRPr="009D3F73" w14:paraId="2B2D232A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25DFFDA" w14:textId="2B624BE0" w:rsidR="00AD3606" w:rsidRPr="00E46BA1" w:rsidRDefault="00D72BCF" w:rsidP="00E46BA1">
            <w:pPr>
              <w:pStyle w:val="Source"/>
              <w:jc w:val="left"/>
              <w:rPr>
                <w:lang w:val="en-GB"/>
              </w:rPr>
            </w:pPr>
            <w:bookmarkStart w:id="8" w:name="dsource" w:colFirst="0" w:colLast="0"/>
            <w:bookmarkEnd w:id="7"/>
            <w:r w:rsidRPr="00E46BA1">
              <w:rPr>
                <w:color w:val="000000"/>
                <w:sz w:val="32"/>
                <w:szCs w:val="22"/>
                <w:lang w:val="en-GB"/>
              </w:rPr>
              <w:t xml:space="preserve">Contribution </w:t>
            </w:r>
            <w:r w:rsidR="00DE5AE9" w:rsidRPr="00E46BA1">
              <w:rPr>
                <w:color w:val="000000"/>
                <w:sz w:val="32"/>
                <w:szCs w:val="22"/>
                <w:lang w:val="en-GB"/>
              </w:rPr>
              <w:t>by</w:t>
            </w:r>
            <w:r w:rsidRPr="00E46BA1">
              <w:rPr>
                <w:color w:val="000000"/>
                <w:sz w:val="32"/>
                <w:szCs w:val="22"/>
                <w:lang w:val="en-GB"/>
              </w:rPr>
              <w:t xml:space="preserve"> </w:t>
            </w:r>
            <w:r w:rsidR="00DE5AE9" w:rsidRPr="00E46BA1">
              <w:rPr>
                <w:color w:val="000000"/>
                <w:sz w:val="32"/>
                <w:szCs w:val="22"/>
                <w:lang w:val="en-GB"/>
              </w:rPr>
              <w:t xml:space="preserve">the </w:t>
            </w:r>
            <w:r w:rsidRPr="00E46BA1">
              <w:rPr>
                <w:color w:val="000000"/>
                <w:sz w:val="32"/>
                <w:szCs w:val="22"/>
                <w:lang w:val="en-GB"/>
              </w:rPr>
              <w:t>Argentine Republic</w:t>
            </w:r>
          </w:p>
        </w:tc>
      </w:tr>
      <w:tr w:rsidR="00AD3606" w:rsidRPr="009D3F73" w14:paraId="1EADBE0D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DAADB58" w14:textId="7896F6C2" w:rsidR="00AD3606" w:rsidRPr="00E46BA1" w:rsidRDefault="00587A8E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E46BA1">
              <w:rPr>
                <w:color w:val="000000"/>
              </w:rPr>
              <w:t xml:space="preserve">APPLICATION OF DECISION 482 </w:t>
            </w:r>
            <w:r>
              <w:rPr>
                <w:color w:val="000000"/>
              </w:rPr>
              <w:t>–</w:t>
            </w:r>
            <w:r w:rsidRPr="00E46BA1">
              <w:rPr>
                <w:color w:val="000000"/>
              </w:rPr>
              <w:t xml:space="preserve"> CASE STUDY ON INDIRECT COSTS ASSOCIATED WITH SATELLITE NETWORK AND SYSTEM FILINGS AND PROPOSED METHODOLOGICAL FRAMEWORK </w:t>
            </w:r>
          </w:p>
        </w:tc>
      </w:tr>
      <w:tr w:rsidR="00AD3606" w:rsidRPr="009D3F73" w14:paraId="3F24A820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A60AE9A" w14:textId="77777777" w:rsidR="00AD3606" w:rsidRPr="00E46BA1" w:rsidRDefault="00F16BAB" w:rsidP="00954C49">
            <w:pPr>
              <w:spacing w:before="160"/>
              <w:rPr>
                <w:b/>
                <w:bCs/>
                <w:sz w:val="26"/>
                <w:szCs w:val="26"/>
                <w:lang w:val="en-GB"/>
              </w:rPr>
            </w:pPr>
            <w:r w:rsidRPr="00E46BA1">
              <w:rPr>
                <w:b/>
                <w:bCs/>
                <w:color w:val="000000"/>
                <w:sz w:val="26"/>
                <w:szCs w:val="26"/>
                <w:lang w:val="en-GB"/>
              </w:rPr>
              <w:t>Purpose</w:t>
            </w:r>
          </w:p>
          <w:p w14:paraId="3A16EE10" w14:textId="22C3BB94" w:rsidR="00AD3606" w:rsidRPr="00E46BA1" w:rsidRDefault="00D72BCF" w:rsidP="00587A8E">
            <w:pPr>
              <w:jc w:val="both"/>
              <w:rPr>
                <w:lang w:val="en-GB"/>
              </w:rPr>
            </w:pPr>
            <w:r w:rsidRPr="00E46BA1">
              <w:rPr>
                <w:color w:val="000000"/>
                <w:lang w:val="en-GB"/>
              </w:rPr>
              <w:t xml:space="preserve">In this contribution, the Argentine Republic </w:t>
            </w:r>
            <w:r w:rsidR="00DE5AE9" w:rsidRPr="00E46BA1">
              <w:rPr>
                <w:color w:val="000000"/>
                <w:lang w:val="en-GB"/>
              </w:rPr>
              <w:t>aim</w:t>
            </w:r>
            <w:r w:rsidRPr="00E46BA1">
              <w:rPr>
                <w:color w:val="000000"/>
                <w:lang w:val="en-GB"/>
              </w:rPr>
              <w:t>s to provide economic and methodological input that will help to improve the predictability of the system and to ensure that costs recovered are proportional to services actually rendered.</w:t>
            </w:r>
          </w:p>
          <w:p w14:paraId="1CB7A46C" w14:textId="77777777" w:rsidR="00AD3606" w:rsidRPr="00E46BA1" w:rsidRDefault="00AD3606" w:rsidP="00954C49">
            <w:pPr>
              <w:spacing w:before="160"/>
              <w:rPr>
                <w:b/>
                <w:bCs/>
                <w:sz w:val="26"/>
                <w:szCs w:val="26"/>
                <w:lang w:val="en-GB"/>
              </w:rPr>
            </w:pPr>
            <w:r w:rsidRPr="00E46BA1">
              <w:rPr>
                <w:b/>
                <w:bCs/>
                <w:color w:val="000000"/>
                <w:sz w:val="26"/>
                <w:szCs w:val="26"/>
                <w:lang w:val="en-GB"/>
              </w:rPr>
              <w:t>Action required</w:t>
            </w:r>
            <w:r w:rsidR="00F16BAB" w:rsidRPr="00E46BA1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by the Council</w:t>
            </w:r>
          </w:p>
          <w:p w14:paraId="09C56770" w14:textId="77777777" w:rsidR="00D72BCF" w:rsidRPr="00E46BA1" w:rsidRDefault="00D72BCF" w:rsidP="00587A8E">
            <w:pPr>
              <w:jc w:val="both"/>
              <w:rPr>
                <w:lang w:val="en-GB"/>
              </w:rPr>
            </w:pPr>
            <w:r w:rsidRPr="00E46BA1">
              <w:rPr>
                <w:color w:val="000000"/>
                <w:lang w:val="en-GB"/>
              </w:rPr>
              <w:t>The ITU Council is invited to:</w:t>
            </w:r>
          </w:p>
          <w:p w14:paraId="751DE596" w14:textId="4BA0279A" w:rsidR="00D72BCF" w:rsidRPr="00E46BA1" w:rsidRDefault="00D72BCF" w:rsidP="00587A8E">
            <w:pPr>
              <w:pStyle w:val="enumlev1"/>
              <w:jc w:val="both"/>
              <w:rPr>
                <w:lang w:val="en-GB"/>
              </w:rPr>
            </w:pPr>
            <w:r w:rsidRPr="00E46BA1">
              <w:rPr>
                <w:color w:val="000000"/>
                <w:lang w:val="en-GB"/>
              </w:rPr>
              <w:t>–</w:t>
            </w:r>
            <w:r w:rsidRPr="00E46BA1">
              <w:rPr>
                <w:color w:val="000000"/>
                <w:lang w:val="en-GB"/>
              </w:rPr>
              <w:tab/>
            </w:r>
            <w:r w:rsidRPr="00E46BA1">
              <w:rPr>
                <w:b/>
                <w:bCs/>
                <w:color w:val="000000"/>
                <w:lang w:val="en-GB"/>
              </w:rPr>
              <w:t>take note</w:t>
            </w:r>
            <w:r w:rsidRPr="00E46BA1">
              <w:rPr>
                <w:color w:val="000000"/>
                <w:lang w:val="en-GB"/>
              </w:rPr>
              <w:t xml:space="preserve"> </w:t>
            </w:r>
            <w:r w:rsidR="00DE5AE9" w:rsidRPr="00E46BA1">
              <w:rPr>
                <w:color w:val="000000"/>
                <w:lang w:val="en-GB"/>
              </w:rPr>
              <w:t xml:space="preserve">of </w:t>
            </w:r>
            <w:r w:rsidRPr="00E46BA1">
              <w:rPr>
                <w:color w:val="000000"/>
                <w:lang w:val="en-GB"/>
              </w:rPr>
              <w:t xml:space="preserve">the case study presented by the Argentine Republic; and </w:t>
            </w:r>
          </w:p>
          <w:p w14:paraId="4C2B7716" w14:textId="5A1C2020" w:rsidR="00722551" w:rsidRPr="00E46BA1" w:rsidRDefault="00D72BCF" w:rsidP="00587A8E">
            <w:pPr>
              <w:ind w:left="567" w:hanging="567"/>
              <w:jc w:val="both"/>
              <w:rPr>
                <w:lang w:val="en-GB"/>
              </w:rPr>
            </w:pPr>
            <w:r w:rsidRPr="00E46BA1">
              <w:rPr>
                <w:color w:val="000000"/>
                <w:lang w:val="en-GB"/>
              </w:rPr>
              <w:t>–</w:t>
            </w:r>
            <w:r w:rsidRPr="00E46BA1">
              <w:rPr>
                <w:color w:val="000000"/>
                <w:lang w:val="en-GB"/>
              </w:rPr>
              <w:tab/>
            </w:r>
            <w:r w:rsidRPr="00E46BA1">
              <w:rPr>
                <w:b/>
                <w:bCs/>
                <w:color w:val="000000"/>
                <w:lang w:val="en-GB"/>
              </w:rPr>
              <w:t>consider</w:t>
            </w:r>
            <w:r w:rsidRPr="00E46BA1">
              <w:rPr>
                <w:color w:val="000000"/>
                <w:lang w:val="en-GB"/>
              </w:rPr>
              <w:t xml:space="preserve"> the proposed methodological framework as a basis for future discussions and possible adjustments to the application of ITU Council Decision 482.</w:t>
            </w:r>
          </w:p>
          <w:p w14:paraId="1C79E909" w14:textId="77777777" w:rsidR="00C0458D" w:rsidRPr="00E46BA1" w:rsidRDefault="00C0458D" w:rsidP="00954C49">
            <w:pPr>
              <w:rPr>
                <w:lang w:val="en-GB"/>
              </w:rPr>
            </w:pPr>
            <w:r w:rsidRPr="00E46BA1">
              <w:rPr>
                <w:color w:val="000000"/>
                <w:lang w:val="en-GB"/>
              </w:rPr>
              <w:t>_______________</w:t>
            </w:r>
          </w:p>
          <w:p w14:paraId="0BEDB917" w14:textId="77777777" w:rsidR="00AD3606" w:rsidRPr="00E46BA1" w:rsidRDefault="00AD3606" w:rsidP="00954C49">
            <w:pPr>
              <w:spacing w:before="160"/>
              <w:rPr>
                <w:b/>
                <w:bCs/>
                <w:sz w:val="26"/>
                <w:szCs w:val="26"/>
                <w:lang w:val="en-GB"/>
              </w:rPr>
            </w:pPr>
            <w:r w:rsidRPr="00E46BA1">
              <w:rPr>
                <w:b/>
                <w:bCs/>
                <w:color w:val="000000"/>
                <w:sz w:val="26"/>
                <w:szCs w:val="26"/>
                <w:lang w:val="en-GB"/>
              </w:rPr>
              <w:t>References</w:t>
            </w:r>
          </w:p>
          <w:p w14:paraId="39E27163" w14:textId="28F87366" w:rsidR="00AD3606" w:rsidRPr="00587A8E" w:rsidRDefault="00D72BCF" w:rsidP="00954C49">
            <w:pPr>
              <w:spacing w:after="160"/>
              <w:rPr>
                <w:i/>
                <w:iCs/>
                <w:sz w:val="22"/>
                <w:szCs w:val="22"/>
                <w:lang w:val="en-GB"/>
              </w:rPr>
            </w:pPr>
            <w:r w:rsidRPr="00587A8E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Council Decision </w:t>
            </w:r>
            <w:hyperlink r:id="rId8" w:history="1">
              <w:r w:rsidRPr="00587A8E">
                <w:rPr>
                  <w:rStyle w:val="Hyperlink"/>
                  <w:i/>
                  <w:iCs/>
                  <w:sz w:val="22"/>
                </w:rPr>
                <w:t>482 (</w:t>
              </w:r>
              <w:proofErr w:type="spellStart"/>
              <w:r w:rsidRPr="00587A8E">
                <w:rPr>
                  <w:rStyle w:val="Hyperlink"/>
                  <w:i/>
                  <w:iCs/>
                  <w:sz w:val="22"/>
                </w:rPr>
                <w:t>C01</w:t>
              </w:r>
              <w:proofErr w:type="spellEnd"/>
              <w:r w:rsidRPr="00587A8E">
                <w:rPr>
                  <w:rStyle w:val="Hyperlink"/>
                  <w:i/>
                  <w:iCs/>
                  <w:sz w:val="22"/>
                </w:rPr>
                <w:t xml:space="preserve">, last </w:t>
              </w:r>
              <w:proofErr w:type="spellStart"/>
              <w:r w:rsidRPr="00587A8E">
                <w:rPr>
                  <w:rStyle w:val="Hyperlink"/>
                  <w:i/>
                  <w:iCs/>
                  <w:sz w:val="22"/>
                </w:rPr>
                <w:t>amended</w:t>
              </w:r>
              <w:proofErr w:type="spellEnd"/>
              <w:r w:rsidRPr="00587A8E">
                <w:rPr>
                  <w:rStyle w:val="Hyperlink"/>
                  <w:i/>
                  <w:iCs/>
                  <w:sz w:val="22"/>
                </w:rPr>
                <w:t xml:space="preserve"> </w:t>
              </w:r>
              <w:proofErr w:type="spellStart"/>
              <w:r w:rsidRPr="00587A8E">
                <w:rPr>
                  <w:rStyle w:val="Hyperlink"/>
                  <w:i/>
                  <w:iCs/>
                  <w:sz w:val="22"/>
                </w:rPr>
                <w:t>C25</w:t>
              </w:r>
              <w:proofErr w:type="spellEnd"/>
              <w:r w:rsidRPr="00587A8E">
                <w:rPr>
                  <w:rStyle w:val="Hyperlink"/>
                  <w:i/>
                  <w:iCs/>
                  <w:sz w:val="22"/>
                </w:rPr>
                <w:t>)</w:t>
              </w:r>
            </w:hyperlink>
            <w:r w:rsidRPr="00587A8E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; </w:t>
            </w:r>
            <w:r w:rsidRPr="00587A8E">
              <w:rPr>
                <w:rStyle w:val="Hyperlink"/>
                <w:i/>
                <w:iCs/>
                <w:sz w:val="22"/>
              </w:rPr>
              <w:t>I</w:t>
            </w:r>
            <w:r w:rsidR="00DE5AE9" w:rsidRPr="00587A8E">
              <w:rPr>
                <w:rStyle w:val="Hyperlink"/>
                <w:i/>
                <w:iCs/>
                <w:sz w:val="22"/>
              </w:rPr>
              <w:t>TU</w:t>
            </w:r>
            <w:r w:rsidRPr="00587A8E">
              <w:rPr>
                <w:rStyle w:val="Hyperlink"/>
                <w:i/>
                <w:iCs/>
                <w:sz w:val="22"/>
              </w:rPr>
              <w:t xml:space="preserve"> </w:t>
            </w:r>
            <w:hyperlink r:id="rId9" w:history="1">
              <w:r w:rsidRPr="00587A8E">
                <w:rPr>
                  <w:rStyle w:val="Hyperlink"/>
                  <w:i/>
                  <w:iCs/>
                  <w:sz w:val="22"/>
                </w:rPr>
                <w:t xml:space="preserve">Radio </w:t>
              </w:r>
              <w:proofErr w:type="spellStart"/>
              <w:r w:rsidRPr="00587A8E">
                <w:rPr>
                  <w:rStyle w:val="Hyperlink"/>
                  <w:i/>
                  <w:iCs/>
                  <w:sz w:val="22"/>
                </w:rPr>
                <w:t>Regulations</w:t>
              </w:r>
              <w:proofErr w:type="spellEnd"/>
            </w:hyperlink>
          </w:p>
        </w:tc>
      </w:tr>
    </w:tbl>
    <w:p w14:paraId="7C52A033" w14:textId="77777777" w:rsidR="00E227F3" w:rsidRPr="00E46BA1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GB"/>
        </w:rPr>
      </w:pPr>
      <w:bookmarkStart w:id="10" w:name="_Hlk133421428"/>
      <w:bookmarkEnd w:id="2"/>
      <w:bookmarkEnd w:id="9"/>
    </w:p>
    <w:bookmarkEnd w:id="3"/>
    <w:bookmarkEnd w:id="4"/>
    <w:p w14:paraId="08D8B6CC" w14:textId="77777777" w:rsidR="0090147A" w:rsidRPr="00E46BA1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n-GB"/>
        </w:rPr>
      </w:pPr>
      <w:r w:rsidRPr="00E46BA1">
        <w:rPr>
          <w:lang w:val="en-GB"/>
        </w:rPr>
        <w:br w:type="page"/>
      </w:r>
    </w:p>
    <w:bookmarkEnd w:id="5"/>
    <w:bookmarkEnd w:id="10"/>
    <w:p w14:paraId="7CE963BB" w14:textId="3017DFB5" w:rsidR="00A514A4" w:rsidRPr="00E46BA1" w:rsidRDefault="00D72BCF" w:rsidP="00DE5AE9">
      <w:pPr>
        <w:pStyle w:val="Heading1"/>
        <w:rPr>
          <w:bCs/>
          <w:lang w:val="en-GB"/>
        </w:rPr>
      </w:pPr>
      <w:r w:rsidRPr="00E46BA1">
        <w:rPr>
          <w:bCs/>
          <w:lang w:val="en-GB"/>
        </w:rPr>
        <w:lastRenderedPageBreak/>
        <w:t>1</w:t>
      </w:r>
      <w:r w:rsidRPr="00E46BA1">
        <w:rPr>
          <w:bCs/>
          <w:lang w:val="en-GB"/>
        </w:rPr>
        <w:tab/>
        <w:t>Introduction</w:t>
      </w:r>
    </w:p>
    <w:p w14:paraId="3D64B43B" w14:textId="74D42769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The Argentine Republic reaffirms its commitment to the principles of sustainability, transparency and equity that guide the management of spectrum and satellite</w:t>
      </w:r>
      <w:r w:rsidR="00CE7022" w:rsidRPr="00E46BA1">
        <w:rPr>
          <w:lang w:val="en-GB"/>
        </w:rPr>
        <w:t>-</w:t>
      </w:r>
      <w:r w:rsidRPr="00E46BA1">
        <w:rPr>
          <w:lang w:val="en-GB"/>
        </w:rPr>
        <w:t>orbit resources within the framework of the International Telecommunication Union.</w:t>
      </w:r>
    </w:p>
    <w:p w14:paraId="5B631545" w14:textId="62B7D3CC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 xml:space="preserve">With regard to the application of Decision 482 (C01, last amended C25) and with the aim of facilitating a balanced implementation of the cost-recovery system associated with the notification, coordination and recording of satellite networks and systems, Argentina hereby presents a case study analysing the indirect costs </w:t>
      </w:r>
      <w:r w:rsidR="007E38FA" w:rsidRPr="00E46BA1">
        <w:rPr>
          <w:lang w:val="en-GB"/>
        </w:rPr>
        <w:t xml:space="preserve">associated with </w:t>
      </w:r>
      <w:r w:rsidRPr="00E46BA1">
        <w:rPr>
          <w:lang w:val="en-GB"/>
        </w:rPr>
        <w:t>those activities.</w:t>
      </w:r>
    </w:p>
    <w:p w14:paraId="0333F01B" w14:textId="77777777" w:rsidR="00D72BCF" w:rsidRPr="00E46BA1" w:rsidRDefault="00D72BCF" w:rsidP="00D72BCF">
      <w:pPr>
        <w:pStyle w:val="Heading1"/>
        <w:rPr>
          <w:lang w:val="en-GB"/>
        </w:rPr>
      </w:pPr>
      <w:r w:rsidRPr="00E46BA1">
        <w:rPr>
          <w:bCs/>
          <w:lang w:val="en-GB"/>
        </w:rPr>
        <w:t>2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>Council Decision 482</w:t>
      </w:r>
    </w:p>
    <w:p w14:paraId="7A8EEED5" w14:textId="3D7AFB5C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 xml:space="preserve">Council Decision 482 establishes the framework for the recovery of direct costs arising from the processing of satellite network and system filings, including </w:t>
      </w:r>
      <w:r w:rsidR="007E38FA" w:rsidRPr="00E46BA1">
        <w:rPr>
          <w:lang w:val="en-GB"/>
        </w:rPr>
        <w:t>the</w:t>
      </w:r>
      <w:r w:rsidRPr="00E46BA1">
        <w:rPr>
          <w:lang w:val="en-GB"/>
        </w:rPr>
        <w:t xml:space="preserve"> technical and administrative evaluations necessary for their processing in accordance with the Radio Regulations.</w:t>
      </w:r>
    </w:p>
    <w:p w14:paraId="586D55F8" w14:textId="445F56F8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 xml:space="preserve">In practice, alongside clearly identifiable direct costs, indirect costs </w:t>
      </w:r>
      <w:r w:rsidR="007E38FA" w:rsidRPr="00E46BA1">
        <w:rPr>
          <w:lang w:val="en-GB"/>
        </w:rPr>
        <w:t>associated</w:t>
      </w:r>
      <w:r w:rsidRPr="00E46BA1">
        <w:rPr>
          <w:lang w:val="en-GB"/>
        </w:rPr>
        <w:t xml:space="preserve"> </w:t>
      </w:r>
      <w:r w:rsidR="007E38FA" w:rsidRPr="00E46BA1">
        <w:rPr>
          <w:lang w:val="en-GB"/>
        </w:rPr>
        <w:t xml:space="preserve">with </w:t>
      </w:r>
      <w:r w:rsidRPr="00E46BA1">
        <w:rPr>
          <w:lang w:val="en-GB"/>
        </w:rPr>
        <w:t xml:space="preserve">the general operation of the organization are also incurred. While such costs are attributable to the support necessary for </w:t>
      </w:r>
      <w:r w:rsidR="007E38FA" w:rsidRPr="00E46BA1">
        <w:rPr>
          <w:lang w:val="en-GB"/>
        </w:rPr>
        <w:t>service</w:t>
      </w:r>
      <w:r w:rsidRPr="00E46BA1">
        <w:rPr>
          <w:lang w:val="en-GB"/>
        </w:rPr>
        <w:t xml:space="preserve"> provision, their proper </w:t>
      </w:r>
      <w:r w:rsidR="007E38FA" w:rsidRPr="00E46BA1">
        <w:rPr>
          <w:lang w:val="en-GB"/>
        </w:rPr>
        <w:t>definition</w:t>
      </w:r>
      <w:r w:rsidRPr="00E46BA1">
        <w:rPr>
          <w:lang w:val="en-GB"/>
        </w:rPr>
        <w:t xml:space="preserve"> and allocation is essential to preserv</w:t>
      </w:r>
      <w:r w:rsidR="007E38FA" w:rsidRPr="00E46BA1">
        <w:rPr>
          <w:lang w:val="en-GB"/>
        </w:rPr>
        <w:t>ing</w:t>
      </w:r>
      <w:r w:rsidRPr="00E46BA1">
        <w:rPr>
          <w:lang w:val="en-GB"/>
        </w:rPr>
        <w:t xml:space="preserve"> economic </w:t>
      </w:r>
      <w:r w:rsidR="007E38FA" w:rsidRPr="00E46BA1">
        <w:rPr>
          <w:lang w:val="en-GB"/>
        </w:rPr>
        <w:t>consistency</w:t>
      </w:r>
      <w:r w:rsidRPr="00E46BA1">
        <w:rPr>
          <w:lang w:val="en-GB"/>
        </w:rPr>
        <w:t xml:space="preserve"> in the system.</w:t>
      </w:r>
    </w:p>
    <w:p w14:paraId="7587EDEC" w14:textId="0CA1A181" w:rsidR="00D72BCF" w:rsidRPr="00E46BA1" w:rsidRDefault="00D72BCF" w:rsidP="00D72BCF">
      <w:pPr>
        <w:pStyle w:val="Heading1"/>
        <w:rPr>
          <w:lang w:val="en-GB"/>
        </w:rPr>
      </w:pPr>
      <w:r w:rsidRPr="00E46BA1">
        <w:rPr>
          <w:bCs/>
          <w:lang w:val="en-GB"/>
        </w:rPr>
        <w:t>3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 xml:space="preserve">Case </w:t>
      </w:r>
      <w:r w:rsidR="007E38FA" w:rsidRPr="00E46BA1">
        <w:rPr>
          <w:bCs/>
          <w:lang w:val="en-GB"/>
        </w:rPr>
        <w:t>s</w:t>
      </w:r>
      <w:r w:rsidRPr="00E46BA1">
        <w:rPr>
          <w:bCs/>
          <w:lang w:val="en-GB"/>
        </w:rPr>
        <w:t>tudy</w:t>
      </w:r>
      <w:r w:rsidR="007E38FA" w:rsidRPr="00E46BA1">
        <w:rPr>
          <w:bCs/>
          <w:lang w:val="en-GB"/>
        </w:rPr>
        <w:t>:</w:t>
      </w:r>
      <w:r w:rsidRPr="00E46BA1">
        <w:rPr>
          <w:bCs/>
          <w:lang w:val="en-GB"/>
        </w:rPr>
        <w:t xml:space="preserve"> Analysis of costs associated with </w:t>
      </w:r>
      <w:r w:rsidR="003C42AA" w:rsidRPr="00E46BA1">
        <w:rPr>
          <w:bCs/>
          <w:lang w:val="en-GB"/>
        </w:rPr>
        <w:t xml:space="preserve">the </w:t>
      </w:r>
      <w:r w:rsidRPr="00E46BA1">
        <w:rPr>
          <w:bCs/>
          <w:lang w:val="en-GB"/>
        </w:rPr>
        <w:t>processing of satellite network and system filings</w:t>
      </w:r>
    </w:p>
    <w:p w14:paraId="7ABF66F9" w14:textId="621DC2C3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 xml:space="preserve">Based on </w:t>
      </w:r>
      <w:r w:rsidR="003C42AA" w:rsidRPr="00E46BA1">
        <w:rPr>
          <w:lang w:val="en-GB"/>
        </w:rPr>
        <w:t>an</w:t>
      </w:r>
      <w:r w:rsidRPr="00E46BA1">
        <w:rPr>
          <w:lang w:val="en-GB"/>
        </w:rPr>
        <w:t xml:space="preserve"> analysis of processes </w:t>
      </w:r>
      <w:r w:rsidR="003C42AA" w:rsidRPr="00E46BA1">
        <w:rPr>
          <w:lang w:val="en-GB"/>
        </w:rPr>
        <w:t>involved in</w:t>
      </w:r>
      <w:r w:rsidRPr="00E46BA1">
        <w:rPr>
          <w:lang w:val="en-GB"/>
        </w:rPr>
        <w:t xml:space="preserve"> the </w:t>
      </w:r>
      <w:r w:rsidR="003C42AA" w:rsidRPr="00E46BA1">
        <w:rPr>
          <w:lang w:val="en-GB"/>
        </w:rPr>
        <w:t>treatment</w:t>
      </w:r>
      <w:r w:rsidRPr="00E46BA1">
        <w:rPr>
          <w:lang w:val="en-GB"/>
        </w:rPr>
        <w:t xml:space="preserve"> of satellite </w:t>
      </w:r>
      <w:r w:rsidR="003C42AA" w:rsidRPr="00E46BA1">
        <w:rPr>
          <w:lang w:val="en-GB"/>
        </w:rPr>
        <w:t xml:space="preserve">network and system </w:t>
      </w:r>
      <w:r w:rsidRPr="00E46BA1">
        <w:rPr>
          <w:lang w:val="en-GB"/>
        </w:rPr>
        <w:t>filings, Argentina observes that:</w:t>
      </w:r>
    </w:p>
    <w:p w14:paraId="1BDE628F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Direct costs can be objectively identified and quantified, as they arise from specific technical activities provided for in Decision 482.</w:t>
      </w:r>
    </w:p>
    <w:p w14:paraId="3D77C46B" w14:textId="48293545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Indirect costs, in the absence of clear reference criteria, may be prone to significant varia</w:t>
      </w:r>
      <w:r w:rsidR="003C42AA" w:rsidRPr="00E46BA1">
        <w:rPr>
          <w:lang w:val="en-GB"/>
        </w:rPr>
        <w:t>tion</w:t>
      </w:r>
      <w:r w:rsidRPr="00E46BA1">
        <w:rPr>
          <w:lang w:val="en-GB"/>
        </w:rPr>
        <w:t xml:space="preserve"> and affect the transparency of the cost recovery system.</w:t>
      </w:r>
    </w:p>
    <w:p w14:paraId="36B706C0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A high ratio of indirect costs to direct costs may have a negative impact on predictability for notifying administrations and act as a barrier, in particular for developing countries.</w:t>
      </w:r>
    </w:p>
    <w:p w14:paraId="268AD156" w14:textId="77777777" w:rsidR="00D72BCF" w:rsidRPr="00E46BA1" w:rsidRDefault="00D72BCF" w:rsidP="00E46BA1">
      <w:pPr>
        <w:pStyle w:val="Heading1"/>
        <w:rPr>
          <w:lang w:val="en-GB"/>
        </w:rPr>
      </w:pPr>
      <w:r w:rsidRPr="00E46BA1">
        <w:rPr>
          <w:lang w:val="en-GB"/>
        </w:rPr>
        <w:t>4</w:t>
      </w:r>
      <w:r w:rsidRPr="00E46BA1">
        <w:rPr>
          <w:lang w:val="en-GB"/>
        </w:rPr>
        <w:tab/>
        <w:t>Economic and methodological approach</w:t>
      </w:r>
    </w:p>
    <w:p w14:paraId="368DA510" w14:textId="77777777" w:rsidR="00D72BCF" w:rsidRPr="00E46BA1" w:rsidRDefault="00D72BCF" w:rsidP="00E46BA1">
      <w:pPr>
        <w:pStyle w:val="Heading2"/>
        <w:rPr>
          <w:lang w:val="en-GB"/>
        </w:rPr>
      </w:pPr>
      <w:r w:rsidRPr="00E46BA1">
        <w:rPr>
          <w:lang w:val="en-GB"/>
        </w:rPr>
        <w:t>4.1</w:t>
      </w:r>
      <w:r w:rsidRPr="00E46BA1">
        <w:rPr>
          <w:lang w:val="en-GB"/>
        </w:rPr>
        <w:tab/>
        <w:t>Cost classification</w:t>
      </w:r>
    </w:p>
    <w:p w14:paraId="730221F6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For the purposes of this study, an approach to classification aligned with widely accepted principles of cost accounting and public management has been adopted:</w:t>
      </w:r>
    </w:p>
    <w:p w14:paraId="33DDE1B0" w14:textId="14688399" w:rsidR="00D72BCF" w:rsidRPr="00E46BA1" w:rsidRDefault="00D72BCF" w:rsidP="00D72BCF">
      <w:pPr>
        <w:pStyle w:val="Headingb"/>
        <w:rPr>
          <w:lang w:val="en-GB"/>
        </w:rPr>
      </w:pPr>
      <w:r w:rsidRPr="00E46BA1">
        <w:rPr>
          <w:bCs/>
          <w:lang w:val="en-GB"/>
        </w:rPr>
        <w:t>a</w:t>
      </w:r>
      <w:r w:rsidRPr="00E46BA1">
        <w:rPr>
          <w:lang w:val="en-GB"/>
        </w:rPr>
        <w:t>)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>Direct costs</w:t>
      </w:r>
    </w:p>
    <w:p w14:paraId="6227F893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Direct costs are those that can be clearly, verifiably and exclusively allocated to specific activities for a given notice, including but not limited to:</w:t>
      </w:r>
    </w:p>
    <w:p w14:paraId="3277FEDD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technical/regulatory analysis of notified networks;</w:t>
      </w:r>
    </w:p>
    <w:p w14:paraId="4079277F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compatibility and coordination studies;</w:t>
      </w:r>
    </w:p>
    <w:p w14:paraId="02ED0A5B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processing and recording of information in ITU systems;</w:t>
      </w:r>
    </w:p>
    <w:p w14:paraId="5AB30904" w14:textId="4814CA86" w:rsidR="00D72BCF" w:rsidRPr="00E46BA1" w:rsidRDefault="00D72BCF" w:rsidP="008E3C08">
      <w:pPr>
        <w:pStyle w:val="enumlev1"/>
        <w:rPr>
          <w:lang w:val="en-GB"/>
        </w:rPr>
      </w:pPr>
      <w:r w:rsidRPr="00E46BA1">
        <w:rPr>
          <w:lang w:val="en-GB"/>
        </w:rPr>
        <w:lastRenderedPageBreak/>
        <w:t>–</w:t>
      </w:r>
      <w:r w:rsidRPr="00E46BA1">
        <w:rPr>
          <w:lang w:val="en-GB"/>
        </w:rPr>
        <w:tab/>
        <w:t>publication of respective special sections;</w:t>
      </w:r>
      <w:r w:rsidR="00CE7022" w:rsidRPr="00E46BA1">
        <w:rPr>
          <w:lang w:val="en-GB"/>
        </w:rPr>
        <w:t xml:space="preserve"> and</w:t>
      </w:r>
    </w:p>
    <w:p w14:paraId="216DD4FF" w14:textId="1ED2590D" w:rsidR="00D72BCF" w:rsidRPr="00E46BA1" w:rsidRDefault="00D72BCF" w:rsidP="008E3C08">
      <w:pPr>
        <w:pStyle w:val="enumlev1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interaction with notifying administrations in</w:t>
      </w:r>
      <w:r w:rsidR="003C42AA" w:rsidRPr="00E46BA1">
        <w:rPr>
          <w:lang w:val="en-GB"/>
        </w:rPr>
        <w:t>volved</w:t>
      </w:r>
      <w:r w:rsidRPr="00E46BA1">
        <w:rPr>
          <w:lang w:val="en-GB"/>
        </w:rPr>
        <w:t xml:space="preserve"> </w:t>
      </w:r>
      <w:r w:rsidR="003C42AA" w:rsidRPr="00E46BA1">
        <w:rPr>
          <w:lang w:val="en-GB"/>
        </w:rPr>
        <w:t xml:space="preserve">in </w:t>
      </w:r>
      <w:r w:rsidRPr="00E46BA1">
        <w:rPr>
          <w:lang w:val="en-GB"/>
        </w:rPr>
        <w:t>a specific case.</w:t>
      </w:r>
    </w:p>
    <w:p w14:paraId="0D90EC64" w14:textId="32795272" w:rsidR="00D72BCF" w:rsidRPr="00E46BA1" w:rsidRDefault="00D72BCF" w:rsidP="00E46BA1">
      <w:pPr>
        <w:pStyle w:val="Headingb"/>
        <w:rPr>
          <w:lang w:val="en-GB"/>
        </w:rPr>
      </w:pPr>
      <w:r w:rsidRPr="00E46BA1">
        <w:rPr>
          <w:lang w:val="en-GB"/>
        </w:rPr>
        <w:t>b)</w:t>
      </w:r>
      <w:r w:rsidRPr="00E46BA1">
        <w:rPr>
          <w:lang w:val="en-GB"/>
        </w:rPr>
        <w:tab/>
        <w:t>Indirect costs</w:t>
      </w:r>
    </w:p>
    <w:p w14:paraId="0BC9832F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Indirect costs are those that are necessary for the general operation of the organization and cannot be attributed exclusively to an individual filing, such as:</w:t>
      </w:r>
    </w:p>
    <w:p w14:paraId="4CBA6728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general administration;</w:t>
      </w:r>
    </w:p>
    <w:p w14:paraId="26145581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human resource management;</w:t>
      </w:r>
    </w:p>
    <w:p w14:paraId="752105E2" w14:textId="3F00B3C9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maintenance of cross-</w:t>
      </w:r>
      <w:r w:rsidR="00A30F22" w:rsidRPr="00E46BA1">
        <w:rPr>
          <w:lang w:val="en-GB"/>
        </w:rPr>
        <w:t>purpose</w:t>
      </w:r>
      <w:r w:rsidRPr="00E46BA1">
        <w:rPr>
          <w:lang w:val="en-GB"/>
        </w:rPr>
        <w:t xml:space="preserve"> IT infrastructure and systems;</w:t>
      </w:r>
      <w:r w:rsidR="00CE7022" w:rsidRPr="00E46BA1">
        <w:rPr>
          <w:lang w:val="en-GB"/>
        </w:rPr>
        <w:t xml:space="preserve"> and</w:t>
      </w:r>
    </w:p>
    <w:p w14:paraId="0EEBAF02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administrative and financial support.</w:t>
      </w:r>
    </w:p>
    <w:p w14:paraId="02A5959B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This distinction is essential to ensuring traceability, transparency and proportionality in the cost recovery system.</w:t>
      </w:r>
    </w:p>
    <w:p w14:paraId="2568FF6D" w14:textId="77777777" w:rsidR="00D72BCF" w:rsidRPr="00E46BA1" w:rsidRDefault="00D72BCF" w:rsidP="00D72BCF">
      <w:pPr>
        <w:pStyle w:val="Heading2"/>
        <w:rPr>
          <w:lang w:val="en-GB"/>
        </w:rPr>
      </w:pPr>
      <w:r w:rsidRPr="00E46BA1">
        <w:rPr>
          <w:bCs/>
          <w:lang w:val="en-GB"/>
        </w:rPr>
        <w:t>4.2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>Methodology for estimation and allocation</w:t>
      </w:r>
    </w:p>
    <w:p w14:paraId="481BC135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The case study is based on a methodology that provides for:</w:t>
      </w:r>
    </w:p>
    <w:p w14:paraId="6BCFD91B" w14:textId="06EBBDEF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 xml:space="preserve">identification of processes </w:t>
      </w:r>
      <w:r w:rsidR="003C42AA" w:rsidRPr="00E46BA1">
        <w:rPr>
          <w:lang w:val="en-GB"/>
        </w:rPr>
        <w:t>involved in the treatment</w:t>
      </w:r>
      <w:r w:rsidRPr="00E46BA1">
        <w:rPr>
          <w:lang w:val="en-GB"/>
        </w:rPr>
        <w:t xml:space="preserve"> of satellite network and system filings, distinguishing between core and support activities;</w:t>
      </w:r>
    </w:p>
    <w:p w14:paraId="1FC8CC42" w14:textId="3E5064CD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estimation of direct costs based on measurable inputs, such as dedicated technical resources and specific use of systems;</w:t>
      </w:r>
      <w:r w:rsidR="00CE7022" w:rsidRPr="00E46BA1">
        <w:rPr>
          <w:lang w:val="en-GB"/>
        </w:rPr>
        <w:t xml:space="preserve"> and</w:t>
      </w:r>
    </w:p>
    <w:p w14:paraId="7550C5BB" w14:textId="25E81315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 xml:space="preserve">allocation of indirect costs by means of reasonable, consistent and stable apportionment criteria, avoiding the allocation of structural costs unrelated to the actual </w:t>
      </w:r>
      <w:r w:rsidR="003C42AA" w:rsidRPr="00E46BA1">
        <w:rPr>
          <w:lang w:val="en-GB"/>
        </w:rPr>
        <w:t>level</w:t>
      </w:r>
      <w:r w:rsidRPr="00E46BA1">
        <w:rPr>
          <w:lang w:val="en-GB"/>
        </w:rPr>
        <w:t xml:space="preserve"> of service rendered.</w:t>
      </w:r>
    </w:p>
    <w:p w14:paraId="36BE9B42" w14:textId="4952DDE1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From this perspective, indirect costs should reflect only the support necessary and proportional for</w:t>
      </w:r>
      <w:r w:rsidR="003C42AA" w:rsidRPr="00E46BA1">
        <w:rPr>
          <w:lang w:val="en-GB"/>
        </w:rPr>
        <w:t xml:space="preserve"> the</w:t>
      </w:r>
      <w:r w:rsidRPr="00E46BA1">
        <w:rPr>
          <w:lang w:val="en-GB"/>
        </w:rPr>
        <w:t xml:space="preserve"> execution of activities directly attributable to Decision 482.</w:t>
      </w:r>
    </w:p>
    <w:p w14:paraId="4957046C" w14:textId="77777777" w:rsidR="00D72BCF" w:rsidRPr="00E46BA1" w:rsidRDefault="00D72BCF" w:rsidP="008E3C08">
      <w:pPr>
        <w:pStyle w:val="Heading2"/>
        <w:rPr>
          <w:lang w:val="en-GB"/>
        </w:rPr>
      </w:pPr>
      <w:r w:rsidRPr="00E46BA1">
        <w:rPr>
          <w:bCs/>
          <w:lang w:val="en-GB"/>
        </w:rPr>
        <w:t>4.3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>Applicable economic principles</w:t>
      </w:r>
    </w:p>
    <w:p w14:paraId="2A518E15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 xml:space="preserve">Argentina considers that the cost recovery system should be governed by, </w:t>
      </w:r>
      <w:r w:rsidRPr="00E46BA1">
        <w:rPr>
          <w:i/>
          <w:iCs/>
          <w:lang w:val="en-GB"/>
        </w:rPr>
        <w:t>inter alia</w:t>
      </w:r>
      <w:r w:rsidRPr="00E46BA1">
        <w:rPr>
          <w:lang w:val="en-GB"/>
        </w:rPr>
        <w:t>, the following principles:</w:t>
      </w:r>
    </w:p>
    <w:p w14:paraId="15C49638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Causality: costs recovered must be related to the activities that generate them.</w:t>
      </w:r>
    </w:p>
    <w:p w14:paraId="31C3ACF9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Proportionality: indirect costs must be kept in reasonable ratio to direct costs.</w:t>
      </w:r>
    </w:p>
    <w:p w14:paraId="3ACFA300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Predictability: notifying administrations must be able to anticipate the costs associated with a filing with a reasonable degree of certainty.</w:t>
      </w:r>
    </w:p>
    <w:p w14:paraId="4AAD08F9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Non-discrimination: the cost structure shall not have a disproportionate impact on certain administrations.</w:t>
      </w:r>
    </w:p>
    <w:p w14:paraId="6B3E075B" w14:textId="77777777" w:rsidR="00D72BCF" w:rsidRPr="00E46BA1" w:rsidRDefault="00D72BCF" w:rsidP="00E46BA1">
      <w:pPr>
        <w:pStyle w:val="Heading1"/>
        <w:rPr>
          <w:lang w:val="en-GB"/>
        </w:rPr>
      </w:pPr>
      <w:r w:rsidRPr="00E46BA1">
        <w:rPr>
          <w:lang w:val="en-GB"/>
        </w:rPr>
        <w:t>5</w:t>
      </w:r>
      <w:r w:rsidRPr="00E46BA1">
        <w:rPr>
          <w:lang w:val="en-GB"/>
        </w:rPr>
        <w:tab/>
        <w:t>Proposed framework for indirect costs</w:t>
      </w:r>
    </w:p>
    <w:p w14:paraId="45AD122A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Based on the analysis carried out, the Argentine Administration proposes as a guiding principle that indirect costs associated with the application of Decision 482:</w:t>
      </w:r>
    </w:p>
    <w:p w14:paraId="1B9EA283" w14:textId="163627B5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not exceed 30 per cent of total direct costs recovered for activities provided for in Decision 482.</w:t>
      </w:r>
    </w:p>
    <w:p w14:paraId="2FCD397B" w14:textId="77777777" w:rsidR="00D72BCF" w:rsidRPr="00E46BA1" w:rsidRDefault="00D72BCF" w:rsidP="008E3C08">
      <w:pPr>
        <w:pStyle w:val="Headingb"/>
        <w:rPr>
          <w:lang w:val="en-GB"/>
        </w:rPr>
      </w:pPr>
      <w:r w:rsidRPr="00E46BA1">
        <w:rPr>
          <w:bCs/>
          <w:lang w:val="en-GB"/>
        </w:rPr>
        <w:lastRenderedPageBreak/>
        <w:t>Economic justification for the proposed ceiling</w:t>
      </w:r>
    </w:p>
    <w:p w14:paraId="6F22FEDE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In specialized technical services, indirect costs typically represent a minor proportion when processes are clearly defined.</w:t>
      </w:r>
    </w:p>
    <w:p w14:paraId="2C988D06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A ceiling of 30 per cent allows for adequate coverage of necessary support functions without undermining the cost-to-service ratio.</w:t>
      </w:r>
    </w:p>
    <w:p w14:paraId="7366FB1D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Significantly higher percentages may reflect:</w:t>
      </w:r>
    </w:p>
    <w:p w14:paraId="50BC82DE" w14:textId="77777777" w:rsidR="00D72BCF" w:rsidRPr="00E46BA1" w:rsidRDefault="00D72BCF" w:rsidP="00587A8E">
      <w:pPr>
        <w:pStyle w:val="enumlev2"/>
        <w:jc w:val="both"/>
        <w:rPr>
          <w:lang w:val="en-GB"/>
        </w:rPr>
      </w:pPr>
      <w:r w:rsidRPr="00E46BA1">
        <w:rPr>
          <w:lang w:val="en-GB"/>
        </w:rPr>
        <w:t>•</w:t>
      </w:r>
      <w:r w:rsidRPr="00E46BA1">
        <w:rPr>
          <w:lang w:val="en-GB"/>
        </w:rPr>
        <w:tab/>
        <w:t>excess allocation of structural costs;</w:t>
      </w:r>
    </w:p>
    <w:p w14:paraId="6AF557E3" w14:textId="77777777" w:rsidR="00D72BCF" w:rsidRPr="00E46BA1" w:rsidRDefault="00D72BCF" w:rsidP="00587A8E">
      <w:pPr>
        <w:pStyle w:val="enumlev2"/>
        <w:jc w:val="both"/>
        <w:rPr>
          <w:lang w:val="en-GB"/>
        </w:rPr>
      </w:pPr>
      <w:r w:rsidRPr="00E46BA1">
        <w:rPr>
          <w:lang w:val="en-GB"/>
        </w:rPr>
        <w:t>•</w:t>
      </w:r>
      <w:r w:rsidRPr="00E46BA1">
        <w:rPr>
          <w:lang w:val="en-GB"/>
        </w:rPr>
        <w:tab/>
        <w:t>lack of consistency in identification of direct costs; or</w:t>
      </w:r>
    </w:p>
    <w:p w14:paraId="6139861D" w14:textId="77777777" w:rsidR="00D72BCF" w:rsidRPr="00E46BA1" w:rsidRDefault="00D72BCF" w:rsidP="00587A8E">
      <w:pPr>
        <w:pStyle w:val="enumlev2"/>
        <w:jc w:val="both"/>
        <w:rPr>
          <w:lang w:val="en-GB"/>
        </w:rPr>
      </w:pPr>
      <w:r w:rsidRPr="00E46BA1">
        <w:rPr>
          <w:lang w:val="en-GB"/>
        </w:rPr>
        <w:t>•</w:t>
      </w:r>
      <w:r w:rsidRPr="00E46BA1">
        <w:rPr>
          <w:lang w:val="en-GB"/>
        </w:rPr>
        <w:tab/>
        <w:t>inefficiencies in support processes.</w:t>
      </w:r>
    </w:p>
    <w:p w14:paraId="76DB010A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The adoption of a quantitative benchmark helps to reduce variability, improve transparency and facilitate periodic evaluation of the system.</w:t>
      </w:r>
    </w:p>
    <w:p w14:paraId="4AC3DC29" w14:textId="4400816E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The Argentine Administration stresses that th</w:t>
      </w:r>
      <w:r w:rsidR="000E3A16" w:rsidRPr="00E46BA1">
        <w:rPr>
          <w:lang w:val="en-GB"/>
        </w:rPr>
        <w:t>is</w:t>
      </w:r>
      <w:r w:rsidRPr="00E46BA1">
        <w:rPr>
          <w:lang w:val="en-GB"/>
        </w:rPr>
        <w:t xml:space="preserve"> value </w:t>
      </w:r>
      <w:r w:rsidR="000E3A16" w:rsidRPr="00E46BA1">
        <w:rPr>
          <w:lang w:val="en-GB"/>
        </w:rPr>
        <w:t>is intended</w:t>
      </w:r>
      <w:r w:rsidRPr="00E46BA1">
        <w:rPr>
          <w:lang w:val="en-GB"/>
        </w:rPr>
        <w:t xml:space="preserve"> as a methodological guideline </w:t>
      </w:r>
      <w:r w:rsidR="000E3A16" w:rsidRPr="00E46BA1">
        <w:rPr>
          <w:lang w:val="en-GB"/>
        </w:rPr>
        <w:t>rather than</w:t>
      </w:r>
      <w:r w:rsidRPr="00E46BA1">
        <w:rPr>
          <w:lang w:val="en-GB"/>
        </w:rPr>
        <w:t xml:space="preserve"> a hard </w:t>
      </w:r>
      <w:r w:rsidR="000E3A16" w:rsidRPr="00E46BA1">
        <w:rPr>
          <w:lang w:val="en-GB"/>
        </w:rPr>
        <w:t>cap. Furthermore,</w:t>
      </w:r>
      <w:r w:rsidRPr="00E46BA1">
        <w:rPr>
          <w:lang w:val="en-GB"/>
        </w:rPr>
        <w:t xml:space="preserve"> it should be periodically reviewed based on the evolution of processes, the volume of filings received by ITU and improvements in operational efficiency.</w:t>
      </w:r>
    </w:p>
    <w:p w14:paraId="56E1F0BA" w14:textId="77777777" w:rsidR="00D72BCF" w:rsidRPr="00E46BA1" w:rsidRDefault="00D72BCF" w:rsidP="008E3C08">
      <w:pPr>
        <w:pStyle w:val="Heading1"/>
        <w:rPr>
          <w:lang w:val="en-GB"/>
        </w:rPr>
      </w:pPr>
      <w:r w:rsidRPr="00E46BA1">
        <w:rPr>
          <w:bCs/>
          <w:lang w:val="en-GB"/>
        </w:rPr>
        <w:t>6</w:t>
      </w:r>
      <w:r w:rsidRPr="00E46BA1">
        <w:rPr>
          <w:lang w:val="en-GB"/>
        </w:rPr>
        <w:tab/>
      </w:r>
      <w:r w:rsidRPr="00E46BA1">
        <w:rPr>
          <w:bCs/>
          <w:lang w:val="en-GB"/>
        </w:rPr>
        <w:t>Final considerations</w:t>
      </w:r>
    </w:p>
    <w:p w14:paraId="34DCF5A0" w14:textId="77777777" w:rsidR="00D72BCF" w:rsidRPr="00E46BA1" w:rsidRDefault="00D72BCF" w:rsidP="00587A8E">
      <w:pPr>
        <w:jc w:val="both"/>
        <w:rPr>
          <w:lang w:val="en-GB"/>
        </w:rPr>
      </w:pPr>
      <w:r w:rsidRPr="00E46BA1">
        <w:rPr>
          <w:lang w:val="en-GB"/>
        </w:rPr>
        <w:t>The Argentine Administration considers that establishing a clear framework for indirect costs associated with activities under Council Decision 482 would contribute to:</w:t>
      </w:r>
    </w:p>
    <w:p w14:paraId="1BC7BDBD" w14:textId="54D1149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enhancing transparency and confidence in the cost recovery system</w:t>
      </w:r>
      <w:r w:rsidR="000E3A16" w:rsidRPr="00E46BA1">
        <w:rPr>
          <w:lang w:val="en-GB"/>
        </w:rPr>
        <w:t>;</w:t>
      </w:r>
    </w:p>
    <w:p w14:paraId="58C6C17E" w14:textId="716C6C88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ensuring a balanced and proportional application of Decision 482</w:t>
      </w:r>
      <w:r w:rsidR="000E3A16" w:rsidRPr="00E46BA1">
        <w:rPr>
          <w:lang w:val="en-GB"/>
        </w:rPr>
        <w:t>; and</w:t>
      </w:r>
    </w:p>
    <w:p w14:paraId="5BF9E3B3" w14:textId="77777777" w:rsidR="00D72BCF" w:rsidRPr="00E46BA1" w:rsidRDefault="00D72BCF" w:rsidP="00587A8E">
      <w:pPr>
        <w:pStyle w:val="enumlev1"/>
        <w:jc w:val="both"/>
        <w:rPr>
          <w:lang w:val="en-GB"/>
        </w:rPr>
      </w:pPr>
      <w:r w:rsidRPr="00E46BA1">
        <w:rPr>
          <w:lang w:val="en-GB"/>
        </w:rPr>
        <w:t>–</w:t>
      </w:r>
      <w:r w:rsidRPr="00E46BA1">
        <w:rPr>
          <w:lang w:val="en-GB"/>
        </w:rPr>
        <w:tab/>
        <w:t>promoting equitable access to the use of the orbit-spectrum resource.</w:t>
      </w:r>
    </w:p>
    <w:p w14:paraId="2734909B" w14:textId="77777777" w:rsidR="00D72BCF" w:rsidRPr="00E46BA1" w:rsidRDefault="00D72BCF" w:rsidP="00D72BCF">
      <w:pPr>
        <w:rPr>
          <w:lang w:val="en-GB"/>
        </w:rPr>
      </w:pPr>
    </w:p>
    <w:p w14:paraId="4F104F6E" w14:textId="77777777" w:rsidR="007A3FCD" w:rsidRPr="00E46BA1" w:rsidRDefault="007A3FCD" w:rsidP="007A3FCD">
      <w:pPr>
        <w:jc w:val="center"/>
        <w:rPr>
          <w:lang w:val="en-GB"/>
        </w:rPr>
      </w:pPr>
      <w:r w:rsidRPr="00E46BA1">
        <w:rPr>
          <w:lang w:val="en-GB"/>
        </w:rPr>
        <w:t>______________</w:t>
      </w:r>
    </w:p>
    <w:sectPr w:rsidR="007A3FCD" w:rsidRPr="00E46BA1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C15B" w14:textId="77777777" w:rsidR="00AE6523" w:rsidRDefault="00AE6523">
      <w:r>
        <w:separator/>
      </w:r>
    </w:p>
  </w:endnote>
  <w:endnote w:type="continuationSeparator" w:id="0">
    <w:p w14:paraId="4B5B375F" w14:textId="77777777" w:rsidR="00AE6523" w:rsidRDefault="00AE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5F530FA" w14:textId="77777777" w:rsidTr="0042469C">
      <w:trPr>
        <w:jc w:val="center"/>
      </w:trPr>
      <w:tc>
        <w:tcPr>
          <w:tcW w:w="1803" w:type="dxa"/>
          <w:vAlign w:val="center"/>
        </w:tcPr>
        <w:p w14:paraId="062087D8" w14:textId="23F09C06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E3C08">
            <w:rPr>
              <w:noProof/>
            </w:rPr>
            <w:t>2600912</w:t>
          </w:r>
        </w:p>
      </w:tc>
      <w:tc>
        <w:tcPr>
          <w:tcW w:w="8261" w:type="dxa"/>
        </w:tcPr>
        <w:p w14:paraId="29081408" w14:textId="1FB78359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E3C08">
            <w:rPr>
              <w:bCs/>
            </w:rPr>
            <w:t>84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A64B7E5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F8456C1" w14:textId="77777777" w:rsidTr="006B77F1">
      <w:trPr>
        <w:jc w:val="center"/>
      </w:trPr>
      <w:tc>
        <w:tcPr>
          <w:tcW w:w="1803" w:type="dxa"/>
          <w:vAlign w:val="center"/>
        </w:tcPr>
        <w:p w14:paraId="7037297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0F3FD969" w14:textId="7CAC49C3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46BA1">
            <w:rPr>
              <w:bCs/>
            </w:rPr>
            <w:t>84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00FA23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A4E5" w14:textId="77777777" w:rsidR="00AE6523" w:rsidRDefault="00AE6523">
      <w:r>
        <w:t>____________________</w:t>
      </w:r>
    </w:p>
  </w:footnote>
  <w:footnote w:type="continuationSeparator" w:id="0">
    <w:p w14:paraId="3A9F2234" w14:textId="77777777" w:rsidR="00AE6523" w:rsidRDefault="00AE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315C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23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E3A16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4277B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C42AA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B7CCD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87A8E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80E2C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7E38FA"/>
    <w:rsid w:val="00813E5E"/>
    <w:rsid w:val="0083581B"/>
    <w:rsid w:val="0084546D"/>
    <w:rsid w:val="00863874"/>
    <w:rsid w:val="00864AFF"/>
    <w:rsid w:val="00865925"/>
    <w:rsid w:val="008B4A6A"/>
    <w:rsid w:val="008C7E27"/>
    <w:rsid w:val="008E3C08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D3F73"/>
    <w:rsid w:val="009E17BD"/>
    <w:rsid w:val="009E485A"/>
    <w:rsid w:val="00A01F4F"/>
    <w:rsid w:val="00A04CEC"/>
    <w:rsid w:val="00A109AF"/>
    <w:rsid w:val="00A1668B"/>
    <w:rsid w:val="00A27F92"/>
    <w:rsid w:val="00A30F2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E6523"/>
    <w:rsid w:val="00AF6E49"/>
    <w:rsid w:val="00B04A67"/>
    <w:rsid w:val="00B0583C"/>
    <w:rsid w:val="00B34291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5605F"/>
    <w:rsid w:val="00C6520B"/>
    <w:rsid w:val="00C7499F"/>
    <w:rsid w:val="00CA6393"/>
    <w:rsid w:val="00CA7995"/>
    <w:rsid w:val="00CB18FF"/>
    <w:rsid w:val="00CD0C08"/>
    <w:rsid w:val="00CE03FB"/>
    <w:rsid w:val="00CE433C"/>
    <w:rsid w:val="00CE7022"/>
    <w:rsid w:val="00CF0161"/>
    <w:rsid w:val="00CF33F3"/>
    <w:rsid w:val="00CF4A2B"/>
    <w:rsid w:val="00D024CA"/>
    <w:rsid w:val="00D06183"/>
    <w:rsid w:val="00D229C7"/>
    <w:rsid w:val="00D22C42"/>
    <w:rsid w:val="00D65041"/>
    <w:rsid w:val="00D72BCF"/>
    <w:rsid w:val="00DB1936"/>
    <w:rsid w:val="00DB384B"/>
    <w:rsid w:val="00DE532B"/>
    <w:rsid w:val="00DE5AE9"/>
    <w:rsid w:val="00DF0189"/>
    <w:rsid w:val="00E06FD5"/>
    <w:rsid w:val="00E10E80"/>
    <w:rsid w:val="00E124F0"/>
    <w:rsid w:val="00E227F3"/>
    <w:rsid w:val="00E46BA1"/>
    <w:rsid w:val="00E545C6"/>
    <w:rsid w:val="00E60F04"/>
    <w:rsid w:val="00E65B24"/>
    <w:rsid w:val="00E854E4"/>
    <w:rsid w:val="00E86DBF"/>
    <w:rsid w:val="00E9332E"/>
    <w:rsid w:val="00E969AF"/>
    <w:rsid w:val="00EB0D6F"/>
    <w:rsid w:val="00EB2232"/>
    <w:rsid w:val="00EC48E2"/>
    <w:rsid w:val="00EC5337"/>
    <w:rsid w:val="00EE49E8"/>
    <w:rsid w:val="00F16BAB"/>
    <w:rsid w:val="00F2150A"/>
    <w:rsid w:val="00F231D8"/>
    <w:rsid w:val="00F44C00"/>
    <w:rsid w:val="00F45D2C"/>
    <w:rsid w:val="00F46C5F"/>
    <w:rsid w:val="00F51168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17F91"/>
  <w15:docId w15:val="{D4D3BD84-8232-44F2-94F8-CA78AD98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8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C48E2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C48E2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C48E2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C48E2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EC48E2"/>
    <w:pPr>
      <w:outlineLvl w:val="4"/>
    </w:pPr>
  </w:style>
  <w:style w:type="paragraph" w:styleId="Heading6">
    <w:name w:val="heading 6"/>
    <w:basedOn w:val="Heading4"/>
    <w:next w:val="Normal"/>
    <w:qFormat/>
    <w:rsid w:val="00EC48E2"/>
    <w:pPr>
      <w:outlineLvl w:val="5"/>
    </w:pPr>
  </w:style>
  <w:style w:type="paragraph" w:styleId="Heading7">
    <w:name w:val="heading 7"/>
    <w:basedOn w:val="Heading4"/>
    <w:next w:val="Normal"/>
    <w:qFormat/>
    <w:rsid w:val="00EC48E2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EC48E2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EC48E2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EC48E2"/>
  </w:style>
  <w:style w:type="paragraph" w:styleId="TOC4">
    <w:name w:val="toc 4"/>
    <w:basedOn w:val="TOC1"/>
    <w:next w:val="Normal"/>
    <w:rsid w:val="00EC48E2"/>
  </w:style>
  <w:style w:type="paragraph" w:styleId="TOC3">
    <w:name w:val="toc 3"/>
    <w:basedOn w:val="TOC1"/>
    <w:next w:val="Normal"/>
    <w:rsid w:val="00EC48E2"/>
  </w:style>
  <w:style w:type="paragraph" w:styleId="TOC2">
    <w:name w:val="toc 2"/>
    <w:basedOn w:val="TOC1"/>
    <w:next w:val="Normal"/>
    <w:rsid w:val="00EC48E2"/>
    <w:pPr>
      <w:spacing w:before="160"/>
    </w:pPr>
  </w:style>
  <w:style w:type="paragraph" w:styleId="TOC1">
    <w:name w:val="toc 1"/>
    <w:basedOn w:val="Normal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EC48E2"/>
  </w:style>
  <w:style w:type="paragraph" w:styleId="TOC6">
    <w:name w:val="toc 6"/>
    <w:basedOn w:val="TOC5"/>
    <w:next w:val="Normal"/>
    <w:rsid w:val="00EC48E2"/>
  </w:style>
  <w:style w:type="paragraph" w:styleId="TOC5">
    <w:name w:val="toc 5"/>
    <w:basedOn w:val="TOC4"/>
    <w:next w:val="Normal"/>
    <w:rsid w:val="00EC48E2"/>
    <w:rPr>
      <w:lang w:val="fr-CH"/>
    </w:rPr>
  </w:style>
  <w:style w:type="paragraph" w:styleId="Index7">
    <w:name w:val="index 7"/>
    <w:basedOn w:val="Normal"/>
    <w:next w:val="Normal"/>
    <w:rsid w:val="00EC48E2"/>
    <w:pPr>
      <w:ind w:left="1698"/>
    </w:pPr>
  </w:style>
  <w:style w:type="paragraph" w:styleId="Index6">
    <w:name w:val="index 6"/>
    <w:basedOn w:val="Normal"/>
    <w:next w:val="Normal"/>
    <w:rsid w:val="00EC48E2"/>
    <w:pPr>
      <w:ind w:left="1415"/>
    </w:pPr>
  </w:style>
  <w:style w:type="paragraph" w:styleId="Index5">
    <w:name w:val="index 5"/>
    <w:basedOn w:val="Normal"/>
    <w:next w:val="Normal"/>
    <w:rsid w:val="00EC48E2"/>
    <w:pPr>
      <w:ind w:left="1132"/>
    </w:pPr>
  </w:style>
  <w:style w:type="paragraph" w:styleId="Index4">
    <w:name w:val="index 4"/>
    <w:basedOn w:val="Normal"/>
    <w:next w:val="Normal"/>
    <w:rsid w:val="00EC48E2"/>
    <w:pPr>
      <w:ind w:left="849"/>
    </w:pPr>
  </w:style>
  <w:style w:type="paragraph" w:styleId="Index3">
    <w:name w:val="index 3"/>
    <w:basedOn w:val="Normal"/>
    <w:next w:val="Normal"/>
    <w:rsid w:val="00EC48E2"/>
    <w:pPr>
      <w:ind w:left="566"/>
    </w:pPr>
  </w:style>
  <w:style w:type="paragraph" w:styleId="Index2">
    <w:name w:val="index 2"/>
    <w:basedOn w:val="Normal"/>
    <w:next w:val="Normal"/>
    <w:rsid w:val="00EC48E2"/>
    <w:pPr>
      <w:ind w:left="283"/>
    </w:pPr>
  </w:style>
  <w:style w:type="paragraph" w:styleId="Index1">
    <w:name w:val="index 1"/>
    <w:basedOn w:val="Normal"/>
    <w:next w:val="Normal"/>
    <w:rsid w:val="00EC48E2"/>
  </w:style>
  <w:style w:type="character" w:styleId="LineNumber">
    <w:name w:val="line number"/>
    <w:basedOn w:val="DefaultParagraphFont"/>
    <w:rsid w:val="00EC48E2"/>
  </w:style>
  <w:style w:type="paragraph" w:styleId="IndexHeading">
    <w:name w:val="index heading"/>
    <w:basedOn w:val="Normal"/>
    <w:next w:val="Index1"/>
    <w:rsid w:val="00EC48E2"/>
  </w:style>
  <w:style w:type="paragraph" w:styleId="Footer">
    <w:name w:val="footer"/>
    <w:basedOn w:val="Normal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EC48E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C48E2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EC48E2"/>
    <w:pPr>
      <w:ind w:left="567"/>
    </w:pPr>
  </w:style>
  <w:style w:type="paragraph" w:customStyle="1" w:styleId="enumlev1">
    <w:name w:val="enumlev1"/>
    <w:basedOn w:val="Normal"/>
    <w:rsid w:val="00EC48E2"/>
    <w:pPr>
      <w:spacing w:before="80"/>
      <w:ind w:left="567" w:hanging="567"/>
    </w:pPr>
  </w:style>
  <w:style w:type="paragraph" w:customStyle="1" w:styleId="enumlev2">
    <w:name w:val="enumlev2"/>
    <w:basedOn w:val="enumlev1"/>
    <w:rsid w:val="00EC48E2"/>
    <w:pPr>
      <w:ind w:left="1134"/>
    </w:pPr>
  </w:style>
  <w:style w:type="paragraph" w:customStyle="1" w:styleId="enumlev3">
    <w:name w:val="enumlev3"/>
    <w:basedOn w:val="enumlev2"/>
    <w:rsid w:val="00EC48E2"/>
    <w:pPr>
      <w:ind w:left="1701"/>
    </w:pPr>
  </w:style>
  <w:style w:type="paragraph" w:customStyle="1" w:styleId="Normalaftertitle">
    <w:name w:val="Normal after title"/>
    <w:basedOn w:val="Normal"/>
    <w:next w:val="Normal"/>
    <w:rsid w:val="00EC48E2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EC48E2"/>
    <w:rPr>
      <w:rFonts w:ascii="Calibri" w:hAnsi="Calibri"/>
      <w:sz w:val="18"/>
      <w:lang w:val="fr-FR" w:eastAsia="en-US"/>
    </w:rPr>
  </w:style>
  <w:style w:type="paragraph" w:customStyle="1" w:styleId="Head">
    <w:name w:val="Head"/>
    <w:basedOn w:val="Normal"/>
    <w:rsid w:val="00EC48E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EC48E2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EC48E2"/>
    <w:pPr>
      <w:tabs>
        <w:tab w:val="left" w:pos="1276"/>
      </w:tabs>
      <w:spacing w:before="199"/>
      <w:ind w:left="1701" w:hanging="1701"/>
    </w:pPr>
  </w:style>
  <w:style w:type="paragraph" w:customStyle="1" w:styleId="Source">
    <w:name w:val="Source"/>
    <w:basedOn w:val="Normal"/>
    <w:next w:val="Title1"/>
    <w:rsid w:val="00EC48E2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EC48E2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C48E2"/>
    <w:pPr>
      <w:tabs>
        <w:tab w:val="left" w:pos="709"/>
      </w:tabs>
      <w:spacing w:before="0"/>
      <w:ind w:left="709" w:hanging="709"/>
    </w:pPr>
  </w:style>
  <w:style w:type="paragraph" w:customStyle="1" w:styleId="Object">
    <w:name w:val="Object"/>
    <w:basedOn w:val="Subject"/>
    <w:next w:val="Subject"/>
    <w:rsid w:val="00EC48E2"/>
  </w:style>
  <w:style w:type="paragraph" w:customStyle="1" w:styleId="Data">
    <w:name w:val="Data"/>
    <w:basedOn w:val="Subject"/>
    <w:next w:val="Subject"/>
    <w:rsid w:val="00EC48E2"/>
  </w:style>
  <w:style w:type="table" w:styleId="TableGrid">
    <w:name w:val="Table Grid"/>
    <w:basedOn w:val="TableNormal"/>
    <w:uiPriority w:val="39"/>
    <w:rsid w:val="00EC48E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48E2"/>
    <w:rPr>
      <w:rFonts w:eastAsiaTheme="minorHAnsi" w:cstheme="minorBidi"/>
      <w:color w:val="4F81BD" w:themeColor="accent1"/>
      <w:szCs w:val="22"/>
    </w:rPr>
  </w:style>
  <w:style w:type="paragraph" w:customStyle="1" w:styleId="FirstFooter">
    <w:name w:val="FirstFooter"/>
    <w:basedOn w:val="Footer"/>
    <w:rsid w:val="00EC48E2"/>
  </w:style>
  <w:style w:type="paragraph" w:customStyle="1" w:styleId="Note">
    <w:name w:val="Note"/>
    <w:basedOn w:val="Normal"/>
    <w:rsid w:val="00EC48E2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b">
    <w:name w:val="Heading_b"/>
    <w:basedOn w:val="Heading3"/>
    <w:next w:val="Normal"/>
    <w:rsid w:val="00EC48E2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EC48E2"/>
    <w:rPr>
      <w:color w:val="800080"/>
      <w:u w:val="single"/>
    </w:rPr>
  </w:style>
  <w:style w:type="paragraph" w:customStyle="1" w:styleId="Title1">
    <w:name w:val="Title 1"/>
    <w:basedOn w:val="Normal"/>
    <w:next w:val="Normalaftertitle"/>
    <w:rsid w:val="00EC48E2"/>
    <w:pPr>
      <w:spacing w:before="360"/>
      <w:jc w:val="center"/>
    </w:pPr>
  </w:style>
  <w:style w:type="paragraph" w:customStyle="1" w:styleId="Title2">
    <w:name w:val="Title 2"/>
    <w:basedOn w:val="Title1"/>
    <w:next w:val="Normalaftertitle"/>
    <w:rsid w:val="00EC48E2"/>
    <w:pPr>
      <w:keepNext/>
      <w:keepLines/>
      <w:spacing w:before="240"/>
    </w:pPr>
    <w:rPr>
      <w:b/>
    </w:rPr>
  </w:style>
  <w:style w:type="paragraph" w:customStyle="1" w:styleId="Title3">
    <w:name w:val="Title 3"/>
    <w:basedOn w:val="Title2"/>
    <w:next w:val="Normalaftertitle"/>
    <w:rsid w:val="00EC48E2"/>
    <w:rPr>
      <w:b w:val="0"/>
    </w:rPr>
  </w:style>
  <w:style w:type="paragraph" w:customStyle="1" w:styleId="Title4">
    <w:name w:val="Title 4"/>
    <w:basedOn w:val="Annextitle"/>
    <w:next w:val="Normal"/>
    <w:rsid w:val="00EC48E2"/>
    <w:pPr>
      <w:spacing w:after="120"/>
    </w:pPr>
    <w:rPr>
      <w:b w:val="0"/>
    </w:rPr>
  </w:style>
  <w:style w:type="paragraph" w:customStyle="1" w:styleId="dnum">
    <w:name w:val="dnum"/>
    <w:basedOn w:val="Normal"/>
    <w:rsid w:val="00EC48E2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C48E2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EC48E2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EC48E2"/>
    <w:pPr>
      <w:keepNext/>
      <w:keepLines/>
      <w:spacing w:before="720"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EC48E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C48E2"/>
    <w:pPr>
      <w:keepNext/>
      <w:keepLines/>
      <w:jc w:val="center"/>
    </w:pPr>
    <w:rPr>
      <w:sz w:val="28"/>
    </w:rPr>
  </w:style>
  <w:style w:type="paragraph" w:customStyle="1" w:styleId="Call">
    <w:name w:val="Call"/>
    <w:basedOn w:val="Normal"/>
    <w:next w:val="Normal"/>
    <w:rsid w:val="00EC48E2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Normal"/>
    <w:qFormat/>
    <w:rsid w:val="00EC48E2"/>
    <w:pPr>
      <w:framePr w:hSpace="180" w:wrap="around" w:hAnchor="page" w:x="1821" w:y="2317"/>
      <w:spacing w:after="160"/>
    </w:pPr>
    <w:rPr>
      <w:sz w:val="34"/>
      <w:lang w:val="en-GB"/>
    </w:rPr>
  </w:style>
  <w:style w:type="paragraph" w:customStyle="1" w:styleId="Figure">
    <w:name w:val="Figure"/>
    <w:basedOn w:val="Normal"/>
    <w:next w:val="Normal"/>
    <w:rsid w:val="00EC48E2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EC48E2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</w:rPr>
  </w:style>
  <w:style w:type="paragraph" w:customStyle="1" w:styleId="TableNo">
    <w:name w:val="Table_No"/>
    <w:basedOn w:val="Normal"/>
    <w:next w:val="Tabletitle"/>
    <w:rsid w:val="00EC48E2"/>
    <w:pPr>
      <w:keepNext/>
      <w:keepLines/>
      <w:spacing w:before="480" w:after="120"/>
      <w:jc w:val="center"/>
    </w:pPr>
  </w:style>
  <w:style w:type="paragraph" w:customStyle="1" w:styleId="Tabletext">
    <w:name w:val="Table_text"/>
    <w:basedOn w:val="Normal"/>
    <w:rsid w:val="00EC48E2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EC48E2"/>
    <w:pPr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EC48E2"/>
    <w:pPr>
      <w:keepNext/>
      <w:keepLines/>
      <w:spacing w:before="480" w:after="120"/>
      <w:jc w:val="center"/>
    </w:pPr>
  </w:style>
  <w:style w:type="paragraph" w:customStyle="1" w:styleId="Figurewithouttitle">
    <w:name w:val="Figure_without_title"/>
    <w:basedOn w:val="Figure"/>
    <w:next w:val="Normal"/>
    <w:rsid w:val="00EC48E2"/>
  </w:style>
  <w:style w:type="paragraph" w:customStyle="1" w:styleId="Headingi">
    <w:name w:val="Heading_i"/>
    <w:basedOn w:val="Heading3"/>
    <w:next w:val="Normal"/>
    <w:rsid w:val="00EC48E2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C48E2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C48E2"/>
  </w:style>
  <w:style w:type="paragraph" w:customStyle="1" w:styleId="Parttitle">
    <w:name w:val="Part_title"/>
    <w:basedOn w:val="Annextitle"/>
    <w:next w:val="Partref"/>
    <w:rsid w:val="00EC48E2"/>
  </w:style>
  <w:style w:type="paragraph" w:customStyle="1" w:styleId="Partref">
    <w:name w:val="Part_ref"/>
    <w:basedOn w:val="Annexref"/>
    <w:next w:val="Normalaftertitle"/>
    <w:rsid w:val="00EC48E2"/>
  </w:style>
  <w:style w:type="paragraph" w:customStyle="1" w:styleId="RecNo">
    <w:name w:val="Rec_No"/>
    <w:basedOn w:val="Normal"/>
    <w:next w:val="Rectitle"/>
    <w:rsid w:val="00EC48E2"/>
    <w:pPr>
      <w:keepNext/>
      <w:keepLines/>
      <w:spacing w:before="720"/>
      <w:jc w:val="center"/>
    </w:pPr>
    <w:rPr>
      <w:sz w:val="28"/>
    </w:rPr>
  </w:style>
  <w:style w:type="paragraph" w:customStyle="1" w:styleId="Rectitle">
    <w:name w:val="Rec_title"/>
    <w:basedOn w:val="Normal"/>
    <w:next w:val="Heading1"/>
    <w:rsid w:val="00EC48E2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C48E2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C48E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C48E2"/>
  </w:style>
  <w:style w:type="paragraph" w:customStyle="1" w:styleId="QuestionNo">
    <w:name w:val="Question_No"/>
    <w:basedOn w:val="RecNo"/>
    <w:next w:val="Questiontitle"/>
    <w:rsid w:val="00EC48E2"/>
  </w:style>
  <w:style w:type="paragraph" w:customStyle="1" w:styleId="Questionref">
    <w:name w:val="Question_ref"/>
    <w:basedOn w:val="Recref"/>
    <w:next w:val="Questiondate"/>
    <w:rsid w:val="00EC48E2"/>
  </w:style>
  <w:style w:type="paragraph" w:customStyle="1" w:styleId="Questiontitle">
    <w:name w:val="Question_title"/>
    <w:basedOn w:val="Rectitle"/>
    <w:next w:val="Questionref"/>
    <w:rsid w:val="00EC48E2"/>
  </w:style>
  <w:style w:type="paragraph" w:customStyle="1" w:styleId="Reftext">
    <w:name w:val="Ref_text"/>
    <w:basedOn w:val="Normal"/>
    <w:rsid w:val="00EC48E2"/>
    <w:pPr>
      <w:ind w:left="567" w:hanging="567"/>
    </w:pPr>
  </w:style>
  <w:style w:type="paragraph" w:customStyle="1" w:styleId="Reftitle">
    <w:name w:val="Ref_title"/>
    <w:basedOn w:val="Normal"/>
    <w:next w:val="Reftext"/>
    <w:rsid w:val="00EC48E2"/>
    <w:pPr>
      <w:spacing w:before="480"/>
      <w:jc w:val="center"/>
    </w:pPr>
    <w:rPr>
      <w:sz w:val="28"/>
    </w:rPr>
  </w:style>
  <w:style w:type="paragraph" w:customStyle="1" w:styleId="Resdate">
    <w:name w:val="Res_date"/>
    <w:basedOn w:val="Recdate"/>
    <w:next w:val="Normalaftertitle"/>
    <w:rsid w:val="00EC48E2"/>
  </w:style>
  <w:style w:type="paragraph" w:customStyle="1" w:styleId="ResNo">
    <w:name w:val="Res_No"/>
    <w:basedOn w:val="AnnexNo"/>
    <w:next w:val="Restitle"/>
    <w:rsid w:val="00EC48E2"/>
  </w:style>
  <w:style w:type="paragraph" w:customStyle="1" w:styleId="Restitle">
    <w:name w:val="Res_title"/>
    <w:basedOn w:val="Annextitle"/>
    <w:next w:val="Normal"/>
    <w:rsid w:val="00EC48E2"/>
  </w:style>
  <w:style w:type="paragraph" w:customStyle="1" w:styleId="Resref">
    <w:name w:val="Res_ref"/>
    <w:basedOn w:val="Recref"/>
    <w:next w:val="Resdate"/>
    <w:rsid w:val="00EC48E2"/>
  </w:style>
  <w:style w:type="paragraph" w:customStyle="1" w:styleId="SectionNo">
    <w:name w:val="Section_No"/>
    <w:basedOn w:val="AnnexNo"/>
    <w:next w:val="Sectiontitle"/>
    <w:rsid w:val="00EC48E2"/>
  </w:style>
  <w:style w:type="paragraph" w:customStyle="1" w:styleId="Sectiontitle">
    <w:name w:val="Section_title"/>
    <w:basedOn w:val="Normal"/>
    <w:next w:val="Normalaftertitle"/>
    <w:rsid w:val="00EC48E2"/>
    <w:rPr>
      <w:sz w:val="28"/>
    </w:rPr>
  </w:style>
  <w:style w:type="paragraph" w:customStyle="1" w:styleId="Tablehead">
    <w:name w:val="Table_head"/>
    <w:basedOn w:val="Tabletext"/>
    <w:rsid w:val="00EC48E2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C48E2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EC48E2"/>
    <w:pPr>
      <w:keepNext/>
      <w:keepLines/>
      <w:jc w:val="center"/>
    </w:pPr>
    <w:rPr>
      <w:sz w:val="20"/>
    </w:rPr>
  </w:style>
  <w:style w:type="paragraph" w:customStyle="1" w:styleId="Artheading">
    <w:name w:val="Art_heading"/>
    <w:basedOn w:val="Normal"/>
    <w:next w:val="Normalaftertitle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C48E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C48E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C48E2"/>
  </w:style>
  <w:style w:type="paragraph" w:customStyle="1" w:styleId="Chaptitle">
    <w:name w:val="Chap_title"/>
    <w:basedOn w:val="Arttitle"/>
    <w:next w:val="Normalaftertitle"/>
    <w:rsid w:val="00EC48E2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48E2"/>
    <w:rPr>
      <w:color w:val="666666"/>
    </w:rPr>
  </w:style>
  <w:style w:type="paragraph" w:customStyle="1" w:styleId="Reasons">
    <w:name w:val="Reasons"/>
    <w:basedOn w:val="Normal"/>
    <w:qFormat/>
    <w:rsid w:val="00EC48E2"/>
  </w:style>
  <w:style w:type="paragraph" w:customStyle="1" w:styleId="AppendixNo">
    <w:name w:val="Appendix_No"/>
    <w:basedOn w:val="AnnexNo"/>
    <w:next w:val="Normal"/>
    <w:rsid w:val="00EC48E2"/>
  </w:style>
  <w:style w:type="paragraph" w:customStyle="1" w:styleId="Appendixref">
    <w:name w:val="Appendix_ref"/>
    <w:basedOn w:val="Annexref"/>
    <w:next w:val="Normal"/>
    <w:rsid w:val="00EC48E2"/>
  </w:style>
  <w:style w:type="paragraph" w:customStyle="1" w:styleId="Appendixtitle">
    <w:name w:val="Appendix_title"/>
    <w:basedOn w:val="Annextitle"/>
    <w:next w:val="Normalaftertitle"/>
    <w:rsid w:val="00EC48E2"/>
  </w:style>
  <w:style w:type="paragraph" w:customStyle="1" w:styleId="Equation">
    <w:name w:val="Equation"/>
    <w:basedOn w:val="Normal"/>
    <w:rsid w:val="00EC48E2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C48E2"/>
    <w:pPr>
      <w:tabs>
        <w:tab w:val="right" w:pos="1531"/>
      </w:tabs>
      <w:spacing w:before="80"/>
      <w:ind w:left="1701" w:hanging="1701"/>
    </w:pPr>
  </w:style>
  <w:style w:type="paragraph" w:customStyle="1" w:styleId="firstfooter0">
    <w:name w:val="firstfooter"/>
    <w:basedOn w:val="Normal"/>
    <w:rsid w:val="00EC48E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Referencetext">
    <w:name w:val="Reference_text"/>
    <w:basedOn w:val="Normal"/>
    <w:rsid w:val="00EC48E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Repdate">
    <w:name w:val="Rep_date"/>
    <w:basedOn w:val="Recdate"/>
    <w:next w:val="Normalaftertitle"/>
    <w:rsid w:val="00EC48E2"/>
  </w:style>
  <w:style w:type="paragraph" w:customStyle="1" w:styleId="RepNo">
    <w:name w:val="Rep_No"/>
    <w:basedOn w:val="RecNo"/>
    <w:next w:val="Normal"/>
    <w:rsid w:val="00EC48E2"/>
  </w:style>
  <w:style w:type="paragraph" w:customStyle="1" w:styleId="Repref">
    <w:name w:val="Rep_ref"/>
    <w:basedOn w:val="Recref"/>
    <w:next w:val="Repdate"/>
    <w:rsid w:val="00EC48E2"/>
  </w:style>
  <w:style w:type="paragraph" w:customStyle="1" w:styleId="Reptitle">
    <w:name w:val="Rep_title"/>
    <w:basedOn w:val="Rectitle"/>
    <w:next w:val="Repref"/>
    <w:rsid w:val="00EC48E2"/>
  </w:style>
  <w:style w:type="paragraph" w:customStyle="1" w:styleId="SpecialFooter">
    <w:name w:val="Special Footer"/>
    <w:basedOn w:val="Footer"/>
    <w:rsid w:val="00EC48E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5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G-RR-2024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3</TotalTime>
  <Pages>4</Pages>
  <Words>969</Words>
  <Characters>6103</Characters>
  <Application>Microsoft Office Word</Application>
  <DocSecurity>0</DocSecurity>
  <Lines>234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6934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Decision 482 – Case study on indirect costs associated with satellite network and system filings and proposed methodological framework</dc:title>
  <dc:subject>ITU Council 2026</dc:subject>
  <cp:keywords>C26; C2026; Council 2026; PP26</cp:keywords>
  <dc:description/>
  <cp:lastPrinted>2000-07-18T13:30:00Z</cp:lastPrinted>
  <dcterms:created xsi:type="dcterms:W3CDTF">2026-04-22T15:59:00Z</dcterms:created>
  <dcterms:modified xsi:type="dcterms:W3CDTF">2026-04-22T16:01:00Z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TranslatedWith">
    <vt:lpwstr>Mercury</vt:lpwstr>
  </property>
  <property fmtid="{D5CDD505-2E9C-101B-9397-08002B2CF9AE}" pid="10" name="GeneratedBy">
    <vt:lpwstr>Peter.Methven@itu.int</vt:lpwstr>
  </property>
  <property fmtid="{D5CDD505-2E9C-101B-9397-08002B2CF9AE}" pid="11" name="GeneratedDate">
    <vt:lpwstr>04/21/2026 14:30:43</vt:lpwstr>
  </property>
  <property fmtid="{D5CDD505-2E9C-101B-9397-08002B2CF9AE}" pid="12" name="OriginalDocID">
    <vt:lpwstr>c724860c-7418-43a6-a282-62d5d6f64e87</vt:lpwstr>
  </property>
</Properties>
</file>