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2965"/>
      </w:tblGrid>
      <w:tr w:rsidR="007B0AA0" w14:paraId="39421071" w14:textId="77777777" w:rsidTr="00F363FE">
        <w:tc>
          <w:tcPr>
            <w:tcW w:w="6512" w:type="dxa"/>
          </w:tcPr>
          <w:p w14:paraId="7CD5DD5C" w14:textId="7E36D678" w:rsidR="007B0AA0" w:rsidRPr="00A44D67" w:rsidRDefault="007B0AA0" w:rsidP="00F363FE">
            <w:pPr>
              <w:spacing w:before="60" w:after="60" w:line="260" w:lineRule="exact"/>
              <w:rPr>
                <w:b/>
                <w:bCs/>
                <w:lang w:val="en-GB"/>
              </w:rPr>
            </w:pPr>
            <w:r w:rsidRPr="007B0AA0">
              <w:rPr>
                <w:rFonts w:hint="cs"/>
                <w:b/>
                <w:bCs/>
                <w:rtl/>
                <w:lang w:bidi="ar-EG"/>
              </w:rPr>
              <w:t>بند جدول الأعمال:</w:t>
            </w:r>
            <w:r w:rsidR="002C3CE3">
              <w:rPr>
                <w:rFonts w:hint="cs"/>
                <w:b/>
                <w:bCs/>
                <w:rtl/>
                <w:lang w:val="en-GB"/>
              </w:rPr>
              <w:t xml:space="preserve"> </w:t>
            </w:r>
            <w:r w:rsidR="00A44D67">
              <w:rPr>
                <w:b/>
                <w:bCs/>
                <w:lang w:val="en-GB"/>
              </w:rPr>
              <w:t>ADM 1</w:t>
            </w:r>
          </w:p>
        </w:tc>
        <w:tc>
          <w:tcPr>
            <w:tcW w:w="3117" w:type="dxa"/>
          </w:tcPr>
          <w:p w14:paraId="339A15C6" w14:textId="2EEE05D8"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A44D67">
              <w:rPr>
                <w:b/>
                <w:bCs/>
                <w:lang w:bidi="ar-EG"/>
              </w:rPr>
              <w:t>84</w:t>
            </w:r>
            <w:r w:rsidRPr="007B0AA0">
              <w:rPr>
                <w:b/>
                <w:bCs/>
                <w:lang w:bidi="ar-EG"/>
              </w:rPr>
              <w:t>-A</w:t>
            </w:r>
          </w:p>
        </w:tc>
      </w:tr>
      <w:tr w:rsidR="007B0AA0" w14:paraId="7C4B8905" w14:textId="77777777" w:rsidTr="00F363FE">
        <w:tc>
          <w:tcPr>
            <w:tcW w:w="6512" w:type="dxa"/>
          </w:tcPr>
          <w:p w14:paraId="367D8BC7" w14:textId="77777777" w:rsidR="007B0AA0" w:rsidRPr="007B0AA0" w:rsidRDefault="007B0AA0" w:rsidP="00F363FE">
            <w:pPr>
              <w:spacing w:before="60" w:after="60" w:line="260" w:lineRule="exact"/>
              <w:rPr>
                <w:b/>
                <w:bCs/>
                <w:rtl/>
                <w:lang w:bidi="ar-EG"/>
              </w:rPr>
            </w:pPr>
          </w:p>
        </w:tc>
        <w:tc>
          <w:tcPr>
            <w:tcW w:w="3117" w:type="dxa"/>
          </w:tcPr>
          <w:p w14:paraId="09682B23" w14:textId="236435F1" w:rsidR="007B0AA0" w:rsidRPr="00A44D67" w:rsidRDefault="00A44D67" w:rsidP="00F363FE">
            <w:pPr>
              <w:spacing w:before="60" w:after="60" w:line="260" w:lineRule="exact"/>
              <w:rPr>
                <w:b/>
                <w:bCs/>
              </w:rPr>
            </w:pPr>
            <w:r>
              <w:rPr>
                <w:b/>
                <w:bCs/>
                <w:lang w:bidi="ar-EG"/>
              </w:rPr>
              <w:t>14</w:t>
            </w:r>
            <w:r>
              <w:rPr>
                <w:rFonts w:hint="cs"/>
                <w:b/>
                <w:bCs/>
                <w:rtl/>
              </w:rPr>
              <w:t xml:space="preserve"> أبريل </w:t>
            </w:r>
            <w:r>
              <w:rPr>
                <w:b/>
                <w:bCs/>
              </w:rPr>
              <w:t>2026</w:t>
            </w:r>
          </w:p>
        </w:tc>
      </w:tr>
      <w:tr w:rsidR="007B0AA0" w14:paraId="5CFD1366" w14:textId="77777777" w:rsidTr="00F363FE">
        <w:tc>
          <w:tcPr>
            <w:tcW w:w="6512" w:type="dxa"/>
          </w:tcPr>
          <w:p w14:paraId="78D48491" w14:textId="77777777" w:rsidR="007B0AA0" w:rsidRPr="007B0AA0" w:rsidRDefault="007B0AA0" w:rsidP="00F363FE">
            <w:pPr>
              <w:spacing w:before="60" w:after="60" w:line="260" w:lineRule="exact"/>
              <w:rPr>
                <w:b/>
                <w:bCs/>
                <w:rtl/>
                <w:lang w:bidi="ar-EG"/>
              </w:rPr>
            </w:pPr>
          </w:p>
        </w:tc>
        <w:tc>
          <w:tcPr>
            <w:tcW w:w="3117" w:type="dxa"/>
          </w:tcPr>
          <w:p w14:paraId="0BEEA358" w14:textId="199413B2" w:rsidR="007B0AA0" w:rsidRPr="007B0AA0" w:rsidRDefault="001D64C7" w:rsidP="00F363FE">
            <w:pPr>
              <w:spacing w:before="60" w:after="60" w:line="260" w:lineRule="exact"/>
              <w:rPr>
                <w:b/>
                <w:bCs/>
              </w:rPr>
            </w:pPr>
            <w:r w:rsidRPr="007B0AA0">
              <w:rPr>
                <w:rFonts w:hint="cs"/>
                <w:b/>
                <w:bCs/>
                <w:rtl/>
                <w:lang w:bidi="ar-EG"/>
              </w:rPr>
              <w:t xml:space="preserve">الأصل: </w:t>
            </w:r>
            <w:r w:rsidR="00A44D67">
              <w:rPr>
                <w:rFonts w:hint="cs"/>
                <w:b/>
                <w:bCs/>
                <w:rtl/>
              </w:rPr>
              <w:t>بالإسبانية</w:t>
            </w:r>
          </w:p>
        </w:tc>
      </w:tr>
      <w:tr w:rsidR="007B0AA0" w14:paraId="51B85CD7" w14:textId="77777777" w:rsidTr="00F363FE">
        <w:tc>
          <w:tcPr>
            <w:tcW w:w="6512" w:type="dxa"/>
          </w:tcPr>
          <w:p w14:paraId="73DE253D" w14:textId="77777777" w:rsidR="007B0AA0" w:rsidRDefault="007B0AA0" w:rsidP="00F363FE">
            <w:pPr>
              <w:spacing w:before="60" w:after="60" w:line="260" w:lineRule="exact"/>
              <w:rPr>
                <w:lang w:bidi="ar-EG"/>
              </w:rPr>
            </w:pPr>
          </w:p>
        </w:tc>
        <w:tc>
          <w:tcPr>
            <w:tcW w:w="3117" w:type="dxa"/>
          </w:tcPr>
          <w:p w14:paraId="2C4798A9" w14:textId="77777777" w:rsidR="007B0AA0" w:rsidRDefault="007B0AA0" w:rsidP="00F363FE">
            <w:pPr>
              <w:spacing w:before="60" w:after="60" w:line="260" w:lineRule="exact"/>
              <w:rPr>
                <w:rtl/>
                <w:lang w:bidi="ar-EG"/>
              </w:rPr>
            </w:pPr>
          </w:p>
        </w:tc>
      </w:tr>
      <w:tr w:rsidR="007B0AA0" w14:paraId="174F013B" w14:textId="77777777" w:rsidTr="00EE7446">
        <w:tc>
          <w:tcPr>
            <w:tcW w:w="9629" w:type="dxa"/>
            <w:gridSpan w:val="2"/>
          </w:tcPr>
          <w:p w14:paraId="28CE8EF4" w14:textId="0EFE05D0" w:rsidR="007B0AA0" w:rsidRDefault="00A44D67" w:rsidP="007B0AA0">
            <w:pPr>
              <w:pStyle w:val="Source"/>
              <w:jc w:val="left"/>
              <w:rPr>
                <w:lang w:bidi="ar-EG"/>
              </w:rPr>
            </w:pPr>
            <w:r w:rsidRPr="00A44D67">
              <w:rPr>
                <w:rtl/>
                <w:lang w:bidi="ar-EG"/>
              </w:rPr>
              <w:t>مساهمة مقدمة من جمهورية الأرجنتين</w:t>
            </w:r>
          </w:p>
        </w:tc>
      </w:tr>
      <w:tr w:rsidR="007B0AA0" w14:paraId="07BBDF5C" w14:textId="77777777" w:rsidTr="007B0AA0">
        <w:tc>
          <w:tcPr>
            <w:tcW w:w="9629" w:type="dxa"/>
            <w:gridSpan w:val="2"/>
            <w:tcBorders>
              <w:bottom w:val="single" w:sz="4" w:space="0" w:color="auto"/>
            </w:tcBorders>
          </w:tcPr>
          <w:p w14:paraId="4CEEFF10" w14:textId="0548A0B3" w:rsidR="007B0AA0" w:rsidRPr="005546CF" w:rsidRDefault="00A44D67" w:rsidP="00A44D67">
            <w:pPr>
              <w:pStyle w:val="Subtitle0"/>
              <w:jc w:val="left"/>
              <w:rPr>
                <w:sz w:val="32"/>
                <w:szCs w:val="32"/>
              </w:rPr>
            </w:pPr>
            <w:r w:rsidRPr="00A44D67">
              <w:rPr>
                <w:sz w:val="32"/>
                <w:szCs w:val="32"/>
                <w:rtl/>
              </w:rPr>
              <w:t xml:space="preserve">تطبيق المقرر 482 - دراسة حالة بشأن التكاليف غير المباشرة المرتبطة </w:t>
            </w:r>
            <w:r>
              <w:rPr>
                <w:sz w:val="32"/>
                <w:szCs w:val="32"/>
              </w:rPr>
              <w:br/>
            </w:r>
            <w:r w:rsidRPr="00A44D67">
              <w:rPr>
                <w:sz w:val="32"/>
                <w:szCs w:val="32"/>
                <w:rtl/>
              </w:rPr>
              <w:t>بتبليغات شبكات وأنظمة السواتل، وإطار منهجي مقترح</w:t>
            </w:r>
          </w:p>
        </w:tc>
      </w:tr>
      <w:tr w:rsidR="007B0AA0" w14:paraId="09DC6749" w14:textId="77777777" w:rsidTr="007B0AA0">
        <w:tc>
          <w:tcPr>
            <w:tcW w:w="9629"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082D99CF" w14:textId="46868D9C" w:rsidR="007B0AA0" w:rsidRDefault="00A44D67" w:rsidP="007B0AA0">
            <w:pPr>
              <w:rPr>
                <w:rtl/>
              </w:rPr>
            </w:pPr>
            <w:r w:rsidRPr="00A44D67">
              <w:rPr>
                <w:rtl/>
              </w:rPr>
              <w:t>تهدف جمهورية الأرجنتين في هذه المساهمة إلى توفير مدخلات اقتصادية ومنهجية من شأنها أن تساعد على تحسين إمكانية التنبؤ بالنظام وضمان أن تكون التكاليف المستردة متناسبة مع الخدمات المقدمة بالفعل.</w:t>
            </w:r>
          </w:p>
          <w:p w14:paraId="587257F0" w14:textId="77777777" w:rsidR="007B0AA0" w:rsidRPr="007B0AA0" w:rsidRDefault="007B0AA0" w:rsidP="007B0AA0">
            <w:pPr>
              <w:rPr>
                <w:b/>
                <w:bCs/>
                <w:rtl/>
              </w:rPr>
            </w:pPr>
            <w:r w:rsidRPr="007B0AA0">
              <w:rPr>
                <w:rFonts w:hint="cs"/>
                <w:b/>
                <w:bCs/>
                <w:rtl/>
              </w:rPr>
              <w:t>الإجراء المطلوب من المجلس</w:t>
            </w:r>
          </w:p>
          <w:p w14:paraId="7EE7F44E" w14:textId="77777777" w:rsidR="00A44D67" w:rsidRDefault="00A44D67" w:rsidP="00A44D67">
            <w:pPr>
              <w:rPr>
                <w:rtl/>
              </w:rPr>
            </w:pPr>
            <w:r>
              <w:rPr>
                <w:rtl/>
              </w:rPr>
              <w:t>يُدعى المجلس إلى:</w:t>
            </w:r>
          </w:p>
          <w:p w14:paraId="239443E8" w14:textId="24F5300B" w:rsidR="00A44D67" w:rsidRDefault="00A44D67" w:rsidP="00A44D67">
            <w:pPr>
              <w:pStyle w:val="enumlev1"/>
              <w:rPr>
                <w:rtl/>
              </w:rPr>
            </w:pPr>
            <w:r>
              <w:rPr>
                <w:rFonts w:hint="cs"/>
                <w:rtl/>
              </w:rPr>
              <w:t>-</w:t>
            </w:r>
            <w:r>
              <w:rPr>
                <w:rtl/>
              </w:rPr>
              <w:tab/>
            </w:r>
            <w:r w:rsidRPr="00A44D67">
              <w:rPr>
                <w:b/>
                <w:bCs/>
                <w:rtl/>
              </w:rPr>
              <w:t>الإحاطة علماً</w:t>
            </w:r>
            <w:r>
              <w:rPr>
                <w:rtl/>
              </w:rPr>
              <w:t xml:space="preserve"> بدراسة الحالة المقدمة من جمهورية الأرجنتين؛ و </w:t>
            </w:r>
          </w:p>
          <w:p w14:paraId="35A485CE" w14:textId="1C4F860B" w:rsidR="007B0AA0" w:rsidRDefault="00A44D67" w:rsidP="00A44D67">
            <w:pPr>
              <w:pStyle w:val="enumlev1"/>
              <w:rPr>
                <w:rtl/>
              </w:rPr>
            </w:pPr>
            <w:r>
              <w:rPr>
                <w:rFonts w:hint="cs"/>
                <w:rtl/>
              </w:rPr>
              <w:t>-</w:t>
            </w:r>
            <w:r>
              <w:rPr>
                <w:rtl/>
              </w:rPr>
              <w:tab/>
            </w:r>
            <w:r w:rsidRPr="00A44D67">
              <w:rPr>
                <w:b/>
                <w:bCs/>
                <w:rtl/>
              </w:rPr>
              <w:t>النظر في</w:t>
            </w:r>
            <w:r>
              <w:rPr>
                <w:rtl/>
              </w:rPr>
              <w:t xml:space="preserve"> الإطار المنهجي المقترح كأساس للمناقشات المقبلة والتعديلات المحتملة على تطبيق المقرر</w:t>
            </w:r>
            <w:r>
              <w:rPr>
                <w:rFonts w:hint="cs"/>
                <w:rtl/>
              </w:rPr>
              <w:t> </w:t>
            </w:r>
            <w:r>
              <w:rPr>
                <w:rtl/>
              </w:rPr>
              <w:t>482 الصادر عن مجلس الاتحاد.</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7043085D" w:rsidR="007B0AA0" w:rsidRPr="005546CF" w:rsidRDefault="00A44D67" w:rsidP="007B0AA0">
            <w:pPr>
              <w:rPr>
                <w:i/>
                <w:iCs/>
                <w:rtl/>
              </w:rPr>
            </w:pPr>
            <w:r w:rsidRPr="00A44D67">
              <w:rPr>
                <w:i/>
                <w:iCs/>
                <w:u w:color="5B9BD5"/>
                <w:rtl/>
              </w:rPr>
              <w:t xml:space="preserve">مقرر المجلس </w:t>
            </w:r>
            <w:hyperlink r:id="rId8" w:history="1">
              <w:r w:rsidRPr="00A44D67">
                <w:rPr>
                  <w:rStyle w:val="Hyperlink"/>
                  <w:i/>
                  <w:iCs/>
                  <w:noProof w:val="0"/>
                  <w:rtl/>
                  <w:lang w:val="en-US" w:eastAsia="zh-CN"/>
                </w:rPr>
                <w:t>482 (الصادر في دورة المجلس لعام 2001، والمعدَّل آخر مرة في دورة المجلس لعام 2025)</w:t>
              </w:r>
            </w:hyperlink>
            <w:r w:rsidRPr="00A44D67">
              <w:rPr>
                <w:i/>
                <w:iCs/>
                <w:rtl/>
              </w:rPr>
              <w:t>؛ ‏</w:t>
            </w:r>
            <w:hyperlink r:id="rId9" w:history="1">
              <w:r w:rsidRPr="00A44D67">
                <w:rPr>
                  <w:rStyle w:val="Hyperlink"/>
                  <w:i/>
                  <w:iCs/>
                  <w:noProof w:val="0"/>
                  <w:rtl/>
                  <w:lang w:val="en-US" w:eastAsia="zh-CN"/>
                </w:rPr>
                <w:t>لوائح الراديو الصادرة عن الاتحاد</w:t>
              </w:r>
            </w:hyperlink>
          </w:p>
        </w:tc>
      </w:tr>
    </w:tbl>
    <w:p w14:paraId="41C8B8B1" w14:textId="77777777" w:rsidR="00F50E3F" w:rsidRDefault="00F50E3F" w:rsidP="0043260A">
      <w:pPr>
        <w:rPr>
          <w:rtl/>
          <w:lang w:bidi="ar-EG"/>
        </w:rPr>
      </w:pPr>
      <w:r>
        <w:rPr>
          <w:rtl/>
          <w:lang w:bidi="ar-EG"/>
        </w:rPr>
        <w:br w:type="page"/>
      </w:r>
    </w:p>
    <w:p w14:paraId="1576B26A" w14:textId="77777777" w:rsidR="00A44D67" w:rsidRPr="00A44D67" w:rsidRDefault="00A44D67" w:rsidP="00CC351A">
      <w:pPr>
        <w:pStyle w:val="Heading1"/>
      </w:pPr>
      <w:r w:rsidRPr="00A44D67">
        <w:rPr>
          <w:rtl/>
        </w:rPr>
        <w:lastRenderedPageBreak/>
        <w:t>1</w:t>
      </w:r>
      <w:r w:rsidRPr="00A44D67">
        <w:rPr>
          <w:rtl/>
        </w:rPr>
        <w:tab/>
        <w:t>مقدمة</w:t>
      </w:r>
    </w:p>
    <w:p w14:paraId="05A74EAC" w14:textId="77777777" w:rsidR="00A44D67" w:rsidRPr="00A44D67" w:rsidRDefault="00A44D67" w:rsidP="00A44D67">
      <w:r w:rsidRPr="00A44D67">
        <w:rPr>
          <w:rtl/>
        </w:rPr>
        <w:t>تؤكد جمهورية الأرجنتين من جديد التزامها بمبادئ الاستدامة والشفافية والإنصاف التي توجه إدارة موارد الطيف والمدارات الساتلية في إطار الاتحاد الدولي للاتصالات.</w:t>
      </w:r>
    </w:p>
    <w:p w14:paraId="7E81DEDE" w14:textId="77777777" w:rsidR="00A44D67" w:rsidRPr="00A44D67" w:rsidRDefault="00A44D67" w:rsidP="00A44D67">
      <w:r w:rsidRPr="00A44D67">
        <w:rPr>
          <w:rtl/>
        </w:rPr>
        <w:t>وفيما يتعلق بتطبيق المقرر 482 (الصادر في دورة المجلس لعام 2001، والمعدل آخر مرة في دورة المجلس لعام 2025) وبهدف تسهيل التنفيذ المتوازن لنظام استرداد التكاليف المرتبط بالتبليغ عن الشبكات والأنظمة الساتلية وتنسيقها وتسجيلها، تقدم الأرجنتين في هذه الوثيقة دراسة حالة تحلل التكاليف غير المباشرة المرتبطة بهذه الأنشطة.</w:t>
      </w:r>
    </w:p>
    <w:p w14:paraId="574FE84D" w14:textId="77777777" w:rsidR="00A44D67" w:rsidRPr="00A44D67" w:rsidRDefault="00A44D67" w:rsidP="00CC351A">
      <w:pPr>
        <w:pStyle w:val="Heading1"/>
      </w:pPr>
      <w:r w:rsidRPr="00A44D67">
        <w:rPr>
          <w:rtl/>
        </w:rPr>
        <w:t>2</w:t>
      </w:r>
      <w:r w:rsidRPr="00A44D67">
        <w:rPr>
          <w:rtl/>
        </w:rPr>
        <w:tab/>
        <w:t>مقرر المجلس 482</w:t>
      </w:r>
    </w:p>
    <w:p w14:paraId="2F8FC357" w14:textId="77777777" w:rsidR="00A44D67" w:rsidRPr="00A44D67" w:rsidRDefault="00A44D67" w:rsidP="00A44D67">
      <w:r w:rsidRPr="00A44D67">
        <w:rPr>
          <w:rtl/>
        </w:rPr>
        <w:t>يضع مقرر المجلس 482 إطاراً لاسترداد التكاليف المباشرة الناشئة عن معالجة بطاقات التبليغ عن الشبكات والأنظمة الساتلية، بما في ذلك عمليات التقييم التقنية والإدارية اللازمة لمعالجتها وفقاً للوائح الراديو.</w:t>
      </w:r>
    </w:p>
    <w:p w14:paraId="3945B3A0" w14:textId="77777777" w:rsidR="00A44D67" w:rsidRPr="00A44D67" w:rsidRDefault="00A44D67" w:rsidP="00A44D67">
      <w:r w:rsidRPr="00A44D67">
        <w:rPr>
          <w:rtl/>
        </w:rPr>
        <w:t>وفي الممارسة العملية، تترتب على ذلك تكاليف غير مباشرة مرتبطة بالتشغيل العام للمنظمة، إلى جانب التكاليف المباشرة المحددة بوضوح. وفي حين تعزى هذه التكاليف إلى الدعم اللازم لتوفير الخدمة، فإن تعريفها وتوزيعها على النحو الصحيح ضروريان للحفاظ على الاتساق الاقتصادي في النظام.</w:t>
      </w:r>
    </w:p>
    <w:p w14:paraId="4208E4DB" w14:textId="77777777" w:rsidR="00A44D67" w:rsidRPr="00A44D67" w:rsidRDefault="00A44D67" w:rsidP="00CC351A">
      <w:pPr>
        <w:pStyle w:val="Heading1"/>
      </w:pPr>
      <w:r w:rsidRPr="00A44D67">
        <w:rPr>
          <w:rtl/>
        </w:rPr>
        <w:t>3</w:t>
      </w:r>
      <w:r w:rsidRPr="00A44D67">
        <w:rPr>
          <w:rtl/>
        </w:rPr>
        <w:tab/>
        <w:t>دراسة حالة: تحليل التكاليف المرتبطة بمعالجة بطاقات التبليغ عن الشبكات والأنظمة الساتلية</w:t>
      </w:r>
    </w:p>
    <w:p w14:paraId="6A407654" w14:textId="77777777" w:rsidR="00A44D67" w:rsidRPr="00A44D67" w:rsidRDefault="00A44D67" w:rsidP="00A44D67">
      <w:r w:rsidRPr="00A44D67">
        <w:rPr>
          <w:rtl/>
        </w:rPr>
        <w:t>استناداً إلى تحليل العمليات التي تنطوي عليها معالجة بطاقات التبليغ عن الشبكات والأنظمة الساتلية، تلاحظ الأرجنتين ما يلي:</w:t>
      </w:r>
    </w:p>
    <w:p w14:paraId="46086D60" w14:textId="493E68F7" w:rsidR="00A44D67" w:rsidRPr="00A44D67" w:rsidRDefault="00CC351A" w:rsidP="00CC351A">
      <w:pPr>
        <w:pStyle w:val="enumlev1"/>
      </w:pPr>
      <w:r>
        <w:rPr>
          <w:rFonts w:hint="cs"/>
          <w:rtl/>
        </w:rPr>
        <w:t>-</w:t>
      </w:r>
      <w:r w:rsidR="00A44D67" w:rsidRPr="00A44D67">
        <w:rPr>
          <w:rtl/>
        </w:rPr>
        <w:tab/>
        <w:t>يمكن تحديد التكاليف المباشرة وتعيينها كمياً بموضوعية، لأنها ناشئة عن أنشطة تقنية محددة منصوص عليها في المقرر 482.</w:t>
      </w:r>
    </w:p>
    <w:p w14:paraId="4C58D530" w14:textId="0F90A6D1" w:rsidR="00A44D67" w:rsidRPr="00A44D67" w:rsidRDefault="00CC351A" w:rsidP="00CC351A">
      <w:pPr>
        <w:pStyle w:val="enumlev1"/>
      </w:pPr>
      <w:r>
        <w:rPr>
          <w:rFonts w:hint="cs"/>
          <w:rtl/>
        </w:rPr>
        <w:t>-</w:t>
      </w:r>
      <w:r w:rsidR="00A44D67" w:rsidRPr="00A44D67">
        <w:rPr>
          <w:rtl/>
        </w:rPr>
        <w:tab/>
        <w:t>قد تكون التكاليف غير المباشرة، في غياب معايير مرجعية واضحة، عرضة لتغيرات كبيرة ما يؤثر على شفافية نظام استرداد التكاليف.</w:t>
      </w:r>
    </w:p>
    <w:p w14:paraId="06F78010" w14:textId="633FC253" w:rsidR="00A44D67" w:rsidRPr="00A44D67" w:rsidRDefault="00CC351A" w:rsidP="00CC351A">
      <w:pPr>
        <w:pStyle w:val="enumlev1"/>
      </w:pPr>
      <w:r>
        <w:rPr>
          <w:rFonts w:hint="cs"/>
          <w:rtl/>
        </w:rPr>
        <w:t>-</w:t>
      </w:r>
      <w:r w:rsidR="00A44D67" w:rsidRPr="00A44D67">
        <w:rPr>
          <w:rtl/>
        </w:rPr>
        <w:tab/>
        <w:t>قد يكون لنسبة عالية من التكاليف غير المباشرة مقابل التكاليف المباشرة أثر سلبي على قدرة الإدارات المبلغة على التنبؤ وأن تشكل عائقاً، خاصة بالنسبة للبلدان النامية.</w:t>
      </w:r>
    </w:p>
    <w:p w14:paraId="5FF88F52" w14:textId="77777777" w:rsidR="00A44D67" w:rsidRPr="00A44D67" w:rsidRDefault="00A44D67" w:rsidP="00CC351A">
      <w:pPr>
        <w:pStyle w:val="Heading1"/>
      </w:pPr>
      <w:r w:rsidRPr="00A44D67">
        <w:rPr>
          <w:rtl/>
        </w:rPr>
        <w:t>4</w:t>
      </w:r>
      <w:r w:rsidRPr="00A44D67">
        <w:rPr>
          <w:rtl/>
        </w:rPr>
        <w:tab/>
        <w:t>النهج الاقتصادي والمنهجي</w:t>
      </w:r>
    </w:p>
    <w:p w14:paraId="5D9F2EC1" w14:textId="0ABB201F" w:rsidR="00A44D67" w:rsidRPr="00A44D67" w:rsidRDefault="00CC351A" w:rsidP="00CC351A">
      <w:pPr>
        <w:pStyle w:val="Heading2"/>
      </w:pPr>
      <w:r>
        <w:rPr>
          <w:rFonts w:hint="cs"/>
          <w:rtl/>
        </w:rPr>
        <w:t>1.4</w:t>
      </w:r>
      <w:r w:rsidR="00A44D67" w:rsidRPr="00A44D67">
        <w:rPr>
          <w:rtl/>
        </w:rPr>
        <w:tab/>
        <w:t>تصنيف التكاليف</w:t>
      </w:r>
    </w:p>
    <w:p w14:paraId="3ED18685" w14:textId="37D7BD8B" w:rsidR="00A44D67" w:rsidRPr="00A44D67" w:rsidRDefault="00A44D67" w:rsidP="00A44D67">
      <w:r w:rsidRPr="00A44D67">
        <w:rPr>
          <w:rtl/>
        </w:rPr>
        <w:t>ولأغراض هذه الدراسة، اعتمد نهج للتصنيف يتماشى مع المبادئ المقبولة على نطاق واسع لمحاسبة التكاليف والإدارة</w:t>
      </w:r>
      <w:r w:rsidR="00CC351A">
        <w:rPr>
          <w:rFonts w:hint="cs"/>
          <w:rtl/>
        </w:rPr>
        <w:t> </w:t>
      </w:r>
      <w:r w:rsidRPr="00A44D67">
        <w:rPr>
          <w:rtl/>
        </w:rPr>
        <w:t>العامة:</w:t>
      </w:r>
    </w:p>
    <w:p w14:paraId="07225F15" w14:textId="42D03705" w:rsidR="00A44D67" w:rsidRPr="00A44D67" w:rsidRDefault="00CC351A" w:rsidP="00CC351A">
      <w:pPr>
        <w:pStyle w:val="Headingb"/>
      </w:pPr>
      <w:r>
        <w:rPr>
          <w:rFonts w:hint="cs"/>
          <w:rtl/>
        </w:rPr>
        <w:t> </w:t>
      </w:r>
      <w:r w:rsidR="00A44D67" w:rsidRPr="00A44D67">
        <w:rPr>
          <w:rtl/>
        </w:rPr>
        <w:t>أ</w:t>
      </w:r>
      <w:r>
        <w:rPr>
          <w:rFonts w:hint="cs"/>
          <w:rtl/>
        </w:rPr>
        <w:t> </w:t>
      </w:r>
      <w:r w:rsidR="00A44D67" w:rsidRPr="00A44D67">
        <w:rPr>
          <w:rtl/>
        </w:rPr>
        <w:t>)</w:t>
      </w:r>
      <w:r w:rsidR="00A44D67" w:rsidRPr="00A44D67">
        <w:rPr>
          <w:rtl/>
        </w:rPr>
        <w:tab/>
        <w:t>التكاليف المباشرة</w:t>
      </w:r>
    </w:p>
    <w:p w14:paraId="4CA65609" w14:textId="77777777" w:rsidR="00A44D67" w:rsidRPr="00A44D67" w:rsidRDefault="00A44D67" w:rsidP="00A44D67">
      <w:r w:rsidRPr="00A44D67">
        <w:rPr>
          <w:rtl/>
        </w:rPr>
        <w:t>التكاليف المباشرة هي التكاليف التي يمكن توزيعها حصراً وبوضوح على أنشطة محددة في بطاقة تبليغ معينة والتحقق منها، بما في ذلك على سبيل المثال لا الحصر:</w:t>
      </w:r>
    </w:p>
    <w:p w14:paraId="243F73F5" w14:textId="7A174C90" w:rsidR="00A44D67" w:rsidRPr="00A44D67" w:rsidRDefault="00CC351A" w:rsidP="00CC351A">
      <w:pPr>
        <w:pStyle w:val="enumlev1"/>
      </w:pPr>
      <w:r>
        <w:rPr>
          <w:rFonts w:hint="cs"/>
          <w:rtl/>
        </w:rPr>
        <w:t>-</w:t>
      </w:r>
      <w:r w:rsidR="00A44D67" w:rsidRPr="00A44D67">
        <w:rPr>
          <w:rtl/>
        </w:rPr>
        <w:tab/>
        <w:t>التحليل التقني/التنظيمي للشبكات المبلغ عنها؛</w:t>
      </w:r>
    </w:p>
    <w:p w14:paraId="31504BEE" w14:textId="5CF7DF26" w:rsidR="00A44D67" w:rsidRPr="00A44D67" w:rsidRDefault="00CC351A" w:rsidP="00CC351A">
      <w:pPr>
        <w:pStyle w:val="enumlev1"/>
      </w:pPr>
      <w:r>
        <w:rPr>
          <w:rFonts w:hint="cs"/>
          <w:rtl/>
        </w:rPr>
        <w:t>-</w:t>
      </w:r>
      <w:r w:rsidR="00A44D67" w:rsidRPr="00A44D67">
        <w:rPr>
          <w:rtl/>
        </w:rPr>
        <w:tab/>
        <w:t>دراسات التوافق والتنسيق؛</w:t>
      </w:r>
    </w:p>
    <w:p w14:paraId="707DBFB3" w14:textId="126E8E7A" w:rsidR="00A44D67" w:rsidRPr="00A44D67" w:rsidRDefault="00CC351A" w:rsidP="00CC351A">
      <w:pPr>
        <w:pStyle w:val="enumlev1"/>
      </w:pPr>
      <w:r>
        <w:rPr>
          <w:rFonts w:hint="cs"/>
          <w:rtl/>
        </w:rPr>
        <w:t>-</w:t>
      </w:r>
      <w:r w:rsidR="00A44D67" w:rsidRPr="00A44D67">
        <w:rPr>
          <w:rtl/>
        </w:rPr>
        <w:tab/>
        <w:t>معالجة المعلومات وتسجيلها في أنظمة الاتحاد؛</w:t>
      </w:r>
    </w:p>
    <w:p w14:paraId="233038DB" w14:textId="18D64AD6" w:rsidR="00A44D67" w:rsidRPr="00A44D67" w:rsidRDefault="00CC351A" w:rsidP="00CC351A">
      <w:pPr>
        <w:pStyle w:val="enumlev1"/>
      </w:pPr>
      <w:r>
        <w:rPr>
          <w:rFonts w:hint="cs"/>
          <w:rtl/>
        </w:rPr>
        <w:t>-</w:t>
      </w:r>
      <w:r w:rsidR="00A44D67" w:rsidRPr="00A44D67">
        <w:rPr>
          <w:rtl/>
        </w:rPr>
        <w:tab/>
        <w:t>نشر الأقسام الخاصة ذات الصلة؛ و</w:t>
      </w:r>
    </w:p>
    <w:p w14:paraId="0C01E2BB" w14:textId="0ABDDDEA" w:rsidR="00A44D67" w:rsidRPr="00A44D67" w:rsidRDefault="00CC351A" w:rsidP="00CC351A">
      <w:pPr>
        <w:pStyle w:val="enumlev1"/>
      </w:pPr>
      <w:r>
        <w:rPr>
          <w:rFonts w:hint="cs"/>
          <w:rtl/>
        </w:rPr>
        <w:t>-</w:t>
      </w:r>
      <w:r w:rsidR="00A44D67" w:rsidRPr="00A44D67">
        <w:rPr>
          <w:rtl/>
        </w:rPr>
        <w:tab/>
        <w:t>التفاعل مع الإدارات المبلغة المعنية بحالة محددة.</w:t>
      </w:r>
    </w:p>
    <w:p w14:paraId="3F63EA1D" w14:textId="77777777" w:rsidR="00A44D67" w:rsidRPr="00A44D67" w:rsidRDefault="00A44D67" w:rsidP="00CC351A">
      <w:pPr>
        <w:pStyle w:val="Headingb"/>
      </w:pPr>
      <w:r w:rsidRPr="00A44D67">
        <w:rPr>
          <w:rtl/>
        </w:rPr>
        <w:lastRenderedPageBreak/>
        <w:t>ب)</w:t>
      </w:r>
      <w:r w:rsidRPr="00A44D67">
        <w:rPr>
          <w:rtl/>
        </w:rPr>
        <w:tab/>
        <w:t>التكاليف غير المباشرة</w:t>
      </w:r>
    </w:p>
    <w:p w14:paraId="77192DA1" w14:textId="77777777" w:rsidR="00A44D67" w:rsidRPr="00A44D67" w:rsidRDefault="00A44D67" w:rsidP="00A44D67">
      <w:r w:rsidRPr="00A44D67">
        <w:rPr>
          <w:rtl/>
        </w:rPr>
        <w:t>التكاليف غير المباشرة هي التكاليف اللازمة للتشغيل العام للمنظمة ولا يمكن أن تعزى حصراً إلى بطاقة تبليغ فردية، مثل:</w:t>
      </w:r>
    </w:p>
    <w:p w14:paraId="1BF86430" w14:textId="40B1F9F8" w:rsidR="00A44D67" w:rsidRPr="00A44D67" w:rsidRDefault="00CC351A" w:rsidP="00CC351A">
      <w:pPr>
        <w:pStyle w:val="enumlev1"/>
      </w:pPr>
      <w:r>
        <w:rPr>
          <w:rFonts w:hint="cs"/>
          <w:rtl/>
        </w:rPr>
        <w:t>-</w:t>
      </w:r>
      <w:r w:rsidR="00A44D67" w:rsidRPr="00A44D67">
        <w:rPr>
          <w:rtl/>
        </w:rPr>
        <w:tab/>
        <w:t>الإدارة العامة؛</w:t>
      </w:r>
    </w:p>
    <w:p w14:paraId="23285217" w14:textId="60EEF407" w:rsidR="00A44D67" w:rsidRPr="00A44D67" w:rsidRDefault="00CC351A" w:rsidP="00CC351A">
      <w:pPr>
        <w:pStyle w:val="enumlev1"/>
      </w:pPr>
      <w:r>
        <w:rPr>
          <w:rFonts w:hint="cs"/>
          <w:rtl/>
        </w:rPr>
        <w:t>-</w:t>
      </w:r>
      <w:r w:rsidR="00A44D67" w:rsidRPr="00A44D67">
        <w:rPr>
          <w:rtl/>
        </w:rPr>
        <w:tab/>
        <w:t>إدارة الموارد البشرية؛</w:t>
      </w:r>
    </w:p>
    <w:p w14:paraId="5CE20F3A" w14:textId="1499FA69" w:rsidR="00A44D67" w:rsidRPr="00A44D67" w:rsidRDefault="00CC351A" w:rsidP="00CC351A">
      <w:pPr>
        <w:pStyle w:val="enumlev1"/>
      </w:pPr>
      <w:r>
        <w:rPr>
          <w:rFonts w:hint="cs"/>
          <w:rtl/>
        </w:rPr>
        <w:t>-</w:t>
      </w:r>
      <w:r w:rsidR="00A44D67" w:rsidRPr="00A44D67">
        <w:rPr>
          <w:rtl/>
        </w:rPr>
        <w:tab/>
        <w:t>صيانة البنية التحتية لتكنولوجيا المعلومات وأنظمتها متعددة الأغراض؛ و</w:t>
      </w:r>
    </w:p>
    <w:p w14:paraId="676EF9DC" w14:textId="0DA97F97" w:rsidR="00A44D67" w:rsidRPr="00A44D67" w:rsidRDefault="00CC351A" w:rsidP="00CC351A">
      <w:pPr>
        <w:pStyle w:val="enumlev1"/>
      </w:pPr>
      <w:r>
        <w:rPr>
          <w:rFonts w:hint="cs"/>
          <w:rtl/>
        </w:rPr>
        <w:t>-</w:t>
      </w:r>
      <w:r w:rsidR="00A44D67" w:rsidRPr="00A44D67">
        <w:rPr>
          <w:rtl/>
        </w:rPr>
        <w:tab/>
        <w:t>الدعم الإداري والقانوني.</w:t>
      </w:r>
    </w:p>
    <w:p w14:paraId="27746C4D" w14:textId="77777777" w:rsidR="00A44D67" w:rsidRPr="00A44D67" w:rsidRDefault="00A44D67" w:rsidP="00A44D67">
      <w:r w:rsidRPr="00A44D67">
        <w:rPr>
          <w:rtl/>
        </w:rPr>
        <w:t>وهذا التمييز ضروري لضمان إمكانية التتبع والشفافية والتناسب في نظام استرداد التكاليف.</w:t>
      </w:r>
    </w:p>
    <w:p w14:paraId="386B97B8" w14:textId="306B571E" w:rsidR="00A44D67" w:rsidRPr="00A44D67" w:rsidRDefault="00CC351A" w:rsidP="00CC351A">
      <w:pPr>
        <w:pStyle w:val="Heading2"/>
      </w:pPr>
      <w:r>
        <w:t>2.4</w:t>
      </w:r>
      <w:r w:rsidR="00A44D67" w:rsidRPr="00A44D67">
        <w:rPr>
          <w:rtl/>
        </w:rPr>
        <w:tab/>
        <w:t>منهجية التقدير والتوزيع</w:t>
      </w:r>
    </w:p>
    <w:p w14:paraId="12A84E34" w14:textId="77777777" w:rsidR="00A44D67" w:rsidRPr="00A44D67" w:rsidRDefault="00A44D67" w:rsidP="00A44D67">
      <w:r w:rsidRPr="00A44D67">
        <w:rPr>
          <w:rtl/>
        </w:rPr>
        <w:t>تستند دراسة الحالة إلى منهجية تنص على ما يلي:</w:t>
      </w:r>
    </w:p>
    <w:p w14:paraId="5DCCEAFE" w14:textId="2C091960" w:rsidR="00A44D67" w:rsidRPr="00A44D67" w:rsidRDefault="00CC351A" w:rsidP="00CC351A">
      <w:pPr>
        <w:pStyle w:val="enumlev1"/>
      </w:pPr>
      <w:r>
        <w:rPr>
          <w:rFonts w:hint="cs"/>
          <w:rtl/>
        </w:rPr>
        <w:t>-</w:t>
      </w:r>
      <w:r w:rsidR="00A44D67" w:rsidRPr="00A44D67">
        <w:rPr>
          <w:rtl/>
        </w:rPr>
        <w:tab/>
        <w:t>تحديد العمليات التي تدخل في معالجة بطاقات التبليغ عن الشبكات والأنظمة الساتلية، والتمييز بين الأنشطة الأساسية وأنشطة الدعم؛</w:t>
      </w:r>
    </w:p>
    <w:p w14:paraId="196004C4" w14:textId="6C221E1B" w:rsidR="00A44D67" w:rsidRPr="00A44D67" w:rsidRDefault="00CC351A" w:rsidP="00CC351A">
      <w:pPr>
        <w:pStyle w:val="enumlev1"/>
      </w:pPr>
      <w:r>
        <w:rPr>
          <w:rFonts w:hint="cs"/>
          <w:rtl/>
        </w:rPr>
        <w:t>-</w:t>
      </w:r>
      <w:r w:rsidR="00A44D67" w:rsidRPr="00A44D67">
        <w:rPr>
          <w:rtl/>
        </w:rPr>
        <w:tab/>
        <w:t>تقدير التكاليف المباشرة استناداً إلى مدخلات قابلة للقياس، مثل الموارد التقنية المخصصة والاستخدام المحدد للأنظمة؛ و</w:t>
      </w:r>
    </w:p>
    <w:p w14:paraId="13A39BA9" w14:textId="6D025C5B" w:rsidR="00A44D67" w:rsidRPr="00A44D67" w:rsidRDefault="00CC351A" w:rsidP="00CC351A">
      <w:pPr>
        <w:pStyle w:val="enumlev1"/>
      </w:pPr>
      <w:r>
        <w:rPr>
          <w:rFonts w:hint="cs"/>
          <w:rtl/>
        </w:rPr>
        <w:t>-</w:t>
      </w:r>
      <w:r w:rsidR="00A44D67" w:rsidRPr="00A44D67">
        <w:rPr>
          <w:rtl/>
        </w:rPr>
        <w:tab/>
        <w:t>توزيع التكاليف غير المباشرة عن طريق معايير توزيع معقولة ومتسقة ومستقرة تتجنب توزيع التكاليف الهيكلية التي لا علاقة لها بالمستوى الفعلي للخدمة المقدمة.</w:t>
      </w:r>
    </w:p>
    <w:p w14:paraId="06976EAD" w14:textId="77777777" w:rsidR="00A44D67" w:rsidRPr="00A44D67" w:rsidRDefault="00A44D67" w:rsidP="00A44D67">
      <w:r w:rsidRPr="00A44D67">
        <w:rPr>
          <w:rtl/>
        </w:rPr>
        <w:t>ومن هذا المنظور، ينبغي للتكاليف غير المباشرة أن تعكس فقط الدعم اللازم والمتناسب لتنفيذ الأنشطة التي تعزى مباشرة إلى المقرر 482.</w:t>
      </w:r>
    </w:p>
    <w:p w14:paraId="7A7D92E0" w14:textId="2E4960B9" w:rsidR="00A44D67" w:rsidRPr="00A44D67" w:rsidRDefault="00CC351A" w:rsidP="00CC351A">
      <w:pPr>
        <w:pStyle w:val="Heading2"/>
      </w:pPr>
      <w:r>
        <w:t>3.4</w:t>
      </w:r>
      <w:r w:rsidR="00A44D67" w:rsidRPr="00A44D67">
        <w:rPr>
          <w:rtl/>
        </w:rPr>
        <w:tab/>
        <w:t>المبادئ الاقتصادية المطبقة</w:t>
      </w:r>
    </w:p>
    <w:p w14:paraId="3E7885C6" w14:textId="77777777" w:rsidR="00A44D67" w:rsidRPr="00A44D67" w:rsidRDefault="00A44D67" w:rsidP="00A44D67">
      <w:r w:rsidRPr="00A44D67">
        <w:rPr>
          <w:rtl/>
        </w:rPr>
        <w:t>ترى الأرجنتين أن نظام استرداد التكاليف ينبغي أن ينظمه، ضمن جملة أمور، المبادئ التالية:</w:t>
      </w:r>
    </w:p>
    <w:p w14:paraId="30B0D413" w14:textId="21D56823" w:rsidR="00A44D67" w:rsidRPr="00A44D67" w:rsidRDefault="00CC351A" w:rsidP="00CC351A">
      <w:pPr>
        <w:pStyle w:val="enumlev1"/>
      </w:pPr>
      <w:r>
        <w:rPr>
          <w:rFonts w:hint="cs"/>
          <w:rtl/>
        </w:rPr>
        <w:t>-</w:t>
      </w:r>
      <w:r w:rsidR="00A44D67" w:rsidRPr="00A44D67">
        <w:rPr>
          <w:rtl/>
        </w:rPr>
        <w:tab/>
        <w:t>السببية: يجب أن تكون التكاليف المستردة مرتبطة بالأنشطة التي تولدها.</w:t>
      </w:r>
    </w:p>
    <w:p w14:paraId="0AC499E6" w14:textId="541D55F8" w:rsidR="00A44D67" w:rsidRPr="00A44D67" w:rsidRDefault="00CC351A" w:rsidP="00CC351A">
      <w:pPr>
        <w:pStyle w:val="enumlev1"/>
      </w:pPr>
      <w:r>
        <w:rPr>
          <w:rFonts w:hint="cs"/>
          <w:rtl/>
        </w:rPr>
        <w:t>-</w:t>
      </w:r>
      <w:r w:rsidR="00A44D67" w:rsidRPr="00A44D67">
        <w:rPr>
          <w:rtl/>
        </w:rPr>
        <w:tab/>
        <w:t>التناسب: يجب أن تبقى التكاليف غير المباشرة في نسبة معقولة مع التكاليف المباشرة.</w:t>
      </w:r>
    </w:p>
    <w:p w14:paraId="3350BA7D" w14:textId="263200B6" w:rsidR="00A44D67" w:rsidRPr="00A44D67" w:rsidRDefault="00CC351A" w:rsidP="00CC351A">
      <w:pPr>
        <w:pStyle w:val="enumlev1"/>
      </w:pPr>
      <w:r>
        <w:rPr>
          <w:rFonts w:hint="cs"/>
          <w:rtl/>
        </w:rPr>
        <w:t>-</w:t>
      </w:r>
      <w:r w:rsidR="00A44D67" w:rsidRPr="00A44D67">
        <w:rPr>
          <w:rtl/>
        </w:rPr>
        <w:tab/>
        <w:t>إمكانية التنبؤ: يجب أن تكون الإدارات المبلغة قادرة على توقع التكاليف المرتبطة ببطاقة التبليغ بدرجة معقولة من اليقين.</w:t>
      </w:r>
    </w:p>
    <w:p w14:paraId="3B0F0E26" w14:textId="53EBB3D3" w:rsidR="00A44D67" w:rsidRPr="00A44D67" w:rsidRDefault="00CC351A" w:rsidP="00CC351A">
      <w:pPr>
        <w:pStyle w:val="enumlev1"/>
      </w:pPr>
      <w:r>
        <w:rPr>
          <w:rFonts w:hint="cs"/>
          <w:rtl/>
        </w:rPr>
        <w:t>-</w:t>
      </w:r>
      <w:r w:rsidR="00A44D67" w:rsidRPr="00A44D67">
        <w:rPr>
          <w:rtl/>
        </w:rPr>
        <w:tab/>
        <w:t>عدم التمييز: يجب ألا يكون لهيكل التكاليف تأثير غير متناسب على بعض الإدارات.</w:t>
      </w:r>
    </w:p>
    <w:p w14:paraId="4B9E9F3F" w14:textId="77777777" w:rsidR="00A44D67" w:rsidRPr="00A44D67" w:rsidRDefault="00A44D67" w:rsidP="00CC351A">
      <w:pPr>
        <w:pStyle w:val="Heading1"/>
      </w:pPr>
      <w:r w:rsidRPr="00A44D67">
        <w:rPr>
          <w:rtl/>
        </w:rPr>
        <w:t>5</w:t>
      </w:r>
      <w:r w:rsidRPr="00A44D67">
        <w:rPr>
          <w:rtl/>
        </w:rPr>
        <w:tab/>
        <w:t>الإطار المقترح للتكاليف غير المباشرة</w:t>
      </w:r>
    </w:p>
    <w:p w14:paraId="1F500CC1" w14:textId="77777777" w:rsidR="00A44D67" w:rsidRPr="00A44D67" w:rsidRDefault="00A44D67" w:rsidP="00A44D67">
      <w:r w:rsidRPr="00A44D67">
        <w:rPr>
          <w:rtl/>
        </w:rPr>
        <w:t>وبناءً على التحليل الذي أجري، تقترح إدارة الأرجنتين مبدأ توجيهي مفاده أن التكاليف غير المباشرة المرتبطة بتطبيق المقرر 482:</w:t>
      </w:r>
    </w:p>
    <w:p w14:paraId="5D060BEC" w14:textId="04CB839F" w:rsidR="00A44D67" w:rsidRPr="00A44D67" w:rsidRDefault="00CC351A" w:rsidP="00CC351A">
      <w:pPr>
        <w:pStyle w:val="enumlev1"/>
      </w:pPr>
      <w:r>
        <w:rPr>
          <w:rFonts w:hint="cs"/>
          <w:rtl/>
        </w:rPr>
        <w:t>-</w:t>
      </w:r>
      <w:r w:rsidR="00A44D67" w:rsidRPr="00A44D67">
        <w:rPr>
          <w:rtl/>
        </w:rPr>
        <w:tab/>
        <w:t>لا تتجاوز 30 في المائة من مجموع التكاليف المباشرة المستردة للأنشطة المنصوص عليها في المقرر 482.</w:t>
      </w:r>
    </w:p>
    <w:p w14:paraId="4C044555" w14:textId="77777777" w:rsidR="00A44D67" w:rsidRPr="00A44D67" w:rsidRDefault="00A44D67" w:rsidP="00BE2288">
      <w:pPr>
        <w:pStyle w:val="Headingb"/>
      </w:pPr>
      <w:r w:rsidRPr="00A44D67">
        <w:rPr>
          <w:rtl/>
        </w:rPr>
        <w:t>المبررات الاقتصادية للسقف المقترح</w:t>
      </w:r>
    </w:p>
    <w:p w14:paraId="5AE4BD98" w14:textId="22536DF1" w:rsidR="00A44D67" w:rsidRPr="00A44D67" w:rsidRDefault="00CC351A" w:rsidP="00CC351A">
      <w:pPr>
        <w:pStyle w:val="enumlev1"/>
      </w:pPr>
      <w:r>
        <w:rPr>
          <w:rFonts w:hint="cs"/>
          <w:rtl/>
        </w:rPr>
        <w:t>-</w:t>
      </w:r>
      <w:r w:rsidR="00A44D67" w:rsidRPr="00A44D67">
        <w:rPr>
          <w:rtl/>
        </w:rPr>
        <w:tab/>
        <w:t>في الخدمات التقنية المتخصصة، تمثل التكاليف غير المباشرة عموماً نسبة ضئيلة عندما تكون العمليات محددة بوضوح.</w:t>
      </w:r>
    </w:p>
    <w:p w14:paraId="144A69C1" w14:textId="18F19E68" w:rsidR="00A44D67" w:rsidRPr="00A44D67" w:rsidRDefault="00CC351A" w:rsidP="00CC351A">
      <w:pPr>
        <w:pStyle w:val="enumlev1"/>
      </w:pPr>
      <w:r>
        <w:rPr>
          <w:rFonts w:hint="cs"/>
          <w:rtl/>
        </w:rPr>
        <w:t>-</w:t>
      </w:r>
      <w:r w:rsidR="00A44D67" w:rsidRPr="00A44D67">
        <w:rPr>
          <w:rtl/>
        </w:rPr>
        <w:tab/>
        <w:t>ويسمح السقف المحدد بنسبة 30 في المائة بتغطية كافية لوظائف الدعم الضرورية دون المساس بنسبة التكلفة إلى الخدمة.</w:t>
      </w:r>
    </w:p>
    <w:p w14:paraId="05C7DC6C" w14:textId="03572894" w:rsidR="00A44D67" w:rsidRPr="00A44D67" w:rsidRDefault="00CC351A" w:rsidP="00E22B52">
      <w:pPr>
        <w:pStyle w:val="enumlev1"/>
        <w:keepNext/>
      </w:pPr>
      <w:r>
        <w:rPr>
          <w:rFonts w:hint="cs"/>
          <w:rtl/>
        </w:rPr>
        <w:lastRenderedPageBreak/>
        <w:t>-</w:t>
      </w:r>
      <w:r w:rsidR="00A44D67" w:rsidRPr="00A44D67">
        <w:rPr>
          <w:rtl/>
        </w:rPr>
        <w:tab/>
        <w:t>وقد تعكس النسب المئوية الأعلى ما يلي:</w:t>
      </w:r>
    </w:p>
    <w:p w14:paraId="5F5FBD66" w14:textId="6F0843BE" w:rsidR="00A44D67" w:rsidRPr="00A44D67" w:rsidRDefault="00BE2288" w:rsidP="00BE2288">
      <w:pPr>
        <w:pStyle w:val="enumlev2"/>
      </w:pPr>
      <w:r>
        <w:rPr>
          <w:rFonts w:ascii="Times New Roman" w:hAnsi="Times New Roman" w:cs="Times New Roman"/>
        </w:rPr>
        <w:t>●</w:t>
      </w:r>
      <w:r w:rsidR="00A44D67" w:rsidRPr="00A44D67">
        <w:rPr>
          <w:rtl/>
        </w:rPr>
        <w:tab/>
        <w:t>توزيع زائد للتكاليف الهيكلية؛</w:t>
      </w:r>
    </w:p>
    <w:p w14:paraId="76F1EBA9" w14:textId="638C0433" w:rsidR="00A44D67" w:rsidRPr="00A44D67" w:rsidRDefault="00BE2288" w:rsidP="00BE2288">
      <w:pPr>
        <w:pStyle w:val="enumlev2"/>
      </w:pPr>
      <w:r>
        <w:rPr>
          <w:rFonts w:ascii="Times New Roman" w:hAnsi="Times New Roman" w:cs="Times New Roman"/>
        </w:rPr>
        <w:t>●</w:t>
      </w:r>
      <w:r w:rsidR="00A44D67" w:rsidRPr="00A44D67">
        <w:rPr>
          <w:rtl/>
        </w:rPr>
        <w:tab/>
        <w:t>عدم الاتساق في تحديد التكاليف المباشرة؛ أو</w:t>
      </w:r>
    </w:p>
    <w:p w14:paraId="39EAAB08" w14:textId="02F5515D" w:rsidR="00A44D67" w:rsidRPr="00A44D67" w:rsidRDefault="00BE2288" w:rsidP="00BE2288">
      <w:pPr>
        <w:pStyle w:val="enumlev2"/>
      </w:pPr>
      <w:r>
        <w:rPr>
          <w:rFonts w:ascii="Times New Roman" w:hAnsi="Times New Roman" w:cs="Times New Roman"/>
        </w:rPr>
        <w:t>●</w:t>
      </w:r>
      <w:r w:rsidR="00A44D67" w:rsidRPr="00A44D67">
        <w:rPr>
          <w:rtl/>
        </w:rPr>
        <w:tab/>
        <w:t>عدم الكفاءة في عمليات الدعم.</w:t>
      </w:r>
    </w:p>
    <w:p w14:paraId="7AB01676" w14:textId="6515E71D" w:rsidR="00A44D67" w:rsidRPr="00A44D67" w:rsidRDefault="00CC351A" w:rsidP="00CC351A">
      <w:pPr>
        <w:pStyle w:val="enumlev1"/>
      </w:pPr>
      <w:r>
        <w:rPr>
          <w:rFonts w:hint="cs"/>
          <w:rtl/>
        </w:rPr>
        <w:t>-</w:t>
      </w:r>
      <w:r w:rsidR="00A44D67" w:rsidRPr="00A44D67">
        <w:rPr>
          <w:rtl/>
        </w:rPr>
        <w:tab/>
        <w:t>ويساعد اعتماد معيار كمي على الحد من التباين وتحسين الشفافية وتسهيل التقييم الدوري للنظام.</w:t>
      </w:r>
    </w:p>
    <w:p w14:paraId="505AB4C9" w14:textId="77777777" w:rsidR="00A44D67" w:rsidRPr="00A44D67" w:rsidRDefault="00A44D67" w:rsidP="00A44D67">
      <w:r w:rsidRPr="00A44D67">
        <w:rPr>
          <w:rtl/>
        </w:rPr>
        <w:t>وتشدد إدارة الأرجنتين على أن المقصود بهذه القيمة هو مبدأ توجيهي منهجي وليس سقف صارم. وعلاوة على ذلك، ينبغي استعراضها دورياً استناداً إلى تطور العمليات وحجم بطاقات التبليغ التي يتلقاها الاتحاد وتحسين الكفاءة التشغيلية.</w:t>
      </w:r>
    </w:p>
    <w:p w14:paraId="42D6700A" w14:textId="77777777" w:rsidR="00A44D67" w:rsidRPr="00A44D67" w:rsidRDefault="00A44D67" w:rsidP="00CC351A">
      <w:pPr>
        <w:pStyle w:val="Heading1"/>
      </w:pPr>
      <w:r w:rsidRPr="00A44D67">
        <w:rPr>
          <w:rtl/>
        </w:rPr>
        <w:t>6</w:t>
      </w:r>
      <w:r w:rsidRPr="00A44D67">
        <w:rPr>
          <w:rtl/>
        </w:rPr>
        <w:tab/>
        <w:t>الاعتبارات الختامية</w:t>
      </w:r>
    </w:p>
    <w:p w14:paraId="3795147D" w14:textId="77777777" w:rsidR="00A44D67" w:rsidRPr="00A44D67" w:rsidRDefault="00A44D67" w:rsidP="00A44D67">
      <w:r w:rsidRPr="00A44D67">
        <w:rPr>
          <w:rtl/>
        </w:rPr>
        <w:t>ترى إدارة الأرجنتين أن وضع إطار واضح للتكاليف غير المباشرة المرتبطة بالأنشطة بموجب المقرر 482 للمجلس من شأنه أن يسهم في:</w:t>
      </w:r>
    </w:p>
    <w:p w14:paraId="6D3FC59E" w14:textId="2275DDDB" w:rsidR="00A44D67" w:rsidRPr="00A44D67" w:rsidRDefault="00BE2288" w:rsidP="00BE2288">
      <w:pPr>
        <w:pStyle w:val="enumlev1"/>
      </w:pPr>
      <w:r>
        <w:rPr>
          <w:rFonts w:hint="cs"/>
          <w:rtl/>
        </w:rPr>
        <w:t>-</w:t>
      </w:r>
      <w:r w:rsidR="00A44D67" w:rsidRPr="00A44D67">
        <w:rPr>
          <w:rtl/>
        </w:rPr>
        <w:tab/>
        <w:t>تعزيز الشفافية والثقة في نظام استرداد التكاليف؛</w:t>
      </w:r>
    </w:p>
    <w:p w14:paraId="428D1FCE" w14:textId="369DCC2D" w:rsidR="00A44D67" w:rsidRPr="00A44D67" w:rsidRDefault="00BE2288" w:rsidP="00BE2288">
      <w:pPr>
        <w:pStyle w:val="enumlev1"/>
      </w:pPr>
      <w:r>
        <w:rPr>
          <w:rFonts w:hint="cs"/>
          <w:rtl/>
        </w:rPr>
        <w:t>-</w:t>
      </w:r>
      <w:r w:rsidR="00A44D67" w:rsidRPr="00A44D67">
        <w:rPr>
          <w:rtl/>
        </w:rPr>
        <w:tab/>
        <w:t>ضمان تطبيق المقرر 482 تطبيقاً متوازناً ومتناسباً؛ و</w:t>
      </w:r>
    </w:p>
    <w:p w14:paraId="3B0A00C5" w14:textId="3CFBD73C" w:rsidR="00A44D67" w:rsidRPr="00A44D67" w:rsidRDefault="00BE2288" w:rsidP="00BE2288">
      <w:pPr>
        <w:pStyle w:val="enumlev1"/>
      </w:pPr>
      <w:r>
        <w:rPr>
          <w:rFonts w:hint="cs"/>
          <w:rtl/>
        </w:rPr>
        <w:t>-</w:t>
      </w:r>
      <w:r w:rsidR="00A44D67" w:rsidRPr="00A44D67">
        <w:rPr>
          <w:rtl/>
        </w:rPr>
        <w:tab/>
        <w:t>تعزيز النفاذ المنصف إلى استعمال الموارد من الطيف والمدار.</w:t>
      </w:r>
      <w:r w:rsidR="004B67BB">
        <w:rPr>
          <w:rFonts w:hint="cs"/>
          <w:rtl/>
        </w:rPr>
        <w:t xml:space="preserve"> </w:t>
      </w:r>
    </w:p>
    <w:p w14:paraId="60B8CA3D" w14:textId="77777777" w:rsidR="00F50E3F" w:rsidRDefault="00D63735" w:rsidP="00BE2288">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0"/>
      <w:headerReference w:type="first" r:id="rId11"/>
      <w:footerReference w:type="first" r:id="rId12"/>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EC21" w14:textId="77777777" w:rsidR="009E4135" w:rsidRDefault="009E4135" w:rsidP="006C3242">
      <w:pPr>
        <w:spacing w:before="0" w:line="240" w:lineRule="auto"/>
      </w:pPr>
      <w:r>
        <w:separator/>
      </w:r>
    </w:p>
  </w:endnote>
  <w:endnote w:type="continuationSeparator" w:id="0">
    <w:p w14:paraId="2AA7256C" w14:textId="77777777" w:rsidR="009E4135" w:rsidRDefault="009E413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50E0A7CA" w:rsidR="00F50E3F" w:rsidRPr="007B0AA0" w:rsidRDefault="00CC351A"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2600912</w:t>
          </w:r>
        </w:p>
      </w:tc>
      <w:tc>
        <w:tcPr>
          <w:tcW w:w="3912" w:type="pct"/>
        </w:tcPr>
        <w:p w14:paraId="62EE8B15" w14:textId="5C522C20"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CC351A">
            <w:rPr>
              <w:rFonts w:ascii="Calibri" w:hAnsi="Calibri" w:cs="Arial"/>
              <w:bCs/>
              <w:color w:val="7F7F7F"/>
              <w:sz w:val="18"/>
            </w:rPr>
            <w:t>84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5E019171" w14:textId="04CBAAC6"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CC351A">
            <w:rPr>
              <w:rFonts w:ascii="Calibri" w:hAnsi="Calibri" w:cs="Arial"/>
              <w:bCs/>
              <w:color w:val="7F7F7F"/>
              <w:sz w:val="18"/>
            </w:rPr>
            <w:t>84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31A53" w14:textId="77777777" w:rsidR="009E4135" w:rsidRDefault="009E4135" w:rsidP="006C3242">
      <w:pPr>
        <w:spacing w:before="0" w:line="240" w:lineRule="auto"/>
      </w:pPr>
      <w:r>
        <w:separator/>
      </w:r>
    </w:p>
  </w:footnote>
  <w:footnote w:type="continuationSeparator" w:id="0">
    <w:p w14:paraId="13C2198A" w14:textId="77777777" w:rsidR="009E4135" w:rsidRDefault="009E413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9763215">
    <w:abstractNumId w:val="9"/>
  </w:num>
  <w:num w:numId="2" w16cid:durableId="330177449">
    <w:abstractNumId w:val="7"/>
  </w:num>
  <w:num w:numId="3" w16cid:durableId="1931352905">
    <w:abstractNumId w:val="6"/>
  </w:num>
  <w:num w:numId="4" w16cid:durableId="588199298">
    <w:abstractNumId w:val="5"/>
  </w:num>
  <w:num w:numId="5" w16cid:durableId="2125076403">
    <w:abstractNumId w:val="4"/>
  </w:num>
  <w:num w:numId="6" w16cid:durableId="465585631">
    <w:abstractNumId w:val="8"/>
  </w:num>
  <w:num w:numId="7" w16cid:durableId="728112491">
    <w:abstractNumId w:val="3"/>
  </w:num>
  <w:num w:numId="8" w16cid:durableId="1186603746">
    <w:abstractNumId w:val="2"/>
  </w:num>
  <w:num w:numId="9" w16cid:durableId="307052991">
    <w:abstractNumId w:val="1"/>
  </w:num>
  <w:num w:numId="10" w16cid:durableId="1573812072">
    <w:abstractNumId w:val="0"/>
  </w:num>
  <w:num w:numId="11" w16cid:durableId="279384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116AF"/>
    <w:rsid w:val="00021A17"/>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CE3"/>
    <w:rsid w:val="002C3F32"/>
    <w:rsid w:val="002E6541"/>
    <w:rsid w:val="00334924"/>
    <w:rsid w:val="003409BC"/>
    <w:rsid w:val="00357185"/>
    <w:rsid w:val="00377454"/>
    <w:rsid w:val="00383829"/>
    <w:rsid w:val="003F4B29"/>
    <w:rsid w:val="00410B26"/>
    <w:rsid w:val="00420F8A"/>
    <w:rsid w:val="0042686F"/>
    <w:rsid w:val="004317D8"/>
    <w:rsid w:val="0043260A"/>
    <w:rsid w:val="00434183"/>
    <w:rsid w:val="00443869"/>
    <w:rsid w:val="00447F32"/>
    <w:rsid w:val="00491BA9"/>
    <w:rsid w:val="00494119"/>
    <w:rsid w:val="00497B00"/>
    <w:rsid w:val="004A4701"/>
    <w:rsid w:val="004B67BB"/>
    <w:rsid w:val="004B7334"/>
    <w:rsid w:val="004E11DC"/>
    <w:rsid w:val="005130DE"/>
    <w:rsid w:val="00513157"/>
    <w:rsid w:val="00525DDD"/>
    <w:rsid w:val="005349B2"/>
    <w:rsid w:val="005409AC"/>
    <w:rsid w:val="005434E0"/>
    <w:rsid w:val="005546CF"/>
    <w:rsid w:val="0055516A"/>
    <w:rsid w:val="0058491B"/>
    <w:rsid w:val="00592EA5"/>
    <w:rsid w:val="005A3170"/>
    <w:rsid w:val="005E172F"/>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07B1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9E4135"/>
    <w:rsid w:val="00A44D67"/>
    <w:rsid w:val="00A47A5A"/>
    <w:rsid w:val="00A63AE6"/>
    <w:rsid w:val="00A6683B"/>
    <w:rsid w:val="00A67F05"/>
    <w:rsid w:val="00A97F94"/>
    <w:rsid w:val="00AA7EA2"/>
    <w:rsid w:val="00AB5A56"/>
    <w:rsid w:val="00B03099"/>
    <w:rsid w:val="00B05BC8"/>
    <w:rsid w:val="00B30F5E"/>
    <w:rsid w:val="00B64B47"/>
    <w:rsid w:val="00B95654"/>
    <w:rsid w:val="00B97F32"/>
    <w:rsid w:val="00BA04B2"/>
    <w:rsid w:val="00BE2288"/>
    <w:rsid w:val="00C002DE"/>
    <w:rsid w:val="00C0599D"/>
    <w:rsid w:val="00C0602B"/>
    <w:rsid w:val="00C224DA"/>
    <w:rsid w:val="00C226D2"/>
    <w:rsid w:val="00C53BF8"/>
    <w:rsid w:val="00C66157"/>
    <w:rsid w:val="00C674FE"/>
    <w:rsid w:val="00C67501"/>
    <w:rsid w:val="00C75633"/>
    <w:rsid w:val="00CC351A"/>
    <w:rsid w:val="00CE2EE1"/>
    <w:rsid w:val="00CE3349"/>
    <w:rsid w:val="00CE36E5"/>
    <w:rsid w:val="00CE4360"/>
    <w:rsid w:val="00CF27F5"/>
    <w:rsid w:val="00CF3FFD"/>
    <w:rsid w:val="00D10CCF"/>
    <w:rsid w:val="00D13941"/>
    <w:rsid w:val="00D23F5F"/>
    <w:rsid w:val="00D371DD"/>
    <w:rsid w:val="00D43F7D"/>
    <w:rsid w:val="00D63735"/>
    <w:rsid w:val="00D77D0F"/>
    <w:rsid w:val="00DA1CF0"/>
    <w:rsid w:val="00DA6A30"/>
    <w:rsid w:val="00DC1E02"/>
    <w:rsid w:val="00DC24B4"/>
    <w:rsid w:val="00DC5FB0"/>
    <w:rsid w:val="00DF16DC"/>
    <w:rsid w:val="00E22B52"/>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C226D2"/>
    <w:pPr>
      <w:keepNext/>
      <w:spacing w:before="240"/>
      <w:ind w:left="1134" w:hanging="1134"/>
    </w:pPr>
    <w:rPr>
      <w:b/>
      <w:bCs/>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5/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pub/R-REG-RR-2024"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0</TotalTime>
  <Pages>4</Pages>
  <Words>893</Words>
  <Characters>4956</Characters>
  <Application>Microsoft Office Word</Application>
  <DocSecurity>0</DocSecurity>
  <Lines>103</Lines>
  <Paragraphs>64</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Decision 482 - Case study on indirect costs associated with satellite network and system filings and proposed methodological framework</dc:title>
  <dc:subject>ITU Council 2026</dc:subject>
  <cp:keywords>C26; C2026; Council 2026; PP26</cp:keywords>
  <dc:description/>
  <dcterms:created xsi:type="dcterms:W3CDTF">2026-04-29T16:21:00Z</dcterms:created>
  <dcterms:modified xsi:type="dcterms:W3CDTF">2026-04-29T16:21:00Z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