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0B127A" w:rsidRPr="00BB6FD8" w14:paraId="7F876E9F" w14:textId="77777777" w:rsidTr="00C4421B">
        <w:trPr>
          <w:cantSplit/>
          <w:trHeight w:val="23"/>
        </w:trPr>
        <w:tc>
          <w:tcPr>
            <w:tcW w:w="3969" w:type="dxa"/>
            <w:vMerge w:val="restart"/>
            <w:tcMar>
              <w:left w:w="0" w:type="dxa"/>
            </w:tcMar>
          </w:tcPr>
          <w:p w14:paraId="62E2D66A" w14:textId="7DE54706" w:rsidR="000B127A" w:rsidRPr="00707C60" w:rsidRDefault="000B127A" w:rsidP="000B127A">
            <w:pPr>
              <w:tabs>
                <w:tab w:val="left" w:pos="851"/>
              </w:tabs>
              <w:spacing w:before="0" w:line="240" w:lineRule="atLeast"/>
              <w:rPr>
                <w:b/>
                <w:lang w:val="es-ES"/>
              </w:rPr>
            </w:pPr>
            <w:bookmarkStart w:id="0" w:name="_Hlk133421839"/>
            <w:r w:rsidRPr="00707C60">
              <w:rPr>
                <w:b/>
                <w:lang w:val="es-ES"/>
              </w:rPr>
              <w:t xml:space="preserve">Punto del orden del día: </w:t>
            </w:r>
            <w:r>
              <w:rPr>
                <w:b/>
                <w:bCs/>
                <w:color w:val="000000"/>
                <w:lang w:val="es-ES"/>
              </w:rPr>
              <w:t>PL-2</w:t>
            </w:r>
          </w:p>
        </w:tc>
        <w:tc>
          <w:tcPr>
            <w:tcW w:w="5245" w:type="dxa"/>
          </w:tcPr>
          <w:p w14:paraId="334880F1" w14:textId="1888E82E" w:rsidR="000B127A" w:rsidRPr="00BB6FD8" w:rsidRDefault="000B127A" w:rsidP="000B127A">
            <w:pPr>
              <w:tabs>
                <w:tab w:val="left" w:pos="851"/>
              </w:tabs>
              <w:spacing w:before="0" w:line="240" w:lineRule="atLeast"/>
              <w:jc w:val="right"/>
              <w:rPr>
                <w:b/>
              </w:rPr>
            </w:pPr>
            <w:r>
              <w:rPr>
                <w:b/>
                <w:bCs/>
                <w:color w:val="000000"/>
                <w:lang w:val="es-ES"/>
              </w:rPr>
              <w:t>Documento C26/83-S</w:t>
            </w:r>
          </w:p>
        </w:tc>
      </w:tr>
      <w:tr w:rsidR="000B127A" w:rsidRPr="00666D09" w14:paraId="3EA6E8B3" w14:textId="77777777" w:rsidTr="00C4421B">
        <w:trPr>
          <w:cantSplit/>
        </w:trPr>
        <w:tc>
          <w:tcPr>
            <w:tcW w:w="3969" w:type="dxa"/>
            <w:vMerge/>
          </w:tcPr>
          <w:p w14:paraId="09ABB822" w14:textId="77777777" w:rsidR="000B127A" w:rsidRPr="00BB6FD8" w:rsidRDefault="000B127A" w:rsidP="000B127A">
            <w:pPr>
              <w:tabs>
                <w:tab w:val="left" w:pos="851"/>
              </w:tabs>
              <w:spacing w:line="240" w:lineRule="atLeast"/>
              <w:rPr>
                <w:b/>
              </w:rPr>
            </w:pPr>
          </w:p>
        </w:tc>
        <w:tc>
          <w:tcPr>
            <w:tcW w:w="5245" w:type="dxa"/>
          </w:tcPr>
          <w:p w14:paraId="1BC3B942" w14:textId="4D11AEDC" w:rsidR="000B127A" w:rsidRPr="00666D09" w:rsidRDefault="000B127A" w:rsidP="000B127A">
            <w:pPr>
              <w:tabs>
                <w:tab w:val="left" w:pos="851"/>
              </w:tabs>
              <w:spacing w:before="0"/>
              <w:jc w:val="right"/>
              <w:rPr>
                <w:b/>
                <w:lang w:val="en-GB"/>
              </w:rPr>
            </w:pPr>
            <w:r>
              <w:rPr>
                <w:b/>
                <w:bCs/>
                <w:color w:val="000000"/>
                <w:lang w:val="es-ES"/>
              </w:rPr>
              <w:t>14 de abril de 2026</w:t>
            </w:r>
          </w:p>
        </w:tc>
      </w:tr>
      <w:tr w:rsidR="000B127A" w:rsidRPr="00BB6FD8" w14:paraId="2E27F64F" w14:textId="77777777" w:rsidTr="00C4421B">
        <w:trPr>
          <w:cantSplit/>
          <w:trHeight w:val="23"/>
        </w:trPr>
        <w:tc>
          <w:tcPr>
            <w:tcW w:w="3969" w:type="dxa"/>
            <w:vMerge/>
          </w:tcPr>
          <w:p w14:paraId="2439FF0F" w14:textId="77777777" w:rsidR="000B127A" w:rsidRPr="00666D09" w:rsidRDefault="000B127A" w:rsidP="000B127A">
            <w:pPr>
              <w:tabs>
                <w:tab w:val="left" w:pos="851"/>
              </w:tabs>
              <w:spacing w:line="240" w:lineRule="atLeast"/>
              <w:rPr>
                <w:b/>
                <w:lang w:val="en-GB"/>
              </w:rPr>
            </w:pPr>
          </w:p>
        </w:tc>
        <w:tc>
          <w:tcPr>
            <w:tcW w:w="5245" w:type="dxa"/>
          </w:tcPr>
          <w:p w14:paraId="5FFAA8BB" w14:textId="2D90AE75" w:rsidR="000B127A" w:rsidRPr="00BB6FD8" w:rsidRDefault="000B127A" w:rsidP="000B127A">
            <w:pPr>
              <w:tabs>
                <w:tab w:val="left" w:pos="851"/>
              </w:tabs>
              <w:spacing w:before="0" w:line="240" w:lineRule="atLeast"/>
              <w:jc w:val="right"/>
              <w:rPr>
                <w:b/>
                <w:bCs/>
              </w:rPr>
            </w:pPr>
            <w:r>
              <w:rPr>
                <w:b/>
                <w:bCs/>
                <w:color w:val="000000"/>
                <w:lang w:val="es-ES"/>
              </w:rPr>
              <w:t>Original: inglés</w:t>
            </w:r>
          </w:p>
        </w:tc>
      </w:tr>
      <w:tr w:rsidR="00FE57F6" w:rsidRPr="00BB6FD8" w14:paraId="3A0E39CE" w14:textId="77777777" w:rsidTr="00C4421B">
        <w:trPr>
          <w:cantSplit/>
          <w:trHeight w:val="23"/>
        </w:trPr>
        <w:tc>
          <w:tcPr>
            <w:tcW w:w="3969" w:type="dxa"/>
          </w:tcPr>
          <w:p w14:paraId="4E210F83" w14:textId="77777777" w:rsidR="00FE57F6" w:rsidRPr="00BB6FD8" w:rsidRDefault="00FE57F6" w:rsidP="00C4421B">
            <w:pPr>
              <w:tabs>
                <w:tab w:val="left" w:pos="851"/>
              </w:tabs>
              <w:spacing w:line="240" w:lineRule="atLeast"/>
              <w:rPr>
                <w:b/>
              </w:rPr>
            </w:pPr>
          </w:p>
        </w:tc>
        <w:tc>
          <w:tcPr>
            <w:tcW w:w="5245" w:type="dxa"/>
          </w:tcPr>
          <w:p w14:paraId="655CF41F" w14:textId="77777777" w:rsidR="00FE57F6" w:rsidRPr="00BB6FD8" w:rsidRDefault="00FE57F6" w:rsidP="00C4421B">
            <w:pPr>
              <w:tabs>
                <w:tab w:val="left" w:pos="851"/>
              </w:tabs>
              <w:spacing w:before="0" w:line="240" w:lineRule="atLeast"/>
              <w:jc w:val="right"/>
              <w:rPr>
                <w:b/>
              </w:rPr>
            </w:pPr>
          </w:p>
        </w:tc>
      </w:tr>
      <w:tr w:rsidR="00FE57F6" w:rsidRPr="00707C60" w14:paraId="1295A329" w14:textId="77777777" w:rsidTr="00C4421B">
        <w:trPr>
          <w:cantSplit/>
        </w:trPr>
        <w:tc>
          <w:tcPr>
            <w:tcW w:w="9214" w:type="dxa"/>
            <w:gridSpan w:val="2"/>
            <w:tcMar>
              <w:left w:w="0" w:type="dxa"/>
            </w:tcMar>
          </w:tcPr>
          <w:p w14:paraId="4ECC66EE" w14:textId="11D89BE3" w:rsidR="00FE57F6" w:rsidRPr="00CC1FAF" w:rsidRDefault="000B127A" w:rsidP="00C4421B">
            <w:pPr>
              <w:pStyle w:val="Source"/>
              <w:jc w:val="left"/>
              <w:rPr>
                <w:sz w:val="34"/>
                <w:szCs w:val="34"/>
                <w:lang w:val="es-ES"/>
              </w:rPr>
            </w:pPr>
            <w:r w:rsidRPr="000B127A">
              <w:rPr>
                <w:rFonts w:cstheme="minorHAnsi"/>
                <w:sz w:val="34"/>
                <w:szCs w:val="34"/>
                <w:lang w:val="es-ES"/>
              </w:rPr>
              <w:t>Contribución de Bulgaria (República de), Francia e Italia</w:t>
            </w:r>
            <w:r w:rsidRPr="00CC1FAF">
              <w:rPr>
                <w:rFonts w:cstheme="minorHAnsi"/>
                <w:sz w:val="34"/>
                <w:szCs w:val="34"/>
                <w:lang w:val="es-ES"/>
              </w:rPr>
              <w:t xml:space="preserve"> </w:t>
            </w:r>
          </w:p>
        </w:tc>
      </w:tr>
      <w:tr w:rsidR="00FE57F6" w:rsidRPr="00707C60" w14:paraId="6E9D55BA" w14:textId="77777777" w:rsidTr="00C4421B">
        <w:trPr>
          <w:cantSplit/>
        </w:trPr>
        <w:tc>
          <w:tcPr>
            <w:tcW w:w="9214" w:type="dxa"/>
            <w:gridSpan w:val="2"/>
            <w:tcMar>
              <w:left w:w="0" w:type="dxa"/>
            </w:tcMar>
          </w:tcPr>
          <w:p w14:paraId="11A1288D" w14:textId="486D8DB0" w:rsidR="00FE57F6" w:rsidRPr="000B127A" w:rsidRDefault="00762210" w:rsidP="00C4421B">
            <w:pPr>
              <w:pStyle w:val="Subtitle"/>
              <w:framePr w:hSpace="0" w:wrap="auto" w:hAnchor="text" w:xAlign="left" w:yAlign="inline"/>
              <w:rPr>
                <w:lang w:val="es-ES"/>
              </w:rPr>
            </w:pPr>
            <w:r>
              <w:rPr>
                <w:color w:val="000000"/>
                <w:lang w:val="es-ES"/>
              </w:rPr>
              <w:t>PROYECTO DE PLAN ESTRATÉGICO PARA 2028-2031</w:t>
            </w:r>
          </w:p>
        </w:tc>
      </w:tr>
      <w:tr w:rsidR="00FE57F6" w:rsidRPr="004842E0" w14:paraId="65924E6D" w14:textId="77777777" w:rsidTr="00C4421B">
        <w:trPr>
          <w:cantSplit/>
        </w:trPr>
        <w:tc>
          <w:tcPr>
            <w:tcW w:w="9214" w:type="dxa"/>
            <w:gridSpan w:val="2"/>
            <w:tcBorders>
              <w:top w:val="single" w:sz="4" w:space="0" w:color="auto"/>
              <w:bottom w:val="single" w:sz="4" w:space="0" w:color="auto"/>
            </w:tcBorders>
            <w:tcMar>
              <w:left w:w="0" w:type="dxa"/>
            </w:tcMar>
          </w:tcPr>
          <w:p w14:paraId="7AC6383B" w14:textId="77777777" w:rsidR="000B127A" w:rsidRPr="00707C60" w:rsidRDefault="000B127A" w:rsidP="000B127A">
            <w:pPr>
              <w:spacing w:before="160"/>
              <w:rPr>
                <w:b/>
                <w:bCs/>
                <w:sz w:val="26"/>
                <w:szCs w:val="26"/>
                <w:lang w:val="es-ES"/>
              </w:rPr>
            </w:pPr>
            <w:r>
              <w:rPr>
                <w:b/>
                <w:bCs/>
                <w:color w:val="000000"/>
                <w:lang w:val="es-ES"/>
              </w:rPr>
              <w:t>Objetivo</w:t>
            </w:r>
          </w:p>
          <w:p w14:paraId="21682500" w14:textId="77777777" w:rsidR="000B127A" w:rsidRPr="00707C60" w:rsidRDefault="000B127A" w:rsidP="000B127A">
            <w:pPr>
              <w:rPr>
                <w:lang w:val="es-ES"/>
              </w:rPr>
            </w:pPr>
            <w:r>
              <w:rPr>
                <w:color w:val="000000"/>
                <w:lang w:val="es-ES"/>
              </w:rPr>
              <w:t>Esta contribución se ha preparado para presentar las opiniones de los cosignatarios sobre el proyecto de Plan Estratégico de la UIT para 2028-2031.</w:t>
            </w:r>
          </w:p>
          <w:p w14:paraId="087EA01D"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7CD12E68" w14:textId="5CF23C2E" w:rsidR="00F92BED" w:rsidRPr="00F92BED" w:rsidRDefault="000E098E" w:rsidP="00C4421B">
            <w:pPr>
              <w:spacing w:before="160"/>
              <w:rPr>
                <w:szCs w:val="24"/>
                <w:lang w:val="es-ES"/>
              </w:rPr>
            </w:pPr>
            <w:r>
              <w:rPr>
                <w:color w:val="000000"/>
                <w:lang w:val="es-ES"/>
              </w:rPr>
              <w:t xml:space="preserve">Se invita al Consejo a </w:t>
            </w:r>
            <w:r>
              <w:rPr>
                <w:b/>
                <w:bCs/>
                <w:color w:val="000000"/>
                <w:lang w:val="es-ES"/>
              </w:rPr>
              <w:t>considerar</w:t>
            </w:r>
            <w:r>
              <w:rPr>
                <w:color w:val="000000"/>
                <w:lang w:val="es-ES"/>
              </w:rPr>
              <w:t xml:space="preserve"> esta contribución y a </w:t>
            </w:r>
            <w:r>
              <w:rPr>
                <w:b/>
                <w:bCs/>
                <w:color w:val="000000"/>
                <w:lang w:val="es-ES"/>
              </w:rPr>
              <w:t>tomar las medidas</w:t>
            </w:r>
            <w:r>
              <w:rPr>
                <w:color w:val="000000"/>
                <w:lang w:val="es-ES"/>
              </w:rPr>
              <w:t xml:space="preserve"> que estime convenientes.</w:t>
            </w:r>
          </w:p>
          <w:p w14:paraId="36082EF5" w14:textId="77777777" w:rsidR="00FE57F6" w:rsidRPr="00BB6FD8" w:rsidRDefault="00FE57F6" w:rsidP="00C4421B">
            <w:pPr>
              <w:spacing w:before="160"/>
              <w:rPr>
                <w:caps/>
                <w:sz w:val="22"/>
              </w:rPr>
            </w:pPr>
            <w:r w:rsidRPr="00BB6FD8">
              <w:rPr>
                <w:sz w:val="22"/>
              </w:rPr>
              <w:t>__________________</w:t>
            </w:r>
          </w:p>
          <w:p w14:paraId="72FE324F" w14:textId="77777777" w:rsidR="00FE57F6" w:rsidRPr="00BB6FD8" w:rsidRDefault="00F24B71" w:rsidP="00C4421B">
            <w:pPr>
              <w:spacing w:before="160"/>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1CDD0194" w14:textId="0FC719A5" w:rsidR="00FE57F6" w:rsidRPr="00762210" w:rsidRDefault="000E098E" w:rsidP="00C4421B">
            <w:pPr>
              <w:spacing w:after="160"/>
              <w:rPr>
                <w:i/>
                <w:iCs/>
                <w:sz w:val="22"/>
                <w:szCs w:val="22"/>
                <w:lang w:val="es-ES"/>
              </w:rPr>
            </w:pPr>
            <w:hyperlink r:id="rId6" w:history="1">
              <w:r w:rsidRPr="00762210">
                <w:rPr>
                  <w:rStyle w:val="Hyperlink"/>
                  <w:i/>
                  <w:iCs/>
                  <w:sz w:val="22"/>
                  <w:lang w:val="es-ES"/>
                </w:rPr>
                <w:t>Constitución</w:t>
              </w:r>
            </w:hyperlink>
            <w:r w:rsidRPr="00762210">
              <w:rPr>
                <w:i/>
                <w:iCs/>
                <w:color w:val="000000"/>
                <w:sz w:val="22"/>
                <w:szCs w:val="22"/>
                <w:lang w:val="es-ES"/>
              </w:rPr>
              <w:t xml:space="preserve"> y </w:t>
            </w:r>
            <w:hyperlink r:id="rId7" w:history="1">
              <w:r w:rsidRPr="00762210">
                <w:rPr>
                  <w:rStyle w:val="Hyperlink"/>
                  <w:i/>
                  <w:iCs/>
                  <w:sz w:val="22"/>
                  <w:lang w:val="es-ES"/>
                </w:rPr>
                <w:t>Convenio</w:t>
              </w:r>
            </w:hyperlink>
            <w:r w:rsidRPr="00762210">
              <w:rPr>
                <w:i/>
                <w:iCs/>
                <w:color w:val="000000"/>
                <w:sz w:val="22"/>
                <w:szCs w:val="22"/>
                <w:lang w:val="es-ES"/>
              </w:rPr>
              <w:t xml:space="preserve"> de la UIT:</w:t>
            </w:r>
            <w:r w:rsidRPr="00762210">
              <w:rPr>
                <w:color w:val="000000"/>
                <w:sz w:val="22"/>
                <w:szCs w:val="22"/>
                <w:lang w:val="es-ES"/>
              </w:rPr>
              <w:t xml:space="preserve"> </w:t>
            </w:r>
            <w:r w:rsidRPr="00762210">
              <w:rPr>
                <w:i/>
                <w:iCs/>
                <w:color w:val="000000"/>
                <w:sz w:val="22"/>
                <w:szCs w:val="22"/>
                <w:lang w:val="es-ES"/>
              </w:rPr>
              <w:t xml:space="preserve">Resolución </w:t>
            </w:r>
            <w:hyperlink r:id="rId8" w:history="1">
              <w:r w:rsidRPr="00762210">
                <w:rPr>
                  <w:rStyle w:val="Hyperlink"/>
                  <w:i/>
                  <w:iCs/>
                  <w:sz w:val="22"/>
                  <w:lang w:val="es-ES"/>
                </w:rPr>
                <w:t>71 (Rev. Bucarest, 2022)</w:t>
              </w:r>
            </w:hyperlink>
            <w:r w:rsidRPr="00762210">
              <w:rPr>
                <w:i/>
                <w:iCs/>
                <w:color w:val="000000"/>
                <w:sz w:val="22"/>
                <w:szCs w:val="22"/>
                <w:lang w:val="es-ES"/>
              </w:rPr>
              <w:t xml:space="preserve"> de la Conferencia de Plenipotenciarios;</w:t>
            </w:r>
            <w:r w:rsidRPr="00762210">
              <w:rPr>
                <w:color w:val="000000"/>
                <w:sz w:val="22"/>
                <w:szCs w:val="22"/>
                <w:lang w:val="es-ES"/>
              </w:rPr>
              <w:t xml:space="preserve"> </w:t>
            </w:r>
            <w:r w:rsidRPr="00762210">
              <w:rPr>
                <w:i/>
                <w:iCs/>
                <w:color w:val="000000"/>
                <w:sz w:val="22"/>
                <w:szCs w:val="22"/>
                <w:lang w:val="es-ES"/>
              </w:rPr>
              <w:t xml:space="preserve">Documentos </w:t>
            </w:r>
            <w:hyperlink r:id="rId9" w:history="1">
              <w:proofErr w:type="spellStart"/>
              <w:r w:rsidRPr="00762210">
                <w:rPr>
                  <w:rStyle w:val="Hyperlink"/>
                  <w:i/>
                  <w:iCs/>
                  <w:sz w:val="22"/>
                  <w:lang w:val="es-ES"/>
                </w:rPr>
                <w:t>CWG</w:t>
              </w:r>
              <w:proofErr w:type="spellEnd"/>
              <w:r w:rsidRPr="00762210">
                <w:rPr>
                  <w:rStyle w:val="Hyperlink"/>
                  <w:i/>
                  <w:iCs/>
                  <w:sz w:val="22"/>
                  <w:lang w:val="es-ES"/>
                </w:rPr>
                <w:t>-</w:t>
              </w:r>
              <w:proofErr w:type="spellStart"/>
              <w:r w:rsidRPr="00762210">
                <w:rPr>
                  <w:rStyle w:val="Hyperlink"/>
                  <w:i/>
                  <w:iCs/>
                  <w:sz w:val="22"/>
                  <w:lang w:val="es-ES"/>
                </w:rPr>
                <w:t>SFP</w:t>
              </w:r>
              <w:proofErr w:type="spellEnd"/>
              <w:r w:rsidRPr="00762210">
                <w:rPr>
                  <w:rStyle w:val="Hyperlink"/>
                  <w:i/>
                  <w:iCs/>
                  <w:sz w:val="22"/>
                  <w:lang w:val="es-ES"/>
                </w:rPr>
                <w:t>-3/6</w:t>
              </w:r>
            </w:hyperlink>
            <w:r w:rsidRPr="00762210">
              <w:rPr>
                <w:i/>
                <w:iCs/>
                <w:color w:val="000000"/>
                <w:sz w:val="22"/>
                <w:szCs w:val="22"/>
                <w:lang w:val="es-ES"/>
              </w:rPr>
              <w:t xml:space="preserve">, </w:t>
            </w:r>
            <w:hyperlink r:id="rId10" w:history="1">
              <w:proofErr w:type="spellStart"/>
              <w:r w:rsidRPr="00762210">
                <w:rPr>
                  <w:rStyle w:val="Hyperlink"/>
                  <w:i/>
                  <w:iCs/>
                  <w:sz w:val="22"/>
                  <w:lang w:val="es-ES"/>
                </w:rPr>
                <w:t>CWG</w:t>
              </w:r>
              <w:proofErr w:type="spellEnd"/>
              <w:r w:rsidRPr="00762210">
                <w:rPr>
                  <w:rStyle w:val="Hyperlink"/>
                  <w:i/>
                  <w:iCs/>
                  <w:sz w:val="22"/>
                  <w:lang w:val="es-ES"/>
                </w:rPr>
                <w:t>-</w:t>
              </w:r>
              <w:proofErr w:type="spellStart"/>
              <w:r w:rsidRPr="00762210">
                <w:rPr>
                  <w:rStyle w:val="Hyperlink"/>
                  <w:i/>
                  <w:iCs/>
                  <w:sz w:val="22"/>
                  <w:lang w:val="es-ES"/>
                </w:rPr>
                <w:t>SFP</w:t>
              </w:r>
              <w:proofErr w:type="spellEnd"/>
              <w:r w:rsidRPr="00762210">
                <w:rPr>
                  <w:rStyle w:val="Hyperlink"/>
                  <w:i/>
                  <w:iCs/>
                  <w:sz w:val="22"/>
                  <w:lang w:val="es-ES"/>
                </w:rPr>
                <w:t>-3/7</w:t>
              </w:r>
            </w:hyperlink>
            <w:r w:rsidRPr="00762210">
              <w:rPr>
                <w:i/>
                <w:iCs/>
                <w:color w:val="000000"/>
                <w:sz w:val="22"/>
                <w:szCs w:val="22"/>
                <w:lang w:val="es-ES"/>
              </w:rPr>
              <w:t xml:space="preserve"> y </w:t>
            </w:r>
            <w:hyperlink r:id="rId11" w:history="1">
              <w:proofErr w:type="spellStart"/>
              <w:r w:rsidRPr="00762210">
                <w:rPr>
                  <w:rStyle w:val="Hyperlink"/>
                  <w:i/>
                  <w:iCs/>
                  <w:sz w:val="22"/>
                  <w:lang w:val="es-ES"/>
                </w:rPr>
                <w:t>CWG</w:t>
              </w:r>
              <w:proofErr w:type="spellEnd"/>
              <w:r w:rsidRPr="00762210">
                <w:rPr>
                  <w:rStyle w:val="Hyperlink"/>
                  <w:i/>
                  <w:iCs/>
                  <w:sz w:val="22"/>
                  <w:lang w:val="es-ES"/>
                </w:rPr>
                <w:t>-</w:t>
              </w:r>
              <w:proofErr w:type="spellStart"/>
              <w:r w:rsidRPr="00762210">
                <w:rPr>
                  <w:rStyle w:val="Hyperlink"/>
                  <w:i/>
                  <w:iCs/>
                  <w:sz w:val="22"/>
                  <w:lang w:val="es-ES"/>
                </w:rPr>
                <w:t>SFP</w:t>
              </w:r>
              <w:proofErr w:type="spellEnd"/>
              <w:r w:rsidRPr="00762210">
                <w:rPr>
                  <w:rStyle w:val="Hyperlink"/>
                  <w:i/>
                  <w:iCs/>
                  <w:sz w:val="22"/>
                  <w:lang w:val="es-ES"/>
                </w:rPr>
                <w:t>-4/2</w:t>
              </w:r>
            </w:hyperlink>
            <w:r w:rsidRPr="00762210">
              <w:rPr>
                <w:i/>
                <w:iCs/>
                <w:color w:val="000000"/>
                <w:sz w:val="22"/>
                <w:szCs w:val="22"/>
                <w:lang w:val="es-ES"/>
              </w:rPr>
              <w:t>;</w:t>
            </w:r>
            <w:r w:rsidRPr="00762210">
              <w:rPr>
                <w:color w:val="000000"/>
                <w:sz w:val="22"/>
                <w:szCs w:val="22"/>
                <w:lang w:val="es-ES"/>
              </w:rPr>
              <w:t xml:space="preserve"> </w:t>
            </w:r>
            <w:r w:rsidRPr="00762210">
              <w:rPr>
                <w:i/>
                <w:iCs/>
                <w:color w:val="000000"/>
                <w:sz w:val="22"/>
                <w:szCs w:val="22"/>
                <w:lang w:val="es-ES"/>
              </w:rPr>
              <w:t>Informe de la Dependencia Común de Inspección titulado "Planificación estratégica en el sistema de las Naciones Unidas"</w:t>
            </w:r>
            <w:hyperlink r:id="rId12" w:history="1"/>
            <w:hyperlink r:id="rId13" w:history="1"/>
            <w:hyperlink r:id="rId14" w:history="1"/>
            <w:hyperlink r:id="rId15" w:history="1"/>
            <w:hyperlink r:id="rId16" w:history="1"/>
            <w:hyperlink r:id="rId17" w:history="1"/>
          </w:p>
        </w:tc>
      </w:tr>
      <w:bookmarkEnd w:id="0"/>
    </w:tbl>
    <w:p w14:paraId="38D78643" w14:textId="77777777" w:rsidR="00093EEB" w:rsidRPr="004842E0" w:rsidRDefault="00093EEB">
      <w:pPr>
        <w:rPr>
          <w:lang w:val="es-ES"/>
        </w:rPr>
      </w:pPr>
    </w:p>
    <w:p w14:paraId="3F4689F0" w14:textId="77777777" w:rsidR="001559F5" w:rsidRPr="004842E0"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4842E0">
        <w:rPr>
          <w:lang w:val="es-ES"/>
        </w:rPr>
        <w:br w:type="page"/>
      </w:r>
    </w:p>
    <w:p w14:paraId="2B7450B3" w14:textId="77777777" w:rsidR="000E098E" w:rsidRPr="00707C60" w:rsidRDefault="000E098E" w:rsidP="000E098E">
      <w:pPr>
        <w:pStyle w:val="Heading1"/>
        <w:rPr>
          <w:lang w:val="es-ES"/>
        </w:rPr>
      </w:pPr>
      <w:r>
        <w:rPr>
          <w:bCs/>
          <w:lang w:val="es-ES"/>
        </w:rPr>
        <w:lastRenderedPageBreak/>
        <w:t>1</w:t>
      </w:r>
      <w:r>
        <w:rPr>
          <w:lang w:val="es-ES"/>
        </w:rPr>
        <w:tab/>
      </w:r>
      <w:r>
        <w:rPr>
          <w:bCs/>
          <w:lang w:val="es-ES"/>
        </w:rPr>
        <w:t>Contexto</w:t>
      </w:r>
      <w:r>
        <w:rPr>
          <w:lang w:val="es-ES"/>
        </w:rPr>
        <w:t xml:space="preserve"> </w:t>
      </w:r>
    </w:p>
    <w:p w14:paraId="2848B7D9" w14:textId="77777777" w:rsidR="000E098E" w:rsidRPr="00707C60" w:rsidRDefault="000E098E" w:rsidP="00762210">
      <w:pPr>
        <w:spacing w:before="100"/>
        <w:jc w:val="both"/>
        <w:rPr>
          <w:lang w:val="es-ES"/>
        </w:rPr>
      </w:pPr>
      <w:r>
        <w:rPr>
          <w:lang w:val="es-ES"/>
        </w:rPr>
        <w:t>El artículo 8 c) de la Constitución de la UIT establece que la Conferencia de Plenipotenciarios establecerá el Plan Estratégico de la Unión y las bases del presupuesto de la Unión, y fijará los correspondientes límites financieros hasta la siguiente Conferencia de Plenipotenciarios después de considerar todos los aspectos pertinentes de las actividades de la Unión durante dicho periodo. El Artículo 4, punto 10 bis, del Convenio de la UIT ofrece al Consejo la posibilidad de que, respetando los límites financieros adoptados por la Conferencia de Plenipotenciarios, revise y actualice el Plan Estratégico que es la base de los correspondientes Planes Operacionales. Además, en el punto 11.1) del artículo 4 se encarga al Consejo recibir y examinar los datos concretos destinados a la planificación estratégica proporcionados por el Secretario General y en cumplimiento del número 74A de la Constitución y, en la penúltima reunión ordinaria del Consejo que preceda a la Conferencia de Plenipotenciarios siguiente, iniciar la preparación de un nuevo proyecto de Plan Estratégico de la Unión, basándose en las contribuciones presentadas por los Estados Miembros y los Miembros de los Sectores, así como en las de los Grupos Asesores de los Sectores, y elaborar un proyecto de nuevo Plan Estratégico coordinado al menos cuatro meses antes del comienzo de esa conferencia de Plenipotenciarios. El Consejo debería también establecer un calendario para la elaboración de los Planes Estratégico y Financiero de la Unión y de los Planes Operacionales de cada Sector y de la Secretaría General, de modo que permita una coordinación adecuada entre esos Planes. Por consiguiente, el Convenio de la UIT anticipa que debería existir una vinculación adecuada entre los planes.</w:t>
      </w:r>
    </w:p>
    <w:p w14:paraId="08C1CAFD" w14:textId="44701C6D" w:rsidR="000E098E" w:rsidRPr="000649EF" w:rsidRDefault="000E098E" w:rsidP="00762210">
      <w:pPr>
        <w:spacing w:before="100"/>
        <w:jc w:val="both"/>
        <w:rPr>
          <w:lang w:val="es-ES"/>
        </w:rPr>
      </w:pPr>
      <w:r>
        <w:rPr>
          <w:lang w:val="es-ES"/>
        </w:rPr>
        <w:t xml:space="preserve">El Documento </w:t>
      </w:r>
      <w:hyperlink r:id="rId18" w:history="1">
        <w:proofErr w:type="spellStart"/>
        <w:r w:rsidRPr="004D4EEE">
          <w:rPr>
            <w:rStyle w:val="Hyperlink"/>
            <w:lang w:val="es-ES"/>
          </w:rPr>
          <w:t>CWG</w:t>
        </w:r>
        <w:proofErr w:type="spellEnd"/>
        <w:r w:rsidRPr="004D4EEE">
          <w:rPr>
            <w:rStyle w:val="Hyperlink"/>
            <w:lang w:val="es-ES"/>
          </w:rPr>
          <w:t>-</w:t>
        </w:r>
        <w:proofErr w:type="spellStart"/>
        <w:r w:rsidRPr="004D4EEE">
          <w:rPr>
            <w:rStyle w:val="Hyperlink"/>
            <w:lang w:val="es-ES"/>
          </w:rPr>
          <w:t>SFP</w:t>
        </w:r>
        <w:proofErr w:type="spellEnd"/>
        <w:r w:rsidRPr="004D4EEE">
          <w:rPr>
            <w:rStyle w:val="Hyperlink"/>
            <w:lang w:val="es-ES"/>
          </w:rPr>
          <w:t>-3/6</w:t>
        </w:r>
      </w:hyperlink>
      <w:r>
        <w:rPr>
          <w:lang w:val="es-ES"/>
        </w:rPr>
        <w:t xml:space="preserve"> contiene una parte dedicada al Plan Financiero a nivel estratégico, en el que se define dicho Plan como una estimación de los ingresos previstos y la asignación de recursos a cada una de las prioridades temáticas/</w:t>
      </w:r>
      <w:r w:rsidR="00D02BB0">
        <w:rPr>
          <w:lang w:val="es-ES"/>
        </w:rPr>
        <w:t>resultados deseados</w:t>
      </w:r>
      <w:r>
        <w:rPr>
          <w:lang w:val="es-ES"/>
        </w:rPr>
        <w:t xml:space="preserve"> en función de sus prioridades relativas definidas en el Plan Estratégico. El Plan Financiero debería proporcionar orientaciones para la presupuestación y la obtención de resultados en los Planes Operacionales durante el periodo abarcado por el Plan Estratégico. </w:t>
      </w:r>
      <w:hyperlink r:id="rId19" w:history="1"/>
    </w:p>
    <w:p w14:paraId="0D950682" w14:textId="77777777" w:rsidR="000E098E" w:rsidRPr="00707C60" w:rsidRDefault="000E098E" w:rsidP="00762210">
      <w:pPr>
        <w:spacing w:before="100"/>
        <w:jc w:val="both"/>
        <w:rPr>
          <w:lang w:val="es-ES"/>
        </w:rPr>
      </w:pPr>
      <w:r>
        <w:rPr>
          <w:lang w:val="es-ES"/>
        </w:rPr>
        <w:t xml:space="preserve">El Grupo de Trabajo del Consejo sobre los Planes Estratégico y Financiero (GTC-PEF), basándose en la propuesta de la Secretaría, debería desarrollar el proceso para generar las estimaciones de costos incluidas en el Plan Financiero a nivel de los Resultados. Esta propuesta debería tener en cuenta las propuestas de la Secretaría General y las Oficinas en relación con las actividades que se proponen realizar durante el periodo para producir Productos que permitan cumplir las metas de los Resultados (del Plan Estratégico). Los recursos necesarios para llevar a cabo esas actividades deberían estimarse y combinarse en las Oficinas y la Secretaría General a fin de obtener los recursos necesarios para alcanzar cada Resultado del Plan Estratégico. </w:t>
      </w:r>
    </w:p>
    <w:p w14:paraId="29275E5A" w14:textId="24751C6E" w:rsidR="000E098E" w:rsidRPr="000649EF" w:rsidRDefault="000E098E" w:rsidP="00762210">
      <w:pPr>
        <w:spacing w:before="100"/>
        <w:jc w:val="both"/>
        <w:rPr>
          <w:lang w:val="es-ES"/>
        </w:rPr>
      </w:pPr>
      <w:r>
        <w:rPr>
          <w:lang w:val="es-ES"/>
        </w:rPr>
        <w:t xml:space="preserve">Los textos del Convenio y el procedimiento explicado en el Documento </w:t>
      </w:r>
      <w:hyperlink r:id="rId20" w:history="1">
        <w:proofErr w:type="spellStart"/>
        <w:r w:rsidRPr="004D4EEE">
          <w:rPr>
            <w:rStyle w:val="Hyperlink"/>
            <w:lang w:val="es-ES"/>
          </w:rPr>
          <w:t>CWG</w:t>
        </w:r>
        <w:proofErr w:type="spellEnd"/>
        <w:r w:rsidRPr="004D4EEE">
          <w:rPr>
            <w:rStyle w:val="Hyperlink"/>
            <w:lang w:val="es-ES"/>
          </w:rPr>
          <w:t>-</w:t>
        </w:r>
        <w:proofErr w:type="spellStart"/>
        <w:r w:rsidRPr="004D4EEE">
          <w:rPr>
            <w:rStyle w:val="Hyperlink"/>
            <w:lang w:val="es-ES"/>
          </w:rPr>
          <w:t>SFP</w:t>
        </w:r>
        <w:proofErr w:type="spellEnd"/>
        <w:r w:rsidRPr="004D4EEE">
          <w:rPr>
            <w:rStyle w:val="Hyperlink"/>
            <w:lang w:val="es-ES"/>
          </w:rPr>
          <w:t>-3/6</w:t>
        </w:r>
      </w:hyperlink>
      <w:r>
        <w:rPr>
          <w:lang w:val="es-ES"/>
        </w:rPr>
        <w:t xml:space="preserve"> sugieren que los Resultados/Prioridades temáticos deseados y la consecución de las metas de los Resultados deberían estar claramente en </w:t>
      </w:r>
      <w:r w:rsidR="00D02BB0">
        <w:rPr>
          <w:lang w:val="es-ES"/>
        </w:rPr>
        <w:t>vinculación</w:t>
      </w:r>
      <w:r>
        <w:rPr>
          <w:lang w:val="es-ES"/>
        </w:rPr>
        <w:t>, desde el Plan Estratégico, pasando por el Plan Financiero, hasta los Planes Operacionales.</w:t>
      </w:r>
      <w:hyperlink r:id="rId21" w:history="1"/>
    </w:p>
    <w:p w14:paraId="665B7437" w14:textId="77777777" w:rsidR="000E098E" w:rsidRPr="00707C60" w:rsidRDefault="000E098E" w:rsidP="00762210">
      <w:pPr>
        <w:spacing w:before="100"/>
        <w:jc w:val="both"/>
        <w:rPr>
          <w:spacing w:val="-2"/>
          <w:lang w:val="es-ES"/>
        </w:rPr>
      </w:pPr>
      <w:r>
        <w:rPr>
          <w:lang w:val="es-ES"/>
        </w:rPr>
        <w:t xml:space="preserve">Además, en su texto principal, la Resolución 71 hace referencia al Informe de la Dependencia Común de Inspección titulado "Planificación estratégica en el sistema de las Naciones Unidas". Aunque este informe se publicó en 2012, contiene definiciones y principios básicos de la planificación estratégica en el sistema de las Naciones Unidas. La planificación estratégica se describe como el proceso mediante el cual se definen los objetivos a medio y largo plazo de </w:t>
      </w:r>
      <w:r>
        <w:rPr>
          <w:lang w:val="es-ES"/>
        </w:rPr>
        <w:lastRenderedPageBreak/>
        <w:t>una organización, así como los planes de recursos para alcanzarlos. En el informe de la DCI se explica la necesidad de establecer un vínculo claro entre el Plan Estratégico y la atribución de recursos, al tiempo que se subraya que, no obstante, el Plan Estratégico no debería basarse en el presupuesto, sino en el mandato. El Plan Estratégico debe proporcionar un mecanismo claramente definido para identificar los recursos necesarios para su aplicación. Debería ser un instrumento para identificar y movilizar todos los recursos de que dispone la organización y para fijar prioridades para la atribución y utilización óptimas de los recursos destinados a alcanzar metas y objetivos acordados. El Plan Estratégico también debería responder a las necesidades de gestión de una organización, como un instrumento que sirva de hoja de ruta institucional para que cada división/unidad de la organización pueda situarse en el panorama general y relacionar sus objetivos cotidianos con el logro general del Plan Estratégico. Los Planes Estratégicos deben estar relacionados con mecanismos de aplicación claramente definidos (por ejemplo, Planes Operacionales adecuados).</w:t>
      </w:r>
    </w:p>
    <w:p w14:paraId="5D8653CC" w14:textId="77777777" w:rsidR="000E098E" w:rsidRPr="00707C60" w:rsidRDefault="000E098E" w:rsidP="00762210">
      <w:pPr>
        <w:spacing w:before="100"/>
        <w:jc w:val="both"/>
        <w:rPr>
          <w:lang w:val="es-ES"/>
        </w:rPr>
      </w:pPr>
      <w:r>
        <w:rPr>
          <w:lang w:val="es-ES"/>
        </w:rPr>
        <w:t>La planificación estratégica es un requisito previo importante para el funcionamiento eficaz y la correcta ejecución del mandato (metas) de cada organización. La relación de la planificación propiamente dicha con la atribución efectiva de recursos y la vinculación de las actividades a los resultados reviste particular importancia.</w:t>
      </w:r>
    </w:p>
    <w:p w14:paraId="05498F95" w14:textId="77777777" w:rsidR="000E098E" w:rsidRPr="00707C60" w:rsidRDefault="000E098E" w:rsidP="00762210">
      <w:pPr>
        <w:spacing w:before="100"/>
        <w:jc w:val="both"/>
        <w:rPr>
          <w:lang w:val="es-ES"/>
        </w:rPr>
      </w:pPr>
      <w:r>
        <w:rPr>
          <w:lang w:val="es-ES"/>
        </w:rPr>
        <w:t>Otra consideración directamente relacionada con la planificación estratégica es que la UIT, en su calidad de organismo de las Naciones Unidas, debe armonizar la planificación de sus actividades principales con la Iniciativa ONU80, cuyo objetivo es transformar el sistema de las Naciones Unidas en una organización más eficaz, flexible y orientada al futuro, en particular mediante la revisión de los mandatos de cada organismo y la identificación de oportunidades para aumentar su eficacia. El objetivo principal de la Iniciativa ONU80 también debe quedar reflejado en el nuevo Plan Estratégico cuadrienal de la UIT. Las limitaciones financieras de la UIT imponen también la necesidad de priorizar las actividades dentro del amplio mandato de la organización y centrarse en las prioridades más importantes para los Estados Miembros, así como en aumentar la eficacia de la gobernanza.</w:t>
      </w:r>
    </w:p>
    <w:p w14:paraId="7215EBC4" w14:textId="77777777" w:rsidR="000E098E" w:rsidRPr="00707C60" w:rsidRDefault="000E098E" w:rsidP="00762210">
      <w:pPr>
        <w:spacing w:before="100"/>
        <w:jc w:val="both"/>
        <w:rPr>
          <w:lang w:val="es-ES"/>
        </w:rPr>
      </w:pPr>
      <w:r>
        <w:rPr>
          <w:lang w:val="es-ES"/>
        </w:rPr>
        <w:t xml:space="preserve">En el Plan Estratégico de la UIT debería distinguirse claramente entre las actividades previstas por mandatos de la Unión, como órgano administrativo, y las actividades que son prerrogativas y están enteramente bajo el control de los Estados Miembros (o de la UIT como unión de Estados Miembros). El Plan Estratégico de la UIT debería ser claramente un plan para la Unión como organización, como estructura administrativa que apoya a los Estados Miembros en determinados ámbitos (especificados en el mandato de la organización). El Plan Estratégico no debería ser un documento que implique obligaciones para los Estados Miembros o que presuponga medidas concretas por parte de los Estados Miembros o Miembros de Sector. Es un plan para organizar y dar prioridad a las actividades y tareas de la administración de la UIT en el marco de su mandato y precisamente como una estructura creada para apoyar la cooperación internacional y la toma de decisiones a nivel mundial. Consideramos que debería prestarse una especial atención a este respecto, entre otras cosas a las formulaciones de los objetivos mundiales, las prioridades temáticas y los resultados previstos de la labor de la UIT. La redacción de los textos no debería reflejar los resultados previstos en los Estados Miembros en general (logrados con o sin el apoyo de la UIT como órgano administrativo), sino la contribución de la UIT como estructura administrativa a esos resultados. Es necesario destacar el papel de la UIT como organización que proporciona una plataforma y conocimientos técnicos para la cooperación entre los Estados Miembros y los Miembros de Sector, entre los gobiernos y las empresas, para el desarrollo inclusivo de redes, </w:t>
      </w:r>
      <w:r>
        <w:rPr>
          <w:lang w:val="es-ES"/>
        </w:rPr>
        <w:lastRenderedPageBreak/>
        <w:t>tecnologías y servicios de información y telecomunicaciones, en nombre de un desarrollo social y económico universal y sostenible. Esa función debe quedar claramente reflejada en la formulación de las metas, las prioridades temáticas, los resultados y los indicadores de resultados.</w:t>
      </w:r>
    </w:p>
    <w:p w14:paraId="4E02B796" w14:textId="77777777" w:rsidR="000E098E" w:rsidRPr="00707C60" w:rsidRDefault="000E098E" w:rsidP="000E098E">
      <w:pPr>
        <w:pStyle w:val="Heading1"/>
        <w:spacing w:before="240"/>
        <w:rPr>
          <w:lang w:val="es-ES"/>
        </w:rPr>
      </w:pPr>
      <w:r>
        <w:rPr>
          <w:bCs/>
          <w:lang w:val="es-ES"/>
        </w:rPr>
        <w:t>2</w:t>
      </w:r>
      <w:r>
        <w:rPr>
          <w:lang w:val="es-ES"/>
        </w:rPr>
        <w:tab/>
      </w:r>
      <w:r>
        <w:rPr>
          <w:bCs/>
          <w:lang w:val="es-ES"/>
        </w:rPr>
        <w:t>Debate</w:t>
      </w:r>
    </w:p>
    <w:p w14:paraId="5949D938" w14:textId="77777777" w:rsidR="000E098E" w:rsidRPr="00707C60" w:rsidRDefault="000E098E" w:rsidP="00762210">
      <w:pPr>
        <w:spacing w:before="100"/>
        <w:jc w:val="both"/>
        <w:rPr>
          <w:spacing w:val="-2"/>
          <w:lang w:val="es-ES"/>
        </w:rPr>
      </w:pPr>
      <w:r>
        <w:rPr>
          <w:lang w:val="es-ES"/>
        </w:rPr>
        <w:t>Habida cuenta de la información general que figura en la sección de Contexto, expresamos la siguiente opinión:</w:t>
      </w:r>
    </w:p>
    <w:p w14:paraId="011F307C" w14:textId="77777777" w:rsidR="000E098E" w:rsidRPr="00707C60" w:rsidRDefault="000E098E" w:rsidP="00762210">
      <w:pPr>
        <w:pStyle w:val="enumlev1"/>
        <w:widowControl w:val="0"/>
        <w:spacing w:before="60"/>
        <w:jc w:val="both"/>
        <w:rPr>
          <w:spacing w:val="-2"/>
          <w:lang w:val="es-ES"/>
        </w:rPr>
      </w:pPr>
      <w:r>
        <w:rPr>
          <w:lang w:val="es-ES"/>
        </w:rPr>
        <w:t>–</w:t>
      </w:r>
      <w:r>
        <w:rPr>
          <w:lang w:val="es-ES"/>
        </w:rPr>
        <w:tab/>
        <w:t xml:space="preserve">Es necesario introducir un enfoque más sistemático en el Plan Estratégico, que debería seguir los principios generales de la gestión basada en los resultados y garantizar que este plan establece una correspondencia/vinculación clara entre las metas y prioridades estratégicas, el Plan Financiero y los Planes Operacionales, con una visión clara de lo que pretende lograr, para cada prioridad temática y de qué manera. La visión debería corresponder a la misión; la misión, a las metas; las metas, a las prioridades temáticas; las prioridades temáticas, a los resultados, y los indicadores, a cada resultado específico. </w:t>
      </w:r>
    </w:p>
    <w:p w14:paraId="2493B12F" w14:textId="77777777" w:rsidR="000E098E" w:rsidRPr="00707C60" w:rsidRDefault="000E098E" w:rsidP="00762210">
      <w:pPr>
        <w:pStyle w:val="enumlev1"/>
        <w:spacing w:before="60"/>
        <w:jc w:val="both"/>
        <w:rPr>
          <w:lang w:val="es-ES"/>
        </w:rPr>
      </w:pPr>
      <w:r>
        <w:rPr>
          <w:lang w:val="es-ES"/>
        </w:rPr>
        <w:t>–</w:t>
      </w:r>
      <w:r>
        <w:rPr>
          <w:lang w:val="es-ES"/>
        </w:rPr>
        <w:tab/>
        <w:t>Todas las metas, prioridades, resultados e indicadores deberían tener en cuenta el hecho de que el Plan Estratégico es un plan para la UIT como estructura administrativa y, por consiguiente, debería reflejar cómo la Unión apoya a los Estados Miembros y a los Miembros de Sector (cuando proceda) a través de sus actividades.</w:t>
      </w:r>
    </w:p>
    <w:p w14:paraId="51010B07" w14:textId="0E7B0366" w:rsidR="000E098E" w:rsidRPr="000649EF" w:rsidRDefault="000E098E" w:rsidP="00762210">
      <w:pPr>
        <w:pStyle w:val="enumlev1"/>
        <w:spacing w:before="60"/>
        <w:jc w:val="both"/>
        <w:rPr>
          <w:lang w:val="es-ES"/>
        </w:rPr>
      </w:pPr>
      <w:r>
        <w:rPr>
          <w:lang w:val="es-ES"/>
        </w:rPr>
        <w:t>–</w:t>
      </w:r>
      <w:r>
        <w:rPr>
          <w:lang w:val="es-ES"/>
        </w:rPr>
        <w:tab/>
        <w:t xml:space="preserve">Aunque la estructura del proyecto de Plan Estratégico presentado en el Documento </w:t>
      </w:r>
      <w:hyperlink r:id="rId22" w:history="1">
        <w:proofErr w:type="spellStart"/>
        <w:r w:rsidRPr="004D4EEE">
          <w:rPr>
            <w:rStyle w:val="Hyperlink"/>
            <w:lang w:val="es-ES"/>
          </w:rPr>
          <w:t>CWG</w:t>
        </w:r>
        <w:proofErr w:type="spellEnd"/>
        <w:r w:rsidRPr="004D4EEE">
          <w:rPr>
            <w:rStyle w:val="Hyperlink"/>
            <w:lang w:val="es-ES"/>
          </w:rPr>
          <w:t>-</w:t>
        </w:r>
        <w:proofErr w:type="spellStart"/>
        <w:r w:rsidRPr="004D4EEE">
          <w:rPr>
            <w:rStyle w:val="Hyperlink"/>
            <w:lang w:val="es-ES"/>
          </w:rPr>
          <w:t>SFP</w:t>
        </w:r>
        <w:proofErr w:type="spellEnd"/>
        <w:r w:rsidRPr="004D4EEE">
          <w:rPr>
            <w:rStyle w:val="Hyperlink"/>
            <w:lang w:val="es-ES"/>
          </w:rPr>
          <w:t>-4/2</w:t>
        </w:r>
      </w:hyperlink>
      <w:r>
        <w:rPr>
          <w:lang w:val="es-ES"/>
        </w:rPr>
        <w:t xml:space="preserve"> corresponde a las definiciones generalmente aceptadas, es necesario actualizar los textos formulando claramente metas y prioridades temáticas específicas y mensurables, definiendo indicadores realistas y coherentes con el mandato de la organización y las funciones de las unidades administrativas (utilizando los indicadores ya disponibles en el marco de la UIT, así como las disponibles en otras organizaciones del sistema de las Naciones Unidas). Las metas, prioridades y resultados del Plan Estratégico deberían permitir su valoración en el Plan Financiero para el mismo periodo.</w:t>
      </w:r>
      <w:hyperlink r:id="rId23" w:history="1"/>
    </w:p>
    <w:p w14:paraId="3010DE4D" w14:textId="77777777" w:rsidR="000E098E" w:rsidRPr="00707C60" w:rsidRDefault="000E098E" w:rsidP="00762210">
      <w:pPr>
        <w:pStyle w:val="enumlev1"/>
        <w:spacing w:before="60"/>
        <w:jc w:val="both"/>
        <w:rPr>
          <w:lang w:val="es-ES"/>
        </w:rPr>
      </w:pPr>
      <w:r>
        <w:rPr>
          <w:lang w:val="es-ES"/>
        </w:rPr>
        <w:t>–</w:t>
      </w:r>
      <w:r>
        <w:rPr>
          <w:lang w:val="es-ES"/>
        </w:rPr>
        <w:tab/>
        <w:t>Las metas, prioridades y resultados deberían ser coherentes con los recursos humanos, financieros y técnicos disponibles, con una evaluación realista de la capacidad de implementación durante el periodo de cuatro años. También deberían reflejar la estructura actual de la UIT y su mandato, a fin de establecer una relación clara, lógica y significativa entre los recursos financieros reales y de otra índole asignados a las tres Oficinas de la UIT y a la Secretaría General y las metas y prioridades temáticas formuladas en el Plan Estratégico. Debería evitarse que hubiese una importante desproporción entre las actividades realmente realizadas por la organización de acuerdo con su mandato y los recursos asociados, por un lado, y las prioridades del Plan Estratégico, por el otro. Lo contrario significaría que ciertas actividades fundamentales y esferas de trabajo importantes habrían quedado fuera de las prioridades oficiales y presupuestarias de la organización, lo que pondría en peligro su financiación. La necesaria vinculación clara entre el Plan Estratégico y el Plan Financiero significaría que es necesario reorientar los recursos existentes de la UIT hacia las actividades definidas como prioritarias en el Plan Estratégico en vigor, en la proporción pertinente.</w:t>
      </w:r>
    </w:p>
    <w:p w14:paraId="122D0E89" w14:textId="77777777" w:rsidR="000E098E" w:rsidRPr="00707C60" w:rsidRDefault="000E098E" w:rsidP="00762210">
      <w:pPr>
        <w:pStyle w:val="enumlev1"/>
        <w:spacing w:before="60"/>
        <w:jc w:val="both"/>
        <w:rPr>
          <w:lang w:val="es-ES"/>
        </w:rPr>
      </w:pPr>
      <w:r>
        <w:rPr>
          <w:lang w:val="es-ES"/>
        </w:rPr>
        <w:t>–</w:t>
      </w:r>
      <w:r>
        <w:rPr>
          <w:lang w:val="es-ES"/>
        </w:rPr>
        <w:tab/>
        <w:t xml:space="preserve">También es necesario reformular los textos relativos a los factores habilitadores para reflejar la definición de los factores habilitadores en el glosario de términos, indicando que son los activos disponibles de la organización que constituyen la base para la implementación satisfactoria de las metas y prioridades. Por consiguiente, no debería </w:t>
      </w:r>
      <w:r>
        <w:rPr>
          <w:lang w:val="es-ES"/>
        </w:rPr>
        <w:lastRenderedPageBreak/>
        <w:t>describirse cómo lograr la disponibilidad de estos factores, sino cómo servirán de apoyo en la aplicación del Plan Estratégico. Lo mismo debería aplicarse a la parte de productos y servicios de la organización, es decir incluir las actividades que la UIT, como organización administrativa, produce y seguirá produciendo en el periodo pertinente de cuatro años del plan como parte de su ejecución y en relación directa con las metas y prioridades.</w:t>
      </w:r>
    </w:p>
    <w:p w14:paraId="65935A16" w14:textId="434B2597" w:rsidR="000E098E" w:rsidRPr="000649EF" w:rsidRDefault="000E098E" w:rsidP="00762210">
      <w:pPr>
        <w:pStyle w:val="enumlev1"/>
        <w:spacing w:before="60"/>
        <w:jc w:val="both"/>
        <w:rPr>
          <w:lang w:val="es-ES"/>
        </w:rPr>
      </w:pPr>
      <w:r>
        <w:rPr>
          <w:lang w:val="es-ES"/>
        </w:rPr>
        <w:t>–</w:t>
      </w:r>
      <w:r>
        <w:rPr>
          <w:lang w:val="es-ES"/>
        </w:rPr>
        <w:tab/>
        <w:t xml:space="preserve">Los indicadores propuestos deberían reflejar el Documento </w:t>
      </w:r>
      <w:hyperlink r:id="rId24" w:history="1">
        <w:proofErr w:type="spellStart"/>
        <w:r w:rsidRPr="004D4EEE">
          <w:rPr>
            <w:rStyle w:val="Hyperlink"/>
            <w:lang w:val="es-ES"/>
          </w:rPr>
          <w:t>CWG</w:t>
        </w:r>
        <w:proofErr w:type="spellEnd"/>
        <w:r w:rsidRPr="004D4EEE">
          <w:rPr>
            <w:rStyle w:val="Hyperlink"/>
            <w:lang w:val="es-ES"/>
          </w:rPr>
          <w:t>-</w:t>
        </w:r>
        <w:proofErr w:type="spellStart"/>
        <w:r w:rsidRPr="004D4EEE">
          <w:rPr>
            <w:rStyle w:val="Hyperlink"/>
            <w:lang w:val="es-ES"/>
          </w:rPr>
          <w:t>SFP</w:t>
        </w:r>
        <w:proofErr w:type="spellEnd"/>
        <w:r w:rsidRPr="004D4EEE">
          <w:rPr>
            <w:rStyle w:val="Hyperlink"/>
            <w:lang w:val="es-ES"/>
          </w:rPr>
          <w:t>-3/7</w:t>
        </w:r>
      </w:hyperlink>
      <w:r>
        <w:rPr>
          <w:lang w:val="es-ES"/>
        </w:rPr>
        <w:t xml:space="preserve">, concretamente: </w:t>
      </w:r>
      <w:hyperlink r:id="rId25" w:history="1"/>
    </w:p>
    <w:p w14:paraId="60F3E04C" w14:textId="77777777" w:rsidR="000E098E" w:rsidRPr="00707C60" w:rsidRDefault="000E098E" w:rsidP="00762210">
      <w:pPr>
        <w:pStyle w:val="enumlev2"/>
        <w:spacing w:before="60"/>
        <w:jc w:val="both"/>
        <w:rPr>
          <w:lang w:val="es-ES"/>
        </w:rPr>
      </w:pPr>
      <w:r>
        <w:rPr>
          <w:lang w:val="es-ES"/>
        </w:rPr>
        <w:t>•</w:t>
      </w:r>
      <w:r>
        <w:rPr>
          <w:lang w:val="es-ES"/>
        </w:rPr>
        <w:tab/>
        <w:t xml:space="preserve">Los indicadores de impacto deberían centrarse en los cambios en la vida de las personas logrados como resultado final del trabajo y la influencia de la UIT. </w:t>
      </w:r>
    </w:p>
    <w:p w14:paraId="06F0A971" w14:textId="77777777" w:rsidR="000E098E" w:rsidRPr="00707C60" w:rsidRDefault="000E098E" w:rsidP="00762210">
      <w:pPr>
        <w:pStyle w:val="enumlev2"/>
        <w:spacing w:before="60"/>
        <w:jc w:val="both"/>
        <w:rPr>
          <w:lang w:val="es-ES"/>
        </w:rPr>
      </w:pPr>
      <w:r>
        <w:rPr>
          <w:lang w:val="es-ES"/>
        </w:rPr>
        <w:t>•</w:t>
      </w:r>
      <w:r>
        <w:rPr>
          <w:lang w:val="es-ES"/>
        </w:rPr>
        <w:tab/>
        <w:t xml:space="preserve">Los indicadores de resultados son adecuados para medir los cambios en las capacidades institucionales y de comportamiento de los Miembros, que también se han logrado como resultado final de la labor y la influencia de la UIT. </w:t>
      </w:r>
    </w:p>
    <w:p w14:paraId="59A101C1" w14:textId="77777777" w:rsidR="000E098E" w:rsidRPr="00707C60" w:rsidRDefault="000E098E" w:rsidP="00762210">
      <w:pPr>
        <w:pStyle w:val="enumlev1"/>
        <w:spacing w:before="60"/>
        <w:jc w:val="both"/>
        <w:rPr>
          <w:lang w:val="es-ES"/>
        </w:rPr>
      </w:pPr>
      <w:r>
        <w:rPr>
          <w:lang w:val="es-ES"/>
        </w:rPr>
        <w:t>–</w:t>
      </w:r>
      <w:r>
        <w:rPr>
          <w:lang w:val="es-ES"/>
        </w:rPr>
        <w:tab/>
        <w:t>Los indicadores deberían estar ya disponibles en la UIT o en otras organizaciones del sistema de las Naciones Unidas y no deberían requerir recursos financieros o humanos adicionales para la UIT para obtener, evaluar o aplicar los datos pertinentes.</w:t>
      </w:r>
    </w:p>
    <w:p w14:paraId="6DE19031" w14:textId="77777777" w:rsidR="00F92BED" w:rsidRPr="00707C60" w:rsidRDefault="00F92BED" w:rsidP="0032202E">
      <w:pPr>
        <w:pStyle w:val="Reasons"/>
        <w:rPr>
          <w:lang w:val="es-ES"/>
        </w:rPr>
      </w:pPr>
    </w:p>
    <w:p w14:paraId="01659DAB" w14:textId="77777777" w:rsidR="00F92BED" w:rsidRPr="00F92BED" w:rsidRDefault="00F92BED" w:rsidP="00F92BED">
      <w:pPr>
        <w:jc w:val="center"/>
      </w:pPr>
      <w:r>
        <w:t>______________</w:t>
      </w:r>
    </w:p>
    <w:sectPr w:rsidR="00F92BED" w:rsidRPr="00F92BED" w:rsidSect="00C538FC">
      <w:footerReference w:type="default" r:id="rId26"/>
      <w:headerReference w:type="first" r:id="rId27"/>
      <w:footerReference w:type="first" r:id="rId2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F9BF" w14:textId="77777777" w:rsidR="000B127A" w:rsidRDefault="000B127A">
      <w:r>
        <w:separator/>
      </w:r>
    </w:p>
  </w:endnote>
  <w:endnote w:type="continuationSeparator" w:id="0">
    <w:p w14:paraId="38493C1B" w14:textId="77777777" w:rsidR="000B127A" w:rsidRDefault="000B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A4E0CF4" w14:textId="77777777" w:rsidTr="00E31DCE">
      <w:trPr>
        <w:jc w:val="center"/>
      </w:trPr>
      <w:tc>
        <w:tcPr>
          <w:tcW w:w="1803" w:type="dxa"/>
          <w:vAlign w:val="center"/>
        </w:tcPr>
        <w:p w14:paraId="77D10D75" w14:textId="77777777" w:rsidR="003273A4" w:rsidRDefault="002946E2" w:rsidP="003273A4">
          <w:pPr>
            <w:pStyle w:val="Header"/>
            <w:jc w:val="left"/>
            <w:rPr>
              <w:noProof/>
            </w:rPr>
          </w:pPr>
          <w:r>
            <w:rPr>
              <w:noProof/>
            </w:rPr>
            <w:t>gDoc #</w:t>
          </w:r>
        </w:p>
      </w:tc>
      <w:tc>
        <w:tcPr>
          <w:tcW w:w="8261" w:type="dxa"/>
        </w:tcPr>
        <w:p w14:paraId="29FE429B" w14:textId="3B80E76A"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17137F">
            <w:rPr>
              <w:bCs/>
            </w:rPr>
            <w:t>83</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F539B8C"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0C0017F" w14:textId="77777777" w:rsidTr="00E31DCE">
      <w:trPr>
        <w:jc w:val="center"/>
      </w:trPr>
      <w:tc>
        <w:tcPr>
          <w:tcW w:w="1803" w:type="dxa"/>
          <w:vAlign w:val="center"/>
        </w:tcPr>
        <w:p w14:paraId="4772C7AE"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96347A3" w14:textId="2D826FA0"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17137F">
            <w:rPr>
              <w:bCs/>
            </w:rPr>
            <w:t>83</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1063157"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FD9E" w14:textId="77777777" w:rsidR="000B127A" w:rsidRDefault="000B127A">
      <w:r>
        <w:t>____________________</w:t>
      </w:r>
    </w:p>
  </w:footnote>
  <w:footnote w:type="continuationSeparator" w:id="0">
    <w:p w14:paraId="35DC51FC" w14:textId="77777777" w:rsidR="000B127A" w:rsidRDefault="000B1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2F1A"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7A"/>
    <w:rsid w:val="000007D1"/>
    <w:rsid w:val="0006007D"/>
    <w:rsid w:val="00065673"/>
    <w:rsid w:val="00093EEB"/>
    <w:rsid w:val="000B0D00"/>
    <w:rsid w:val="000B127A"/>
    <w:rsid w:val="000B7C15"/>
    <w:rsid w:val="000D1D0F"/>
    <w:rsid w:val="000E098E"/>
    <w:rsid w:val="000E3F07"/>
    <w:rsid w:val="000F5290"/>
    <w:rsid w:val="000F5A95"/>
    <w:rsid w:val="0010165C"/>
    <w:rsid w:val="00146BFB"/>
    <w:rsid w:val="001559F5"/>
    <w:rsid w:val="00157AC4"/>
    <w:rsid w:val="0016169C"/>
    <w:rsid w:val="0017137F"/>
    <w:rsid w:val="001958F5"/>
    <w:rsid w:val="001B6E2B"/>
    <w:rsid w:val="001F14A2"/>
    <w:rsid w:val="00277DEA"/>
    <w:rsid w:val="002801AA"/>
    <w:rsid w:val="002946E2"/>
    <w:rsid w:val="002C3F32"/>
    <w:rsid w:val="002C4676"/>
    <w:rsid w:val="002C70B0"/>
    <w:rsid w:val="002F3CC4"/>
    <w:rsid w:val="003032E2"/>
    <w:rsid w:val="0031300A"/>
    <w:rsid w:val="003273A4"/>
    <w:rsid w:val="0034796E"/>
    <w:rsid w:val="00453C58"/>
    <w:rsid w:val="004571B0"/>
    <w:rsid w:val="00465C35"/>
    <w:rsid w:val="00473962"/>
    <w:rsid w:val="004842E0"/>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07C60"/>
    <w:rsid w:val="00726872"/>
    <w:rsid w:val="00760F1C"/>
    <w:rsid w:val="00762210"/>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C552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C1FAF"/>
    <w:rsid w:val="00CF1A67"/>
    <w:rsid w:val="00D02BB0"/>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B31A4"/>
  <w15:docId w15:val="{7078F4F9-B895-48D4-A473-82A318F4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qFormat/>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71-E.pdf" TargetMode="External"/><Relationship Id="rId13" Type="http://schemas.openxmlformats.org/officeDocument/2006/relationships/hyperlink" Target="https://www.itu.int/en/council/Documents/basic-texts-2023/Convention-E.pdf" TargetMode="External"/><Relationship Id="rId18" Type="http://schemas.openxmlformats.org/officeDocument/2006/relationships/hyperlink" Target="https://www.itu.int/md/S25-CWGSFP3-C-0006/es"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itu.int/md/S25-CWGSFP3-C-0006/en" TargetMode="External"/><Relationship Id="rId7" Type="http://schemas.openxmlformats.org/officeDocument/2006/relationships/hyperlink" Target="https://www.itu.int/en/council/Documents/basic-texts-2023/Convention-E.pdf" TargetMode="External"/><Relationship Id="rId12" Type="http://schemas.openxmlformats.org/officeDocument/2006/relationships/hyperlink" Target="https://www.itu.int/en/council/Documents/basic-texts-2023/Constitution-E.pdf" TargetMode="External"/><Relationship Id="rId17" Type="http://schemas.openxmlformats.org/officeDocument/2006/relationships/hyperlink" Target="https://www.itu.int/md/S26-CWGSFP4-C-0002/en" TargetMode="External"/><Relationship Id="rId25" Type="http://schemas.openxmlformats.org/officeDocument/2006/relationships/hyperlink" Target="https://www.itu.int/md/S25-CWGSFP3-C-0007/en" TargetMode="External"/><Relationship Id="rId2" Type="http://schemas.openxmlformats.org/officeDocument/2006/relationships/settings" Target="settings.xml"/><Relationship Id="rId16" Type="http://schemas.openxmlformats.org/officeDocument/2006/relationships/hyperlink" Target="https://www.itu.int/md/S25-CWGSFP3-C-0007/en" TargetMode="External"/><Relationship Id="rId20" Type="http://schemas.openxmlformats.org/officeDocument/2006/relationships/hyperlink" Target="https://www.itu.int/md/S25-CWGSFP3-C-0006/e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en/council/Documents/basic-texts-2023/Constitution-E.pdf" TargetMode="External"/><Relationship Id="rId11" Type="http://schemas.openxmlformats.org/officeDocument/2006/relationships/hyperlink" Target="https://www.itu.int/md/S26-CWGSFP4-C-0002/es" TargetMode="External"/><Relationship Id="rId24" Type="http://schemas.openxmlformats.org/officeDocument/2006/relationships/hyperlink" Target="https://www.itu.int/md/S25-CWGSFP3-C-0007/es" TargetMode="External"/><Relationship Id="rId5" Type="http://schemas.openxmlformats.org/officeDocument/2006/relationships/endnotes" Target="endnotes.xml"/><Relationship Id="rId15" Type="http://schemas.openxmlformats.org/officeDocument/2006/relationships/hyperlink" Target="https://www.itu.int/md/S25-CWGSFP3-C-0006/en" TargetMode="External"/><Relationship Id="rId23" Type="http://schemas.openxmlformats.org/officeDocument/2006/relationships/hyperlink" Target="https://www.itu.int/md/S26-CWGSFP4-C-0002/en" TargetMode="External"/><Relationship Id="rId28" Type="http://schemas.openxmlformats.org/officeDocument/2006/relationships/footer" Target="footer2.xml"/><Relationship Id="rId10" Type="http://schemas.openxmlformats.org/officeDocument/2006/relationships/hyperlink" Target="https://www.itu.int/md/S25-CWGSFP3-C-0007/es" TargetMode="External"/><Relationship Id="rId19" Type="http://schemas.openxmlformats.org/officeDocument/2006/relationships/hyperlink" Target="https://www.itu.int/md/S25-CWGSFP3-C-0006/en" TargetMode="External"/><Relationship Id="rId4" Type="http://schemas.openxmlformats.org/officeDocument/2006/relationships/footnotes" Target="footnotes.xml"/><Relationship Id="rId9" Type="http://schemas.openxmlformats.org/officeDocument/2006/relationships/hyperlink" Target="https://www.itu.int/md/S25-CWGSFP3-C-0006/es" TargetMode="External"/><Relationship Id="rId14" Type="http://schemas.openxmlformats.org/officeDocument/2006/relationships/hyperlink" Target="https://www.itu.int/en/council/Documents/basic-texts-2023/RES-071-E.pdf" TargetMode="External"/><Relationship Id="rId22" Type="http://schemas.openxmlformats.org/officeDocument/2006/relationships/hyperlink" Target="https://www.itu.int/md/S26-CWGSFP4-C-0002/es"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4</TotalTime>
  <Pages>5</Pages>
  <Words>2051</Words>
  <Characters>12901</Characters>
  <Application>Microsoft Office Word</Application>
  <DocSecurity>0</DocSecurity>
  <Lines>238</Lines>
  <Paragraphs>97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14855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 contribución se ha preparado para presentar las opiniones de los cosignatarios sobre el proyecto de Plan Estratégico de la UIT para 2028-2031.</dc:title>
  <dc:subject>Consejo 2026 de la UIT</dc:subject>
  <dc:creator>Spanish</dc:creator>
  <cp:keywords>C26; C2026; Council 2026; PP26</cp:keywords>
  <dc:description/>
  <cp:lastModifiedBy>GBS-LRT</cp:lastModifiedBy>
  <cp:revision>3</cp:revision>
  <cp:lastPrinted>2006-03-24T09:51:00Z</cp:lastPrinted>
  <dcterms:created xsi:type="dcterms:W3CDTF">2026-04-20T16:03:00Z</dcterms:created>
  <dcterms:modified xsi:type="dcterms:W3CDTF">2026-04-20T16:05:00Z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