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F71EA3" w14:paraId="446B462D" w14:textId="77777777" w:rsidTr="00796BDB">
        <w:trPr>
          <w:cantSplit/>
          <w:trHeight w:val="23"/>
        </w:trPr>
        <w:tc>
          <w:tcPr>
            <w:tcW w:w="3969" w:type="dxa"/>
            <w:vMerge w:val="restart"/>
            <w:tcMar>
              <w:left w:w="0" w:type="dxa"/>
            </w:tcMar>
          </w:tcPr>
          <w:p w14:paraId="022A20A8" w14:textId="4BBA84E5" w:rsidR="00D72F49" w:rsidRPr="00F71EA3" w:rsidRDefault="00D72F49" w:rsidP="00796BDB">
            <w:pPr>
              <w:tabs>
                <w:tab w:val="left" w:pos="851"/>
              </w:tabs>
              <w:spacing w:before="0" w:line="240" w:lineRule="atLeast"/>
              <w:rPr>
                <w:b/>
              </w:rPr>
            </w:pPr>
            <w:r w:rsidRPr="00F71EA3">
              <w:rPr>
                <w:b/>
              </w:rPr>
              <w:t>Point de l'ordre du jour:</w:t>
            </w:r>
            <w:r w:rsidR="006510E8" w:rsidRPr="00F71EA3">
              <w:rPr>
                <w:b/>
              </w:rPr>
              <w:t xml:space="preserve"> PL 2</w:t>
            </w:r>
          </w:p>
        </w:tc>
        <w:tc>
          <w:tcPr>
            <w:tcW w:w="5245" w:type="dxa"/>
          </w:tcPr>
          <w:p w14:paraId="25338468" w14:textId="4AD82873" w:rsidR="00D72F49" w:rsidRPr="00F71EA3" w:rsidRDefault="00D72F49" w:rsidP="00796BDB">
            <w:pPr>
              <w:tabs>
                <w:tab w:val="left" w:pos="851"/>
              </w:tabs>
              <w:spacing w:before="0" w:line="240" w:lineRule="atLeast"/>
              <w:jc w:val="right"/>
              <w:rPr>
                <w:b/>
              </w:rPr>
            </w:pPr>
            <w:r w:rsidRPr="00F71EA3">
              <w:rPr>
                <w:b/>
              </w:rPr>
              <w:t>Document C2</w:t>
            </w:r>
            <w:r w:rsidR="00E4448E" w:rsidRPr="00F71EA3">
              <w:rPr>
                <w:b/>
              </w:rPr>
              <w:t>6</w:t>
            </w:r>
            <w:r w:rsidRPr="00F71EA3">
              <w:rPr>
                <w:b/>
              </w:rPr>
              <w:t>/</w:t>
            </w:r>
            <w:r w:rsidR="006510E8" w:rsidRPr="00F71EA3">
              <w:rPr>
                <w:b/>
              </w:rPr>
              <w:t>83</w:t>
            </w:r>
            <w:r w:rsidRPr="00F71EA3">
              <w:rPr>
                <w:b/>
              </w:rPr>
              <w:t>-F</w:t>
            </w:r>
          </w:p>
        </w:tc>
      </w:tr>
      <w:tr w:rsidR="00D72F49" w:rsidRPr="00F71EA3" w14:paraId="50714274" w14:textId="77777777" w:rsidTr="00796BDB">
        <w:trPr>
          <w:cantSplit/>
        </w:trPr>
        <w:tc>
          <w:tcPr>
            <w:tcW w:w="3969" w:type="dxa"/>
            <w:vMerge/>
          </w:tcPr>
          <w:p w14:paraId="62700643" w14:textId="77777777" w:rsidR="00D72F49" w:rsidRPr="00F71EA3" w:rsidRDefault="00D72F49" w:rsidP="00796BDB">
            <w:pPr>
              <w:tabs>
                <w:tab w:val="left" w:pos="851"/>
              </w:tabs>
              <w:spacing w:line="240" w:lineRule="atLeast"/>
              <w:rPr>
                <w:b/>
              </w:rPr>
            </w:pPr>
          </w:p>
        </w:tc>
        <w:tc>
          <w:tcPr>
            <w:tcW w:w="5245" w:type="dxa"/>
          </w:tcPr>
          <w:p w14:paraId="7EAD10FA" w14:textId="7EA1F809" w:rsidR="00D72F49" w:rsidRPr="00F71EA3" w:rsidRDefault="006510E8" w:rsidP="00796BDB">
            <w:pPr>
              <w:tabs>
                <w:tab w:val="left" w:pos="851"/>
              </w:tabs>
              <w:spacing w:before="0"/>
              <w:jc w:val="right"/>
              <w:rPr>
                <w:b/>
              </w:rPr>
            </w:pPr>
            <w:r w:rsidRPr="00F71EA3">
              <w:rPr>
                <w:b/>
              </w:rPr>
              <w:t>14 avril 2026</w:t>
            </w:r>
          </w:p>
        </w:tc>
      </w:tr>
      <w:tr w:rsidR="00D72F49" w:rsidRPr="00F71EA3" w14:paraId="4D300621" w14:textId="77777777" w:rsidTr="00796BDB">
        <w:trPr>
          <w:cantSplit/>
          <w:trHeight w:val="23"/>
        </w:trPr>
        <w:tc>
          <w:tcPr>
            <w:tcW w:w="3969" w:type="dxa"/>
            <w:vMerge/>
          </w:tcPr>
          <w:p w14:paraId="240F2AE4" w14:textId="77777777" w:rsidR="00D72F49" w:rsidRPr="00F71EA3" w:rsidRDefault="00D72F49" w:rsidP="00796BDB">
            <w:pPr>
              <w:tabs>
                <w:tab w:val="left" w:pos="851"/>
              </w:tabs>
              <w:spacing w:line="240" w:lineRule="atLeast"/>
              <w:rPr>
                <w:b/>
              </w:rPr>
            </w:pPr>
          </w:p>
        </w:tc>
        <w:tc>
          <w:tcPr>
            <w:tcW w:w="5245" w:type="dxa"/>
          </w:tcPr>
          <w:p w14:paraId="74ED42FE" w14:textId="77777777" w:rsidR="00D72F49" w:rsidRPr="00F71EA3" w:rsidRDefault="00D72F49" w:rsidP="00796BDB">
            <w:pPr>
              <w:tabs>
                <w:tab w:val="left" w:pos="851"/>
              </w:tabs>
              <w:spacing w:before="0" w:line="240" w:lineRule="atLeast"/>
              <w:jc w:val="right"/>
              <w:rPr>
                <w:b/>
              </w:rPr>
            </w:pPr>
            <w:r w:rsidRPr="00F71EA3">
              <w:rPr>
                <w:b/>
              </w:rPr>
              <w:t>Original: anglais</w:t>
            </w:r>
          </w:p>
        </w:tc>
      </w:tr>
      <w:tr w:rsidR="00D72F49" w:rsidRPr="00F71EA3" w14:paraId="69D6FE1C" w14:textId="77777777" w:rsidTr="00796BDB">
        <w:trPr>
          <w:cantSplit/>
          <w:trHeight w:val="23"/>
        </w:trPr>
        <w:tc>
          <w:tcPr>
            <w:tcW w:w="3969" w:type="dxa"/>
          </w:tcPr>
          <w:p w14:paraId="46680391" w14:textId="77777777" w:rsidR="00D72F49" w:rsidRPr="00F71EA3" w:rsidRDefault="00D72F49" w:rsidP="00796BDB">
            <w:pPr>
              <w:tabs>
                <w:tab w:val="left" w:pos="851"/>
              </w:tabs>
              <w:spacing w:line="240" w:lineRule="atLeast"/>
              <w:rPr>
                <w:b/>
              </w:rPr>
            </w:pPr>
          </w:p>
        </w:tc>
        <w:tc>
          <w:tcPr>
            <w:tcW w:w="5245" w:type="dxa"/>
          </w:tcPr>
          <w:p w14:paraId="1F5DBAE1" w14:textId="77777777" w:rsidR="00D72F49" w:rsidRPr="00F71EA3" w:rsidRDefault="00D72F49" w:rsidP="00796BDB">
            <w:pPr>
              <w:tabs>
                <w:tab w:val="left" w:pos="851"/>
              </w:tabs>
              <w:spacing w:before="0" w:line="240" w:lineRule="atLeast"/>
              <w:jc w:val="right"/>
              <w:rPr>
                <w:b/>
              </w:rPr>
            </w:pPr>
          </w:p>
        </w:tc>
      </w:tr>
      <w:tr w:rsidR="00D72F49" w:rsidRPr="00F71EA3" w14:paraId="52E8EEBF" w14:textId="77777777" w:rsidTr="00796BDB">
        <w:trPr>
          <w:cantSplit/>
        </w:trPr>
        <w:tc>
          <w:tcPr>
            <w:tcW w:w="9214" w:type="dxa"/>
            <w:gridSpan w:val="2"/>
            <w:tcMar>
              <w:left w:w="0" w:type="dxa"/>
            </w:tcMar>
          </w:tcPr>
          <w:p w14:paraId="77DF7719" w14:textId="4C014C95" w:rsidR="00D72F49" w:rsidRPr="003C611D" w:rsidRDefault="006510E8" w:rsidP="003C611D">
            <w:pPr>
              <w:pStyle w:val="Source"/>
              <w:framePr w:hSpace="0" w:wrap="auto" w:vAnchor="margin" w:hAnchor="text" w:xAlign="left" w:yAlign="inline"/>
            </w:pPr>
            <w:r w:rsidRPr="003C611D">
              <w:t>Contribution de la Bulgarie (République de), de la France</w:t>
            </w:r>
            <w:r w:rsidR="003C611D" w:rsidRPr="003C611D">
              <w:t>,</w:t>
            </w:r>
            <w:r w:rsidRPr="003C611D">
              <w:t xml:space="preserve"> de l</w:t>
            </w:r>
            <w:r w:rsidR="006A618D" w:rsidRPr="003C611D">
              <w:t>'</w:t>
            </w:r>
            <w:r w:rsidRPr="003C611D">
              <w:t>Italie</w:t>
            </w:r>
            <w:r w:rsidR="003C611D" w:rsidRPr="003C611D">
              <w:t xml:space="preserve"> et de la </w:t>
            </w:r>
            <w:r w:rsidR="003C611D" w:rsidRPr="003C611D">
              <w:t>Suède</w:t>
            </w:r>
          </w:p>
        </w:tc>
      </w:tr>
      <w:tr w:rsidR="00D72F49" w:rsidRPr="00F71EA3" w14:paraId="42A721E6" w14:textId="77777777" w:rsidTr="00796BDB">
        <w:trPr>
          <w:cantSplit/>
        </w:trPr>
        <w:tc>
          <w:tcPr>
            <w:tcW w:w="9214" w:type="dxa"/>
            <w:gridSpan w:val="2"/>
            <w:tcMar>
              <w:left w:w="0" w:type="dxa"/>
            </w:tcMar>
          </w:tcPr>
          <w:p w14:paraId="4D1BE82F" w14:textId="7490FF82" w:rsidR="00D72F49" w:rsidRPr="00F71EA3" w:rsidRDefault="003C611D" w:rsidP="00796BDB">
            <w:pPr>
              <w:pStyle w:val="Subtitle"/>
              <w:framePr w:hSpace="0" w:wrap="auto" w:hAnchor="text" w:xAlign="left" w:yAlign="inline"/>
              <w:rPr>
                <w:sz w:val="32"/>
                <w:szCs w:val="32"/>
                <w:lang w:val="fr-FR"/>
              </w:rPr>
            </w:pPr>
            <w:r w:rsidRPr="00F71EA3">
              <w:rPr>
                <w:rFonts w:cstheme="minorHAnsi"/>
                <w:sz w:val="32"/>
                <w:szCs w:val="32"/>
                <w:lang w:val="fr-FR"/>
              </w:rPr>
              <w:t>PROJET DE PLAN STRATÉGIQUE DE L'UIT POUR LA PÉRIODE 2028</w:t>
            </w:r>
            <w:r>
              <w:rPr>
                <w:rFonts w:cstheme="minorHAnsi"/>
                <w:sz w:val="32"/>
                <w:szCs w:val="32"/>
                <w:lang w:val="fr-FR"/>
              </w:rPr>
              <w:noBreakHyphen/>
            </w:r>
            <w:r w:rsidRPr="00F71EA3">
              <w:rPr>
                <w:rFonts w:cstheme="minorHAnsi"/>
                <w:sz w:val="32"/>
                <w:szCs w:val="32"/>
                <w:lang w:val="fr-FR"/>
              </w:rPr>
              <w:t>2031</w:t>
            </w:r>
          </w:p>
        </w:tc>
      </w:tr>
      <w:tr w:rsidR="00D72F49" w:rsidRPr="00F71EA3" w14:paraId="2ADE8D30" w14:textId="77777777" w:rsidTr="00796BDB">
        <w:trPr>
          <w:cantSplit/>
        </w:trPr>
        <w:tc>
          <w:tcPr>
            <w:tcW w:w="9214" w:type="dxa"/>
            <w:gridSpan w:val="2"/>
            <w:tcBorders>
              <w:top w:val="single" w:sz="4" w:space="0" w:color="auto"/>
              <w:bottom w:val="single" w:sz="4" w:space="0" w:color="auto"/>
            </w:tcBorders>
            <w:tcMar>
              <w:left w:w="0" w:type="dxa"/>
            </w:tcMar>
          </w:tcPr>
          <w:p w14:paraId="20CC51B1" w14:textId="77777777" w:rsidR="00D72F49" w:rsidRPr="00F71EA3" w:rsidRDefault="00F37FE5" w:rsidP="00796BDB">
            <w:pPr>
              <w:spacing w:before="160"/>
              <w:rPr>
                <w:b/>
                <w:bCs/>
                <w:sz w:val="26"/>
                <w:szCs w:val="26"/>
              </w:rPr>
            </w:pPr>
            <w:r w:rsidRPr="00F71EA3">
              <w:rPr>
                <w:b/>
                <w:bCs/>
                <w:sz w:val="26"/>
                <w:szCs w:val="26"/>
              </w:rPr>
              <w:t>Objet</w:t>
            </w:r>
          </w:p>
          <w:p w14:paraId="5966C4AC" w14:textId="58F8BCE5" w:rsidR="00D72F49" w:rsidRPr="00F71EA3" w:rsidRDefault="006510E8" w:rsidP="003C611D">
            <w:pPr>
              <w:jc w:val="both"/>
            </w:pPr>
            <w:r w:rsidRPr="00F71EA3">
              <w:t>La présente contribution vise à exposer les vues des pays cosignataires concernant le projet de Plan stratégique de l</w:t>
            </w:r>
            <w:r w:rsidR="006A618D" w:rsidRPr="00F71EA3">
              <w:t>'</w:t>
            </w:r>
            <w:r w:rsidRPr="00F71EA3">
              <w:t>UIT pour la période 2028-2031.</w:t>
            </w:r>
          </w:p>
          <w:p w14:paraId="5693DE5D" w14:textId="77777777" w:rsidR="00D72F49" w:rsidRPr="00F71EA3" w:rsidRDefault="00D72F49" w:rsidP="00796BDB">
            <w:pPr>
              <w:spacing w:before="160"/>
              <w:rPr>
                <w:b/>
                <w:bCs/>
                <w:sz w:val="26"/>
                <w:szCs w:val="26"/>
              </w:rPr>
            </w:pPr>
            <w:r w:rsidRPr="00F71EA3">
              <w:rPr>
                <w:b/>
                <w:bCs/>
                <w:sz w:val="26"/>
                <w:szCs w:val="26"/>
              </w:rPr>
              <w:t>Suite à donner par le Conseil</w:t>
            </w:r>
          </w:p>
          <w:p w14:paraId="01C67480" w14:textId="37B76E40" w:rsidR="00D72F49" w:rsidRPr="00F71EA3" w:rsidRDefault="006510E8" w:rsidP="003C611D">
            <w:pPr>
              <w:jc w:val="both"/>
            </w:pPr>
            <w:r w:rsidRPr="00F71EA3">
              <w:t xml:space="preserve">Le Conseil est invité à </w:t>
            </w:r>
            <w:r w:rsidRPr="00F71EA3">
              <w:rPr>
                <w:b/>
                <w:bCs/>
              </w:rPr>
              <w:t>examiner</w:t>
            </w:r>
            <w:r w:rsidRPr="00F71EA3">
              <w:t xml:space="preserve"> la présente contribution et à </w:t>
            </w:r>
            <w:r w:rsidRPr="00F71EA3">
              <w:rPr>
                <w:b/>
                <w:bCs/>
              </w:rPr>
              <w:t>prendre les mesures</w:t>
            </w:r>
            <w:r w:rsidRPr="00F71EA3">
              <w:t xml:space="preserve"> nécessaires en conséquence.</w:t>
            </w:r>
          </w:p>
          <w:p w14:paraId="5B32C57B" w14:textId="226A28A3" w:rsidR="00D72F49" w:rsidRPr="00F71EA3" w:rsidRDefault="00D72F49" w:rsidP="00796BDB">
            <w:pPr>
              <w:spacing w:before="160"/>
              <w:rPr>
                <w:b/>
                <w:bCs/>
                <w:sz w:val="26"/>
                <w:szCs w:val="26"/>
              </w:rPr>
            </w:pPr>
            <w:r w:rsidRPr="00F71EA3">
              <w:rPr>
                <w:sz w:val="22"/>
              </w:rPr>
              <w:t>__________________</w:t>
            </w:r>
          </w:p>
          <w:p w14:paraId="45CEE729" w14:textId="77777777" w:rsidR="00D72F49" w:rsidRPr="00F71EA3" w:rsidRDefault="00D72F49" w:rsidP="00796BDB">
            <w:pPr>
              <w:spacing w:before="160"/>
              <w:rPr>
                <w:b/>
                <w:bCs/>
                <w:sz w:val="26"/>
                <w:szCs w:val="26"/>
              </w:rPr>
            </w:pPr>
            <w:r w:rsidRPr="00F71EA3">
              <w:rPr>
                <w:b/>
                <w:bCs/>
                <w:sz w:val="26"/>
                <w:szCs w:val="26"/>
              </w:rPr>
              <w:t>Références</w:t>
            </w:r>
          </w:p>
          <w:p w14:paraId="2D86E3D1" w14:textId="4075FF60" w:rsidR="00D72F49" w:rsidRPr="003C611D" w:rsidRDefault="006510E8" w:rsidP="00CE5172">
            <w:pPr>
              <w:pStyle w:val="Referencetext"/>
              <w:framePr w:hSpace="0" w:wrap="auto" w:vAnchor="margin" w:hAnchor="text" w:xAlign="left" w:yAlign="inline"/>
            </w:pPr>
            <w:hyperlink r:id="rId7" w:history="1">
              <w:r w:rsidRPr="003C611D">
                <w:rPr>
                  <w:rStyle w:val="Hyperlink"/>
                  <w:rFonts w:eastAsia="Times New Roman" w:cs="Times New Roman"/>
                </w:rPr>
                <w:t>Constitution</w:t>
              </w:r>
            </w:hyperlink>
            <w:r w:rsidRPr="003C611D">
              <w:t xml:space="preserve"> et </w:t>
            </w:r>
            <w:hyperlink r:id="rId8" w:history="1">
              <w:r w:rsidRPr="003C611D">
                <w:rPr>
                  <w:rStyle w:val="Hyperlink"/>
                  <w:rFonts w:eastAsia="Times New Roman" w:cs="Times New Roman"/>
                </w:rPr>
                <w:t>Convention de l'UIT</w:t>
              </w:r>
            </w:hyperlink>
            <w:r w:rsidRPr="003C611D">
              <w:t xml:space="preserve">; </w:t>
            </w:r>
            <w:hyperlink r:id="rId9" w:history="1">
              <w:r w:rsidRPr="003C611D">
                <w:rPr>
                  <w:rStyle w:val="Hyperlink"/>
                  <w:rFonts w:eastAsia="Times New Roman" w:cs="Times New Roman"/>
                </w:rPr>
                <w:t>Résolution 71</w:t>
              </w:r>
            </w:hyperlink>
            <w:r w:rsidRPr="003C611D">
              <w:t xml:space="preserve"> (Rév. Bucarest, 2022) de la Conférence de </w:t>
            </w:r>
            <w:proofErr w:type="gramStart"/>
            <w:r w:rsidRPr="003C611D">
              <w:t>plénipotentiaires;</w:t>
            </w:r>
            <w:proofErr w:type="gramEnd"/>
            <w:r w:rsidRPr="003C611D">
              <w:t xml:space="preserve"> </w:t>
            </w:r>
            <w:hyperlink r:id="rId10" w:history="1">
              <w:r w:rsidRPr="003C611D">
                <w:rPr>
                  <w:rStyle w:val="Hyperlink"/>
                  <w:rFonts w:eastAsia="Times New Roman" w:cs="Times New Roman"/>
                </w:rPr>
                <w:t>Documents CWG-SFP-3/6</w:t>
              </w:r>
            </w:hyperlink>
            <w:r w:rsidRPr="003C611D">
              <w:t xml:space="preserve">, </w:t>
            </w:r>
            <w:hyperlink r:id="rId11" w:history="1">
              <w:r w:rsidRPr="003C611D">
                <w:rPr>
                  <w:rStyle w:val="Hyperlink"/>
                  <w:rFonts w:eastAsia="Times New Roman" w:cs="Times New Roman"/>
                </w:rPr>
                <w:t>CWG-SFP-3/7</w:t>
              </w:r>
            </w:hyperlink>
            <w:r w:rsidRPr="003C611D">
              <w:t xml:space="preserve"> et </w:t>
            </w:r>
            <w:hyperlink r:id="rId12" w:history="1">
              <w:r w:rsidRPr="003C611D">
                <w:rPr>
                  <w:rStyle w:val="Hyperlink"/>
                  <w:rFonts w:eastAsia="Times New Roman" w:cs="Times New Roman"/>
                </w:rPr>
                <w:t>CWG-SFP-4/2</w:t>
              </w:r>
            </w:hyperlink>
            <w:r w:rsidRPr="003C611D">
              <w:t>; Rapport du Corps commun d</w:t>
            </w:r>
            <w:r w:rsidR="006A618D" w:rsidRPr="003C611D">
              <w:t>'</w:t>
            </w:r>
            <w:r w:rsidRPr="003C611D">
              <w:t>inspection intitulé "Planification stratégique dans les organismes du système des Nations Unies"</w:t>
            </w:r>
          </w:p>
        </w:tc>
      </w:tr>
    </w:tbl>
    <w:p w14:paraId="11D1EC42" w14:textId="77777777" w:rsidR="00A51849" w:rsidRPr="00F71EA3" w:rsidRDefault="00A51849">
      <w:pPr>
        <w:tabs>
          <w:tab w:val="clear" w:pos="567"/>
          <w:tab w:val="clear" w:pos="1134"/>
          <w:tab w:val="clear" w:pos="1701"/>
          <w:tab w:val="clear" w:pos="2268"/>
          <w:tab w:val="clear" w:pos="2835"/>
        </w:tabs>
        <w:overflowPunct/>
        <w:autoSpaceDE/>
        <w:autoSpaceDN/>
        <w:adjustRightInd/>
        <w:spacing w:before="0"/>
        <w:textAlignment w:val="auto"/>
      </w:pPr>
      <w:r w:rsidRPr="00F71EA3">
        <w:br w:type="page"/>
      </w:r>
    </w:p>
    <w:p w14:paraId="150C11E4" w14:textId="3832B9F5" w:rsidR="006510E8" w:rsidRPr="00F71EA3" w:rsidRDefault="006510E8" w:rsidP="006510E8">
      <w:pPr>
        <w:pStyle w:val="Heading1"/>
      </w:pPr>
      <w:r w:rsidRPr="00F71EA3">
        <w:lastRenderedPageBreak/>
        <w:t>1</w:t>
      </w:r>
      <w:r w:rsidRPr="00F71EA3">
        <w:tab/>
        <w:t>Considérations générales</w:t>
      </w:r>
    </w:p>
    <w:p w14:paraId="0B1725AF" w14:textId="3FE775AB" w:rsidR="006510E8" w:rsidRPr="00F71EA3" w:rsidRDefault="006510E8" w:rsidP="003C611D">
      <w:pPr>
        <w:jc w:val="both"/>
      </w:pPr>
      <w:r w:rsidRPr="00F71EA3">
        <w:t>Le paragraphe c) de l'</w:t>
      </w:r>
      <w:r w:rsidR="00FD3D8F" w:rsidRPr="00F71EA3">
        <w:t>a</w:t>
      </w:r>
      <w:r w:rsidRPr="00F71EA3">
        <w:t xml:space="preserve">rticle 8 de la Constitution de l'UIT dispose que la Conférence de plénipotentiaires établit le </w:t>
      </w:r>
      <w:r w:rsidR="006A618D" w:rsidRPr="00F71EA3">
        <w:t>p</w:t>
      </w:r>
      <w:r w:rsidRPr="00F71EA3">
        <w:t>lan stratégique pour l'Union ainsi que les bases du budget de l'Union et fixe les limites financières correspondantes pour la période allant jusqu'à la Conférence de plénipotentiaires suivante, après avoir examiné tous les aspects pertinents de l'activité de l'Union durant cette période. Le paragraphe 10 bis de l</w:t>
      </w:r>
      <w:r w:rsidR="006A618D" w:rsidRPr="00F71EA3">
        <w:t>'</w:t>
      </w:r>
      <w:r w:rsidRPr="00F71EA3">
        <w:t>article 4 de la Convention de l</w:t>
      </w:r>
      <w:r w:rsidR="006A618D" w:rsidRPr="00F71EA3">
        <w:t>'</w:t>
      </w:r>
      <w:r w:rsidRPr="00F71EA3">
        <w:t xml:space="preserve">UIT donne au Conseil la possibilité, tout en respectant les limites financières telles qu'adoptées par la Conférence de plénipotentiaires, de réexaminer et de mettre à jour le </w:t>
      </w:r>
      <w:r w:rsidR="006A618D" w:rsidRPr="00F71EA3">
        <w:t>p</w:t>
      </w:r>
      <w:r w:rsidRPr="00F71EA3">
        <w:t>lan stratégique, qui forme la base des plans opérationnels correspondants. Par ailleurs, conformément au point 11.1) de l'</w:t>
      </w:r>
      <w:r w:rsidR="00FD3D8F" w:rsidRPr="00F71EA3">
        <w:t>a</w:t>
      </w:r>
      <w:r w:rsidRPr="00F71EA3">
        <w:t xml:space="preserve">rticle 4, le Conseil est chargé de recevoir et d'examiner les données concrètes pour la planification stratégique qui sont fournies par le Secrétaire général et, au cours de l'avant-dernière session ordinaire du Conseil avant la Conférence de plénipotentiaires suivante, de commencer l'élaboration d'un projet de nouveau plan stratégique pour l'Union, en s'appuyant sur les contributions des États Membres et des Membres des Secteurs, ainsi que celles des groupes consultatifs des Secteurs, et d'établir un projet de nouveau plan stratégique coordonné quatre mois au plus tard avant la Conférence de plénipotentiaires; </w:t>
      </w:r>
      <w:r w:rsidR="00F71EA3" w:rsidRPr="00F71EA3">
        <w:t>l</w:t>
      </w:r>
      <w:r w:rsidRPr="00F71EA3">
        <w:t xml:space="preserve">e Conseil devrait également établir un calendrier pour l'élaboration des plans stratégique et financier de l'Union ainsi que des plans opérationnels de chaque Secteur et du Secrétariat général de façon à assurer une coordination appropriée entre ces plans; </w:t>
      </w:r>
      <w:r w:rsidR="00F71EA3" w:rsidRPr="00F71EA3">
        <w:t>l</w:t>
      </w:r>
      <w:r w:rsidRPr="00F71EA3">
        <w:t>a Convention de l</w:t>
      </w:r>
      <w:r w:rsidR="006A618D" w:rsidRPr="00F71EA3">
        <w:t>'</w:t>
      </w:r>
      <w:r w:rsidRPr="00F71EA3">
        <w:t>UIT prévoit donc qu</w:t>
      </w:r>
      <w:r w:rsidR="006A618D" w:rsidRPr="00F71EA3">
        <w:t>'</w:t>
      </w:r>
      <w:r w:rsidRPr="00F71EA3">
        <w:t>il devrait y avoir une coordination appropriée entre les plans.</w:t>
      </w:r>
    </w:p>
    <w:p w14:paraId="120D537D" w14:textId="0EA277A9" w:rsidR="006510E8" w:rsidRPr="00F71EA3" w:rsidRDefault="006510E8" w:rsidP="003C611D">
      <w:pPr>
        <w:jc w:val="both"/>
      </w:pPr>
      <w:r w:rsidRPr="00F71EA3">
        <w:t xml:space="preserve">Le </w:t>
      </w:r>
      <w:hyperlink r:id="rId13" w:history="1">
        <w:r w:rsidRPr="00F71EA3">
          <w:rPr>
            <w:rStyle w:val="Hyperlink"/>
            <w:rFonts w:eastAsia="Times New Roman" w:cs="Times New Roman"/>
            <w:szCs w:val="20"/>
          </w:rPr>
          <w:t>Document CWG-SFP-3/6</w:t>
        </w:r>
      </w:hyperlink>
      <w:r w:rsidRPr="00F71EA3">
        <w:t xml:space="preserve"> contient une partie consacrée au Plan financier au niveau stratégique, dans laquelle ce Plan est défini comme étant une estimation des produits attendues et des affectations de ressources à chacune des priorités thématiques/réalisations souhaitées, sur la base des priorités relatives définies dans le Plan stratégique. Le Plan financier devrait fournir des orientations pour la budgétisation et l</w:t>
      </w:r>
      <w:r w:rsidR="006A618D" w:rsidRPr="00F71EA3">
        <w:t>'</w:t>
      </w:r>
      <w:r w:rsidRPr="00F71EA3">
        <w:t>exécution des produits figurant dans les Plans opérationnels pendant la période couverte par le Plan stratégique.</w:t>
      </w:r>
    </w:p>
    <w:p w14:paraId="24489CA2" w14:textId="18447402" w:rsidR="006510E8" w:rsidRPr="00F71EA3" w:rsidRDefault="006510E8" w:rsidP="003C611D">
      <w:pPr>
        <w:jc w:val="both"/>
      </w:pPr>
      <w:r w:rsidRPr="00F71EA3">
        <w:t>Le processus permettant d</w:t>
      </w:r>
      <w:r w:rsidR="006A618D" w:rsidRPr="00F71EA3">
        <w:t>'</w:t>
      </w:r>
      <w:r w:rsidRPr="00F71EA3">
        <w:t>établir les estimations des coûts incluses dans le Plan financier au niveau des réalisations devrait être élaboré par le Groupe de travail du Conseil chargé d</w:t>
      </w:r>
      <w:r w:rsidR="006A618D" w:rsidRPr="00F71EA3">
        <w:t>'</w:t>
      </w:r>
      <w:r w:rsidRPr="00F71EA3">
        <w:t>élaborer le Plan stratégique et le Plan financier (GTC-SFP), sur la base de la proposition du Secrétariat. Cette proposition devrait tenir compte des propositions du Secrétariat général et des Bureaux concernant les activités qu</w:t>
      </w:r>
      <w:r w:rsidR="006A618D" w:rsidRPr="00F71EA3">
        <w:t>'</w:t>
      </w:r>
      <w:r w:rsidRPr="00F71EA3">
        <w:t>ils se proposent de mener pendant la période considérée, afin d'élaborer les produits qui permettront d</w:t>
      </w:r>
      <w:r w:rsidR="006A618D" w:rsidRPr="00F71EA3">
        <w:t>'</w:t>
      </w:r>
      <w:r w:rsidRPr="00F71EA3">
        <w:t>atteindre les cibles correspondant aux réalisations (dans le Plan stratégique). Les ressources nécessaires pour mener à bien ces activités devraient être estimées et regroupées pour l</w:t>
      </w:r>
      <w:r w:rsidR="006A618D" w:rsidRPr="00F71EA3">
        <w:t>'</w:t>
      </w:r>
      <w:r w:rsidRPr="00F71EA3">
        <w:t>ensemble des Bureaux et du Secrétariat général afin d</w:t>
      </w:r>
      <w:r w:rsidR="006A618D" w:rsidRPr="00F71EA3">
        <w:t>'</w:t>
      </w:r>
      <w:r w:rsidRPr="00F71EA3">
        <w:t>obtenir les ressources nécessaires estimées pour chaque réalisation indiquée dans le Plan stratégique.</w:t>
      </w:r>
    </w:p>
    <w:p w14:paraId="10ADAB80" w14:textId="00F9E784" w:rsidR="006510E8" w:rsidRPr="00F71EA3" w:rsidRDefault="006510E8" w:rsidP="003C611D">
      <w:pPr>
        <w:jc w:val="both"/>
      </w:pPr>
      <w:r w:rsidRPr="00F71EA3">
        <w:t xml:space="preserve">Le texte de la Convention et la procédure indiquée dans le </w:t>
      </w:r>
      <w:hyperlink r:id="rId14" w:history="1">
        <w:r w:rsidRPr="00F71EA3">
          <w:rPr>
            <w:rStyle w:val="Hyperlink"/>
            <w:rFonts w:eastAsia="Times New Roman" w:cs="Times New Roman"/>
            <w:szCs w:val="20"/>
          </w:rPr>
          <w:t>Document CWG-SFP-3/6</w:t>
        </w:r>
      </w:hyperlink>
      <w:r w:rsidRPr="00F71EA3">
        <w:t xml:space="preserve"> suggèrent que les priorités thématiques/réalisations souhaitées et la réalisation des cibles correspondant aux réalisations devraient être clairement liés, depuis le Plan stratégique jusqu</w:t>
      </w:r>
      <w:r w:rsidR="006A618D" w:rsidRPr="00F71EA3">
        <w:t>'</w:t>
      </w:r>
      <w:r w:rsidRPr="00F71EA3">
        <w:t>aux Plans opérationnels, en passant par le Plan financier.</w:t>
      </w:r>
    </w:p>
    <w:p w14:paraId="71990D43" w14:textId="7B3BE43F" w:rsidR="006510E8" w:rsidRPr="00F71EA3" w:rsidRDefault="006510E8" w:rsidP="003C611D">
      <w:pPr>
        <w:pStyle w:val="Reasons"/>
        <w:jc w:val="both"/>
      </w:pPr>
      <w:r w:rsidRPr="00F71EA3">
        <w:t xml:space="preserve">En outre, dans le corps du texte, la Résolution 71 fait référence au </w:t>
      </w:r>
      <w:r w:rsidR="00696CD8" w:rsidRPr="00F71EA3">
        <w:t>r</w:t>
      </w:r>
      <w:r w:rsidRPr="00F71EA3">
        <w:t>apport du Corps commun d</w:t>
      </w:r>
      <w:r w:rsidR="006A618D" w:rsidRPr="00F71EA3">
        <w:t>'</w:t>
      </w:r>
      <w:r w:rsidRPr="00F71EA3">
        <w:t xml:space="preserve">inspection intitulé </w:t>
      </w:r>
      <w:r w:rsidR="00F75927" w:rsidRPr="00F71EA3">
        <w:t>"</w:t>
      </w:r>
      <w:r w:rsidRPr="00F71EA3">
        <w:t>Planification stratégique dans les organismes du système des Nations</w:t>
      </w:r>
      <w:r w:rsidR="00F75927" w:rsidRPr="00F71EA3">
        <w:t> </w:t>
      </w:r>
      <w:r w:rsidRPr="00F71EA3">
        <w:t>Unies</w:t>
      </w:r>
      <w:r w:rsidR="00F75927" w:rsidRPr="00F71EA3">
        <w:t>"</w:t>
      </w:r>
      <w:r w:rsidRPr="00F71EA3">
        <w:t xml:space="preserve">. Bien que publié en 2012, ce rapport contient les définitions et principes de base de la planification stratégique dans le système des Nations Unies. La planification </w:t>
      </w:r>
      <w:r w:rsidRPr="00F71EA3">
        <w:lastRenderedPageBreak/>
        <w:t>stratégique est définie comme le processus par lequel les objectifs à moyen et long terme d</w:t>
      </w:r>
      <w:r w:rsidR="006A618D" w:rsidRPr="00F71EA3">
        <w:t>'</w:t>
      </w:r>
      <w:r w:rsidRPr="00F71EA3">
        <w:t xml:space="preserve">une organisation, ainsi que les ressources prévues pour les atteindre, sont définis. Le </w:t>
      </w:r>
      <w:r w:rsidR="00696CD8" w:rsidRPr="00F71EA3">
        <w:t>r</w:t>
      </w:r>
      <w:r w:rsidRPr="00F71EA3">
        <w:t>apport du CCI explique la nécessité d</w:t>
      </w:r>
      <w:r w:rsidR="006A618D" w:rsidRPr="00F71EA3">
        <w:t>'</w:t>
      </w:r>
      <w:r w:rsidRPr="00F71EA3">
        <w:t>établir un lien clair entre le plan stratégique et l</w:t>
      </w:r>
      <w:r w:rsidR="006A618D" w:rsidRPr="00F71EA3">
        <w:t>'</w:t>
      </w:r>
      <w:r w:rsidRPr="00F71EA3">
        <w:t>affectation des ressources, tout en soulignant que, néanmoins, le plan stratégique ne devrait pas être axé sur le budget, mais plutôt sur le mandat. Le Plan stratégique doit prévoir un mécanisme clairement défini pour identifier les ressources nécessaires à sa mise en œuvre. Il devrait s'agir d'un instrument permettant d</w:t>
      </w:r>
      <w:r w:rsidR="006A618D" w:rsidRPr="00F71EA3">
        <w:t>'</w:t>
      </w:r>
      <w:r w:rsidRPr="00F71EA3">
        <w:t>identifier et de mobiliser toutes les ressources dont dispose l</w:t>
      </w:r>
      <w:r w:rsidR="006A618D" w:rsidRPr="00F71EA3">
        <w:t>'</w:t>
      </w:r>
      <w:r w:rsidRPr="00F71EA3">
        <w:t>organisation et de fixer des priorités en vue d</w:t>
      </w:r>
      <w:r w:rsidR="006A618D" w:rsidRPr="00F71EA3">
        <w:t>'</w:t>
      </w:r>
      <w:r w:rsidRPr="00F71EA3">
        <w:t>une affectation et d</w:t>
      </w:r>
      <w:r w:rsidR="006A618D" w:rsidRPr="00F71EA3">
        <w:t>'</w:t>
      </w:r>
      <w:r w:rsidRPr="00F71EA3">
        <w:t xml:space="preserve">une utilisation optimales des ressources consacrées aux buts et objectifs convenus. Le </w:t>
      </w:r>
      <w:r w:rsidR="006A618D" w:rsidRPr="00F71EA3">
        <w:t>P</w:t>
      </w:r>
      <w:r w:rsidRPr="00F71EA3">
        <w:t>lan stratégique devrait également tenir compte des besoins de gestion d</w:t>
      </w:r>
      <w:r w:rsidR="006A618D" w:rsidRPr="00F71EA3">
        <w:t>'</w:t>
      </w:r>
      <w:r w:rsidRPr="00F71EA3">
        <w:t>une organisation, en tant qu</w:t>
      </w:r>
      <w:r w:rsidR="006A618D" w:rsidRPr="00F71EA3">
        <w:t>'</w:t>
      </w:r>
      <w:r w:rsidRPr="00F71EA3">
        <w:t>outil qui servirait de feuille de route pour que chaque division/unité de l</w:t>
      </w:r>
      <w:r w:rsidR="006A618D" w:rsidRPr="00F71EA3">
        <w:t>'</w:t>
      </w:r>
      <w:r w:rsidRPr="00F71EA3">
        <w:t>organisation puisse se situer dans la vue d</w:t>
      </w:r>
      <w:r w:rsidR="006A618D" w:rsidRPr="00F71EA3">
        <w:t>'</w:t>
      </w:r>
      <w:r w:rsidRPr="00F71EA3">
        <w:t>ensemble et relier ses objectifs quotidiens à la réalisation globale du plan stratégique. Les plans stratégiques doivent être liés à des mécanismes de mise en œuvre clairement définis (par exemple, en faisant correspondre les plans opérationnels).</w:t>
      </w:r>
    </w:p>
    <w:p w14:paraId="179EB349" w14:textId="7AFD84C5" w:rsidR="006510E8" w:rsidRPr="00F71EA3" w:rsidRDefault="006510E8" w:rsidP="003C611D">
      <w:pPr>
        <w:jc w:val="both"/>
      </w:pPr>
      <w:r w:rsidRPr="00F71EA3">
        <w:t>La planification stratégique est une condition préalable importante au bon fonctionnement et à la bonne exécution du mandat (buts) de chaque organisation. La relation entre la planification proprement dite et l</w:t>
      </w:r>
      <w:r w:rsidR="006A618D" w:rsidRPr="00F71EA3">
        <w:t>'</w:t>
      </w:r>
      <w:r w:rsidRPr="00F71EA3">
        <w:t>affectation efficace des ressources et la corrélation entre les activités et les résultats est particulièrement importante.</w:t>
      </w:r>
    </w:p>
    <w:p w14:paraId="3E50B962" w14:textId="7E73278F" w:rsidR="006510E8" w:rsidRPr="00F71EA3" w:rsidRDefault="006510E8" w:rsidP="003C611D">
      <w:pPr>
        <w:jc w:val="both"/>
      </w:pPr>
      <w:r w:rsidRPr="00F71EA3">
        <w:t>Une autre considération directement liée à la planification stratégique est que l</w:t>
      </w:r>
      <w:r w:rsidR="006A618D" w:rsidRPr="00F71EA3">
        <w:t>'</w:t>
      </w:r>
      <w:r w:rsidRPr="00F71EA3">
        <w:t>UIT, en tant qu</w:t>
      </w:r>
      <w:r w:rsidR="006A618D" w:rsidRPr="00F71EA3">
        <w:t>'</w:t>
      </w:r>
      <w:r w:rsidRPr="00F71EA3">
        <w:t>institution des Nations Unies, doit aligner la planification de ses activités fondamentales sur l</w:t>
      </w:r>
      <w:r w:rsidR="006A618D" w:rsidRPr="00F71EA3">
        <w:t>'I</w:t>
      </w:r>
      <w:r w:rsidRPr="00F71EA3">
        <w:t>nitiative ONU80, qui vise à transformer le système des Nations Unies en une organisation plus efficace, souple et tournée vers l</w:t>
      </w:r>
      <w:r w:rsidR="006A618D" w:rsidRPr="00F71EA3">
        <w:t>'</w:t>
      </w:r>
      <w:r w:rsidRPr="00F71EA3">
        <w:t>avenir, notamment en réexaminant les mandats de chaque institution et en identifiant les possibilités d</w:t>
      </w:r>
      <w:r w:rsidR="006A618D" w:rsidRPr="00F71EA3">
        <w:t>'</w:t>
      </w:r>
      <w:r w:rsidRPr="00F71EA3">
        <w:t>accroître leur efficacité. Le principal objectif de l'</w:t>
      </w:r>
      <w:r w:rsidR="006A618D" w:rsidRPr="00F71EA3">
        <w:t>I</w:t>
      </w:r>
      <w:r w:rsidRPr="00F71EA3">
        <w:t>nitiative ONU80 doit également être reflété dans le nouveau Plan stratégique quadriennal de l</w:t>
      </w:r>
      <w:r w:rsidR="006A618D" w:rsidRPr="00F71EA3">
        <w:t>'</w:t>
      </w:r>
      <w:r w:rsidRPr="00F71EA3">
        <w:t>UIT. Les contraintes financières à l</w:t>
      </w:r>
      <w:r w:rsidR="006A618D" w:rsidRPr="00F71EA3">
        <w:t>'</w:t>
      </w:r>
      <w:r w:rsidRPr="00F71EA3">
        <w:t>UIT imposent également de hiérarchiser les activités dans le cadre du mandat général de l</w:t>
      </w:r>
      <w:r w:rsidR="006A618D" w:rsidRPr="00F71EA3">
        <w:t>'</w:t>
      </w:r>
      <w:r w:rsidRPr="00F71EA3">
        <w:t>organisation et de se concentrer sur les priorités les plus importantes pour les États Membres, ainsi que sur l</w:t>
      </w:r>
      <w:r w:rsidR="006A618D" w:rsidRPr="00F71EA3">
        <w:t>'</w:t>
      </w:r>
      <w:r w:rsidRPr="00F71EA3">
        <w:t>amélioration de l</w:t>
      </w:r>
      <w:r w:rsidR="006A618D" w:rsidRPr="00F71EA3">
        <w:t>'</w:t>
      </w:r>
      <w:r w:rsidRPr="00F71EA3">
        <w:t>efficacité de la gouvernance.</w:t>
      </w:r>
    </w:p>
    <w:p w14:paraId="39E4B17B" w14:textId="5740A45F" w:rsidR="006510E8" w:rsidRPr="00F71EA3" w:rsidRDefault="006510E8" w:rsidP="003C611D">
      <w:pPr>
        <w:jc w:val="both"/>
      </w:pPr>
      <w:r w:rsidRPr="00F71EA3">
        <w:t>Le Plan stratégique de l</w:t>
      </w:r>
      <w:r w:rsidR="006A618D" w:rsidRPr="00F71EA3">
        <w:t>'</w:t>
      </w:r>
      <w:r w:rsidRPr="00F71EA3">
        <w:t>UIT devrait établir une distinction claire entre les activités relevant du mandat de l</w:t>
      </w:r>
      <w:r w:rsidR="006A618D" w:rsidRPr="00F71EA3">
        <w:t>'</w:t>
      </w:r>
      <w:r w:rsidRPr="00F71EA3">
        <w:t>UIT, en tant qu</w:t>
      </w:r>
      <w:r w:rsidR="006A618D" w:rsidRPr="00F71EA3">
        <w:t>'</w:t>
      </w:r>
      <w:r w:rsidRPr="00F71EA3">
        <w:t>organe administratif, et les activités qui sont la prérogative et relèvent entièrement des États Membres (ou de l</w:t>
      </w:r>
      <w:r w:rsidR="006A618D" w:rsidRPr="00F71EA3">
        <w:t>'</w:t>
      </w:r>
      <w:r w:rsidRPr="00F71EA3">
        <w:t>UIT en tant qu</w:t>
      </w:r>
      <w:r w:rsidR="006A618D" w:rsidRPr="00F71EA3">
        <w:t>'</w:t>
      </w:r>
      <w:r w:rsidRPr="00F71EA3">
        <w:t>union d</w:t>
      </w:r>
      <w:r w:rsidR="006A618D" w:rsidRPr="00F71EA3">
        <w:t>'</w:t>
      </w:r>
      <w:r w:rsidRPr="00F71EA3">
        <w:t xml:space="preserve">États Membres). Le </w:t>
      </w:r>
      <w:r w:rsidR="00A34640" w:rsidRPr="00F71EA3">
        <w:t>P</w:t>
      </w:r>
      <w:r w:rsidRPr="00F71EA3">
        <w:t>lan stratégique de l</w:t>
      </w:r>
      <w:r w:rsidR="006A618D" w:rsidRPr="00F71EA3">
        <w:t>'</w:t>
      </w:r>
      <w:r w:rsidRPr="00F71EA3">
        <w:t>UIT devrait clairement être un plan pour l</w:t>
      </w:r>
      <w:r w:rsidR="006A618D" w:rsidRPr="00F71EA3">
        <w:t>'</w:t>
      </w:r>
      <w:r w:rsidRPr="00F71EA3">
        <w:t>UIT en tant qu</w:t>
      </w:r>
      <w:r w:rsidR="006A618D" w:rsidRPr="00F71EA3">
        <w:t>'</w:t>
      </w:r>
      <w:r w:rsidRPr="00F71EA3">
        <w:t>organisation, en sa qualité de structure administrative qui appuie les États Membres dans certains domaines (spécifiés dans le mandat de l</w:t>
      </w:r>
      <w:r w:rsidR="006A618D" w:rsidRPr="00F71EA3">
        <w:t>'</w:t>
      </w:r>
      <w:r w:rsidRPr="00F71EA3">
        <w:t>organisation). Le Plan stratégique ne devrait pas être un document comportant des obligations pour les États Membres ou supposant des mesures spécifiques de la part des États Membres ou des Membres de Secteur. Il s</w:t>
      </w:r>
      <w:r w:rsidR="006A618D" w:rsidRPr="00F71EA3">
        <w:t>'</w:t>
      </w:r>
      <w:r w:rsidRPr="00F71EA3">
        <w:t>agit d</w:t>
      </w:r>
      <w:r w:rsidR="006A618D" w:rsidRPr="00F71EA3">
        <w:t>'</w:t>
      </w:r>
      <w:r w:rsidRPr="00F71EA3">
        <w:t>un plan d</w:t>
      </w:r>
      <w:r w:rsidR="006A618D" w:rsidRPr="00F71EA3">
        <w:t>'</w:t>
      </w:r>
      <w:r w:rsidRPr="00F71EA3">
        <w:t>organisation et de hiérarchisation des activités et des tâches de l</w:t>
      </w:r>
      <w:r w:rsidR="006A618D" w:rsidRPr="00F71EA3">
        <w:t>'</w:t>
      </w:r>
      <w:r w:rsidRPr="00F71EA3">
        <w:t>administration de l</w:t>
      </w:r>
      <w:r w:rsidR="006A618D" w:rsidRPr="00F71EA3">
        <w:t>'</w:t>
      </w:r>
      <w:r w:rsidRPr="00F71EA3">
        <w:t>UIT dans le cadre de son mandat et plus précisément en tant que structure créée pour soutenir la coopération internationale et la prise de décisions au niveau mondial. Nous estimons qu</w:t>
      </w:r>
      <w:r w:rsidR="006A618D" w:rsidRPr="00F71EA3">
        <w:t>'</w:t>
      </w:r>
      <w:r w:rsidRPr="00F71EA3">
        <w:t>une attention particulière devrait être accordée à cet égard, notamment en vue de la formulation des buts généraux, des priorités thématiques et des résultats attendus des travaux de l</w:t>
      </w:r>
      <w:r w:rsidR="006A618D" w:rsidRPr="00F71EA3">
        <w:t>'</w:t>
      </w:r>
      <w:r w:rsidRPr="00F71EA3">
        <w:t>UIT. Le libellé des textes devrait refléter non pas les résultats ou les réalisations attendus dans les États Membres en général (obtenus avec ou sans l</w:t>
      </w:r>
      <w:r w:rsidR="006A618D" w:rsidRPr="00F71EA3">
        <w:t>'</w:t>
      </w:r>
      <w:r w:rsidRPr="00F71EA3">
        <w:t>appui de l</w:t>
      </w:r>
      <w:r w:rsidR="006A618D" w:rsidRPr="00F71EA3">
        <w:t>'</w:t>
      </w:r>
      <w:r w:rsidRPr="00F71EA3">
        <w:t>UIT, en tant qu</w:t>
      </w:r>
      <w:r w:rsidR="006A618D" w:rsidRPr="00F71EA3">
        <w:t>'</w:t>
      </w:r>
      <w:r w:rsidRPr="00F71EA3">
        <w:t>organe administratif), mais la contribution de l</w:t>
      </w:r>
      <w:r w:rsidR="006A618D" w:rsidRPr="00F71EA3">
        <w:t>'</w:t>
      </w:r>
      <w:r w:rsidRPr="00F71EA3">
        <w:t>UIT en tant que structure administrative à ces résultats et réalisations. Il est nécessaire de souligner le rôle de l</w:t>
      </w:r>
      <w:r w:rsidR="006A618D" w:rsidRPr="00F71EA3">
        <w:t>'</w:t>
      </w:r>
      <w:r w:rsidRPr="00F71EA3">
        <w:t>UIT en tant qu</w:t>
      </w:r>
      <w:r w:rsidR="006A618D" w:rsidRPr="00F71EA3">
        <w:t>'</w:t>
      </w:r>
      <w:r w:rsidRPr="00F71EA3">
        <w:t xml:space="preserve">organisation qui fournit une plate-forme et des compétences techniques pour la coopération entre les États Membres </w:t>
      </w:r>
      <w:r w:rsidRPr="00F71EA3">
        <w:lastRenderedPageBreak/>
        <w:t>et les Membres de Secteur, entre les gouvernements et les entreprises, pour le développement inclusif des réseaux, des technologies et des services d</w:t>
      </w:r>
      <w:r w:rsidR="006A618D" w:rsidRPr="00F71EA3">
        <w:t>'</w:t>
      </w:r>
      <w:r w:rsidRPr="00F71EA3">
        <w:t>information et de télécommunication, au nom du développement socio</w:t>
      </w:r>
      <w:r w:rsidR="006A618D" w:rsidRPr="00F71EA3">
        <w:noBreakHyphen/>
      </w:r>
      <w:r w:rsidRPr="00F71EA3">
        <w:t>économique universel et durable. Ce rôle doit être clairement reflété dans le libellé des buts, des priorités thématiques, des réalisations et des indicateurs.</w:t>
      </w:r>
    </w:p>
    <w:p w14:paraId="15797D19" w14:textId="77777777" w:rsidR="006510E8" w:rsidRPr="00F71EA3" w:rsidRDefault="006510E8" w:rsidP="006510E8">
      <w:pPr>
        <w:pStyle w:val="Heading1"/>
      </w:pPr>
      <w:r w:rsidRPr="00F71EA3">
        <w:t>2</w:t>
      </w:r>
      <w:r w:rsidRPr="00F71EA3">
        <w:tab/>
        <w:t>Analyse</w:t>
      </w:r>
    </w:p>
    <w:p w14:paraId="70C0F182" w14:textId="325B0E39" w:rsidR="006510E8" w:rsidRPr="00F71EA3" w:rsidRDefault="006510E8" w:rsidP="003C611D">
      <w:pPr>
        <w:jc w:val="both"/>
      </w:pPr>
      <w:r w:rsidRPr="00F71EA3">
        <w:t xml:space="preserve">Compte tenu des informations données dans la section </w:t>
      </w:r>
      <w:r w:rsidR="00F75927" w:rsidRPr="00F71EA3">
        <w:t>"</w:t>
      </w:r>
      <w:r w:rsidRPr="00F71EA3">
        <w:t>Considérations générales</w:t>
      </w:r>
      <w:r w:rsidR="00F75927" w:rsidRPr="00F71EA3">
        <w:t xml:space="preserve">" </w:t>
      </w:r>
      <w:r w:rsidRPr="00F71EA3">
        <w:t>ci</w:t>
      </w:r>
      <w:r w:rsidR="00F75927" w:rsidRPr="00F71EA3">
        <w:noBreakHyphen/>
      </w:r>
      <w:r w:rsidRPr="00F71EA3">
        <w:t>dessus, nous exprimons le point de vue suivant:</w:t>
      </w:r>
    </w:p>
    <w:p w14:paraId="34FE08BB" w14:textId="79872D9E" w:rsidR="006510E8" w:rsidRPr="00F71EA3" w:rsidRDefault="006510E8" w:rsidP="003C611D">
      <w:pPr>
        <w:pStyle w:val="enumlev1"/>
        <w:jc w:val="both"/>
      </w:pPr>
      <w:r w:rsidRPr="00F71EA3">
        <w:t>–</w:t>
      </w:r>
      <w:r w:rsidRPr="00F71EA3">
        <w:tab/>
        <w:t>Il est nécessaire d</w:t>
      </w:r>
      <w:r w:rsidR="006A618D" w:rsidRPr="00F71EA3">
        <w:t>'</w:t>
      </w:r>
      <w:r w:rsidRPr="00F71EA3">
        <w:t>adopter une approche plus systématique pour le Plan stratégique, qui devrait suivre les principes généraux de la gestion axée sur les résultats et faire en sorte que le Plan stratégique établisse une correspondance/coordination claire entre les buts stratégiques et les priorités, le Plan financier et les Plans opérationnels, avec une vision claire de ce qu</w:t>
      </w:r>
      <w:r w:rsidR="006A618D" w:rsidRPr="00F71EA3">
        <w:t>'</w:t>
      </w:r>
      <w:r w:rsidRPr="00F71EA3">
        <w:t>il vise à atteindre, pour chaque priorité thématique et selon quelles modalités. La vision doit correspondre à la mission; la mission, aux buts; les buts, aux priorités thématiques, les priorités thématiques, aux réalisations; et les indicateurs, à chaque réalisation spécifique.</w:t>
      </w:r>
    </w:p>
    <w:p w14:paraId="10A1B532" w14:textId="5E7B4911" w:rsidR="006510E8" w:rsidRPr="00F71EA3" w:rsidRDefault="006510E8" w:rsidP="003C611D">
      <w:pPr>
        <w:pStyle w:val="enumlev1"/>
        <w:jc w:val="both"/>
      </w:pPr>
      <w:r w:rsidRPr="00F71EA3">
        <w:t>–</w:t>
      </w:r>
      <w:r w:rsidRPr="00F71EA3">
        <w:tab/>
        <w:t>L</w:t>
      </w:r>
      <w:r w:rsidR="006A618D" w:rsidRPr="00F71EA3">
        <w:t>'</w:t>
      </w:r>
      <w:r w:rsidRPr="00F71EA3">
        <w:t>ensemble des buts, des priorités, des réalisations et des indicateurs devrait tenir compte du fait que le Plan stratégique est un plan pour l</w:t>
      </w:r>
      <w:r w:rsidR="006A618D" w:rsidRPr="00F71EA3">
        <w:t>'</w:t>
      </w:r>
      <w:r w:rsidRPr="00F71EA3">
        <w:t>UIT en tant que structure administrative et, en conséquence, devrait refléter la manière dont l</w:t>
      </w:r>
      <w:r w:rsidR="006A618D" w:rsidRPr="00F71EA3">
        <w:t>'</w:t>
      </w:r>
      <w:r w:rsidRPr="00F71EA3">
        <w:t>UIT soutient les États Membres et les Membres de Secteur (le cas échéant) par le biais de ses activités.</w:t>
      </w:r>
    </w:p>
    <w:p w14:paraId="26B0E8AD" w14:textId="4AC51C62" w:rsidR="006510E8" w:rsidRPr="00F71EA3" w:rsidRDefault="006510E8" w:rsidP="003C611D">
      <w:pPr>
        <w:pStyle w:val="enumlev1"/>
        <w:jc w:val="both"/>
      </w:pPr>
      <w:r w:rsidRPr="00F71EA3">
        <w:t>–</w:t>
      </w:r>
      <w:r w:rsidRPr="00F71EA3">
        <w:tab/>
        <w:t xml:space="preserve">Bien que la structure du projet de Plan stratégique présentée dans le </w:t>
      </w:r>
      <w:hyperlink r:id="rId15" w:history="1">
        <w:r w:rsidRPr="00F71EA3">
          <w:rPr>
            <w:rStyle w:val="Hyperlink"/>
            <w:rFonts w:eastAsia="Times New Roman" w:cs="Times New Roman"/>
            <w:szCs w:val="20"/>
          </w:rPr>
          <w:t>Document CWG</w:t>
        </w:r>
        <w:r w:rsidRPr="00F71EA3">
          <w:rPr>
            <w:rStyle w:val="Hyperlink"/>
            <w:rFonts w:eastAsia="Times New Roman" w:cs="Times New Roman"/>
            <w:szCs w:val="20"/>
          </w:rPr>
          <w:noBreakHyphen/>
          <w:t>SFP-4/2</w:t>
        </w:r>
      </w:hyperlink>
      <w:r w:rsidRPr="00F71EA3">
        <w:t xml:space="preserve"> corresponde aux définitions généralement acceptées, il est nécessaire de mettre à jour les textes en formulant clairement des objectifs et des priorités thématiques spécifiques et mesurables, en définissant des indicateurs réalistes conformes au mandat de l</w:t>
      </w:r>
      <w:r w:rsidR="006A618D" w:rsidRPr="00F71EA3">
        <w:t>'</w:t>
      </w:r>
      <w:r w:rsidRPr="00F71EA3">
        <w:t>organisation et aux fonctions des unités administratives (en utilisant les indicateurs déjà disponibles dans le cadre de l</w:t>
      </w:r>
      <w:r w:rsidR="006A618D" w:rsidRPr="00F71EA3">
        <w:t>'</w:t>
      </w:r>
      <w:r w:rsidRPr="00F71EA3">
        <w:t>UIT, ainsi que celles disponibles dans d</w:t>
      </w:r>
      <w:r w:rsidR="006A618D" w:rsidRPr="00F71EA3">
        <w:t>'</w:t>
      </w:r>
      <w:r w:rsidRPr="00F71EA3">
        <w:t>autres organisations du système des Nations Unies). Les buts, priorités et réalisations figurant dans le Plan stratégique devraient permettre une évaluation dans le Plan financier pour la même période.</w:t>
      </w:r>
    </w:p>
    <w:p w14:paraId="6BDB0073" w14:textId="5E6D863D" w:rsidR="006510E8" w:rsidRPr="00F71EA3" w:rsidRDefault="006510E8" w:rsidP="003C611D">
      <w:pPr>
        <w:pStyle w:val="enumlev1"/>
        <w:jc w:val="both"/>
      </w:pPr>
      <w:r w:rsidRPr="00F71EA3">
        <w:t>–</w:t>
      </w:r>
      <w:r w:rsidRPr="00F71EA3">
        <w:tab/>
        <w:t>Les buts, les priorités et les réalisations devraient être compatibles avec les ressources humaines, financières et techniques disponibles et une évaluation réaliste de la capacité de mise en œuvre au cours de la période quadriennale. Ils devraient également refléter la structure actuelle de l</w:t>
      </w:r>
      <w:r w:rsidR="006A618D" w:rsidRPr="00F71EA3">
        <w:t>'</w:t>
      </w:r>
      <w:r w:rsidRPr="00F71EA3">
        <w:t>UIT et son mandat, afin d</w:t>
      </w:r>
      <w:r w:rsidR="006A618D" w:rsidRPr="00F71EA3">
        <w:t>'</w:t>
      </w:r>
      <w:r w:rsidRPr="00F71EA3">
        <w:t>établir un lien clair, logique et significatif entre les ressources financières et les autres ressources effectivement allouées aux trois Bureaux de l</w:t>
      </w:r>
      <w:r w:rsidR="006A618D" w:rsidRPr="00F71EA3">
        <w:t>'</w:t>
      </w:r>
      <w:r w:rsidRPr="00F71EA3">
        <w:t>UIT et au Secrétariat général et les buts et priorités thématiques formulés dans le Plan stratégique. Il convient d</w:t>
      </w:r>
      <w:r w:rsidR="006A618D" w:rsidRPr="00F71EA3">
        <w:t>'</w:t>
      </w:r>
      <w:r w:rsidRPr="00F71EA3">
        <w:t>éviter une disproportion importante entre, d</w:t>
      </w:r>
      <w:r w:rsidR="006A618D" w:rsidRPr="00F71EA3">
        <w:t>'</w:t>
      </w:r>
      <w:r w:rsidRPr="00F71EA3">
        <w:t>une part, les activités effectivement mises en œuvre par l</w:t>
      </w:r>
      <w:r w:rsidR="006A618D" w:rsidRPr="00F71EA3">
        <w:t>'</w:t>
      </w:r>
      <w:r w:rsidRPr="00F71EA3">
        <w:t>organisation sur base de son mandat et des ressources associées et, d</w:t>
      </w:r>
      <w:r w:rsidR="006A618D" w:rsidRPr="00F71EA3">
        <w:t>'</w:t>
      </w:r>
      <w:r w:rsidRPr="00F71EA3">
        <w:t>autre part, les priorités du Plan stratégique. Le contraire signifierait que certaines activités essentielles et certains domaines de travail importants se trouvent en dehors des priorités officielles et budgétaires de l</w:t>
      </w:r>
      <w:r w:rsidR="006A618D" w:rsidRPr="00F71EA3">
        <w:t>'</w:t>
      </w:r>
      <w:r w:rsidRPr="00F71EA3">
        <w:t>organisation, mettant ainsi leur financement en péril.</w:t>
      </w:r>
      <w:r w:rsidR="00696CD8" w:rsidRPr="00F71EA3">
        <w:t xml:space="preserve"> </w:t>
      </w:r>
      <w:r w:rsidR="00696CD8" w:rsidRPr="00F71EA3">
        <w:tab/>
      </w:r>
      <w:r w:rsidRPr="00F71EA3">
        <w:t>La coordination claire requise entre le Plan stratégique et le Plan financier nécessiterait que les ressources existantes de l</w:t>
      </w:r>
      <w:r w:rsidR="006A618D" w:rsidRPr="00F71EA3">
        <w:t>'</w:t>
      </w:r>
      <w:r w:rsidRPr="00F71EA3">
        <w:t>UIT soient réaffectées, dans la proportion voulue, aux activités définies comme étant prioritaires dans le Plan stratégique en vigueur.</w:t>
      </w:r>
    </w:p>
    <w:p w14:paraId="4BAD202E" w14:textId="0DC887A1" w:rsidR="006510E8" w:rsidRPr="00F71EA3" w:rsidRDefault="006510E8" w:rsidP="003C611D">
      <w:pPr>
        <w:pStyle w:val="enumlev1"/>
        <w:jc w:val="both"/>
      </w:pPr>
      <w:r w:rsidRPr="00F71EA3">
        <w:lastRenderedPageBreak/>
        <w:t>–</w:t>
      </w:r>
      <w:r w:rsidRPr="00F71EA3">
        <w:tab/>
        <w:t>Il est également nécessaire de reformuler les textes concernant les catalyseurs pour refléter la définition de ces éléments qui figure dans le glossaire, en indiquant qu</w:t>
      </w:r>
      <w:r w:rsidR="006A618D" w:rsidRPr="00F71EA3">
        <w:t>'</w:t>
      </w:r>
      <w:r w:rsidRPr="00F71EA3">
        <w:t>il s</w:t>
      </w:r>
      <w:r w:rsidR="006A618D" w:rsidRPr="00F71EA3">
        <w:t>'</w:t>
      </w:r>
      <w:r w:rsidRPr="00F71EA3">
        <w:t>agit des atouts disponibles de l</w:t>
      </w:r>
      <w:r w:rsidR="006A618D" w:rsidRPr="00F71EA3">
        <w:t>'</w:t>
      </w:r>
      <w:r w:rsidRPr="00F71EA3">
        <w:t>organisation qui sont à la base de la mise en œuvre réussie des buts et des priorités. En conséquence, il convient d</w:t>
      </w:r>
      <w:r w:rsidR="006A618D" w:rsidRPr="00F71EA3">
        <w:t>'</w:t>
      </w:r>
      <w:r w:rsidRPr="00F71EA3">
        <w:t>indiquer non pas comment ces facteurs seront disponibles, mais comment ils appuient la mise en œuvre du Plan stratégique. Il devrait en être de même pour la partie Produits et Services de l</w:t>
      </w:r>
      <w:r w:rsidR="006A618D" w:rsidRPr="00F71EA3">
        <w:t>'</w:t>
      </w:r>
      <w:r w:rsidRPr="00F71EA3">
        <w:t>organisation, c</w:t>
      </w:r>
      <w:r w:rsidR="006A618D" w:rsidRPr="00F71EA3">
        <w:t>'</w:t>
      </w:r>
      <w:r w:rsidRPr="00F71EA3">
        <w:t>est-à-dire les activités que l</w:t>
      </w:r>
      <w:r w:rsidR="006A618D" w:rsidRPr="00F71EA3">
        <w:t>'</w:t>
      </w:r>
      <w:r w:rsidRPr="00F71EA3">
        <w:t>UIT, en tant qu</w:t>
      </w:r>
      <w:r w:rsidR="006A618D" w:rsidRPr="00F71EA3">
        <w:t>'</w:t>
      </w:r>
      <w:r w:rsidRPr="00F71EA3">
        <w:t>organisation administrative, effectue et continuera d'effectuer pendant la période quadriennale pertinente couverte par le Plan, dans le cadre de sa mise en œuvre et en lien direct avec les buts et les priorités.</w:t>
      </w:r>
    </w:p>
    <w:p w14:paraId="4BB86DD6" w14:textId="3C740413" w:rsidR="006510E8" w:rsidRPr="00F71EA3" w:rsidRDefault="006510E8" w:rsidP="003C611D">
      <w:pPr>
        <w:pStyle w:val="enumlev1"/>
        <w:jc w:val="both"/>
      </w:pPr>
      <w:r w:rsidRPr="00F71EA3">
        <w:t>–</w:t>
      </w:r>
      <w:r w:rsidRPr="00F71EA3">
        <w:tab/>
        <w:t xml:space="preserve">Les indicateurs proposés devraient refléter le </w:t>
      </w:r>
      <w:hyperlink r:id="rId16" w:history="1">
        <w:r w:rsidRPr="00F71EA3">
          <w:rPr>
            <w:rStyle w:val="Hyperlink"/>
            <w:rFonts w:eastAsia="Times New Roman" w:cs="Times New Roman"/>
            <w:szCs w:val="20"/>
          </w:rPr>
          <w:t>Document CWG-SFP-3/7</w:t>
        </w:r>
      </w:hyperlink>
      <w:r w:rsidRPr="00F71EA3">
        <w:t>, en particulier:</w:t>
      </w:r>
    </w:p>
    <w:p w14:paraId="7D5A7E82" w14:textId="755645EF" w:rsidR="006510E8" w:rsidRPr="00F71EA3" w:rsidRDefault="006510E8" w:rsidP="003C611D">
      <w:pPr>
        <w:pStyle w:val="enumlev2"/>
        <w:jc w:val="both"/>
      </w:pPr>
      <w:r w:rsidRPr="00F71EA3">
        <w:t>•</w:t>
      </w:r>
      <w:r w:rsidRPr="00F71EA3">
        <w:tab/>
        <w:t>Les indicateurs d</w:t>
      </w:r>
      <w:r w:rsidR="006A618D" w:rsidRPr="00F71EA3">
        <w:t>'</w:t>
      </w:r>
      <w:r w:rsidRPr="00F71EA3">
        <w:t>impact devraient être axés sur les changements apportés au quotidien des populations grâce aux travaux et à l</w:t>
      </w:r>
      <w:r w:rsidR="006A618D" w:rsidRPr="00F71EA3">
        <w:t>'</w:t>
      </w:r>
      <w:r w:rsidRPr="00F71EA3">
        <w:t>influence de l</w:t>
      </w:r>
      <w:r w:rsidR="006A618D" w:rsidRPr="00F71EA3">
        <w:t>'</w:t>
      </w:r>
      <w:r w:rsidRPr="00F71EA3">
        <w:t>UIT.</w:t>
      </w:r>
    </w:p>
    <w:p w14:paraId="13B44447" w14:textId="11D8F2CF" w:rsidR="006510E8" w:rsidRPr="00F71EA3" w:rsidRDefault="006510E8" w:rsidP="003C611D">
      <w:pPr>
        <w:pStyle w:val="enumlev2"/>
        <w:jc w:val="both"/>
      </w:pPr>
      <w:r w:rsidRPr="00F71EA3">
        <w:t>•</w:t>
      </w:r>
      <w:r w:rsidRPr="00F71EA3">
        <w:tab/>
        <w:t>Les indicateurs de résultats permettent de mesurer les changements intervenus dans les capacités institutionnelles et comportementales des membres, encore une fois grâce aux travaux et à l</w:t>
      </w:r>
      <w:r w:rsidR="006A618D" w:rsidRPr="00F71EA3">
        <w:t>'</w:t>
      </w:r>
      <w:r w:rsidRPr="00F71EA3">
        <w:t>influence de l</w:t>
      </w:r>
      <w:r w:rsidR="006A618D" w:rsidRPr="00F71EA3">
        <w:t>'</w:t>
      </w:r>
      <w:r w:rsidRPr="00F71EA3">
        <w:t>UIT.</w:t>
      </w:r>
    </w:p>
    <w:p w14:paraId="5921C271" w14:textId="3CF8B1DA" w:rsidR="006A11AE" w:rsidRDefault="006510E8" w:rsidP="003C611D">
      <w:pPr>
        <w:pStyle w:val="enumlev1"/>
        <w:jc w:val="both"/>
      </w:pPr>
      <w:r w:rsidRPr="00F71EA3">
        <w:t>–</w:t>
      </w:r>
      <w:r w:rsidRPr="00F71EA3">
        <w:tab/>
        <w:t>Les indicateurs devraient déjà être disponibles à l</w:t>
      </w:r>
      <w:r w:rsidR="006A618D" w:rsidRPr="00F71EA3">
        <w:t>'</w:t>
      </w:r>
      <w:r w:rsidRPr="00F71EA3">
        <w:t>UIT ou dans d</w:t>
      </w:r>
      <w:r w:rsidR="006A618D" w:rsidRPr="00F71EA3">
        <w:t>'</w:t>
      </w:r>
      <w:r w:rsidRPr="00F71EA3">
        <w:t>autres organisations du système des Nations Unies et ne devraient pas nécessiter de ressources financières ou humaines supplémentaires de l</w:t>
      </w:r>
      <w:r w:rsidR="006A618D" w:rsidRPr="00F71EA3">
        <w:t>'</w:t>
      </w:r>
      <w:r w:rsidRPr="00F71EA3">
        <w:t>UIT pour obtenir, évaluer ou appliquer les données pertinentes.</w:t>
      </w:r>
    </w:p>
    <w:p w14:paraId="02A982DF" w14:textId="77777777" w:rsidR="003C611D" w:rsidRPr="00F71EA3" w:rsidRDefault="003C611D" w:rsidP="003C611D">
      <w:pPr>
        <w:pStyle w:val="enumlev1"/>
        <w:jc w:val="both"/>
      </w:pPr>
    </w:p>
    <w:p w14:paraId="7F2D4F66" w14:textId="77777777" w:rsidR="00897553" w:rsidRPr="00F71EA3" w:rsidRDefault="006A11AE" w:rsidP="002D2336">
      <w:pPr>
        <w:jc w:val="center"/>
      </w:pPr>
      <w:r w:rsidRPr="00F71EA3">
        <w:t>______________</w:t>
      </w:r>
    </w:p>
    <w:sectPr w:rsidR="00897553" w:rsidRPr="00F71EA3" w:rsidSect="00D72F49">
      <w:headerReference w:type="even" r:id="rId17"/>
      <w:footerReference w:type="even" r:id="rId18"/>
      <w:footerReference w:type="default" r:id="rId19"/>
      <w:headerReference w:type="first" r:id="rId20"/>
      <w:footerReference w:type="first" r:id="rId21"/>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601AD" w14:textId="77777777" w:rsidR="00332001" w:rsidRDefault="00332001">
      <w:r>
        <w:separator/>
      </w:r>
    </w:p>
  </w:endnote>
  <w:endnote w:type="continuationSeparator" w:id="0">
    <w:p w14:paraId="56E7BE14" w14:textId="77777777" w:rsidR="00332001" w:rsidRDefault="00332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E2BF8" w14:textId="327C18B3" w:rsidR="00732045" w:rsidRDefault="00332001">
    <w:pPr>
      <w:pStyle w:val="Footer"/>
    </w:pPr>
    <w:fldSimple w:instr=" FILENAME \p \* MERGEFORMAT ">
      <w:r>
        <w:t>Document1</w:t>
      </w:r>
    </w:fldSimple>
    <w:r w:rsidR="00732045">
      <w:tab/>
    </w:r>
    <w:r w:rsidR="002F1B76">
      <w:fldChar w:fldCharType="begin"/>
    </w:r>
    <w:r w:rsidR="00732045">
      <w:instrText xml:space="preserve"> savedate \@ dd.MM.yy </w:instrText>
    </w:r>
    <w:r w:rsidR="002F1B76">
      <w:fldChar w:fldCharType="separate"/>
    </w:r>
    <w:r w:rsidR="00EA06B9">
      <w:t>21.04.26</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436D17AA" w14:textId="77777777" w:rsidTr="00E31DCE">
      <w:trPr>
        <w:jc w:val="center"/>
      </w:trPr>
      <w:tc>
        <w:tcPr>
          <w:tcW w:w="1803" w:type="dxa"/>
          <w:vAlign w:val="center"/>
        </w:tcPr>
        <w:p w14:paraId="76AD7553" w14:textId="666EB5E3" w:rsidR="00A51849" w:rsidRDefault="006510E8" w:rsidP="00A51849">
          <w:pPr>
            <w:pStyle w:val="Header"/>
            <w:jc w:val="left"/>
            <w:rPr>
              <w:noProof/>
            </w:rPr>
          </w:pPr>
          <w:r>
            <w:rPr>
              <w:noProof/>
            </w:rPr>
            <w:t>2600915</w:t>
          </w:r>
        </w:p>
      </w:tc>
      <w:tc>
        <w:tcPr>
          <w:tcW w:w="8261" w:type="dxa"/>
        </w:tcPr>
        <w:p w14:paraId="777AF745" w14:textId="1DC66E70"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6510E8">
            <w:rPr>
              <w:bCs/>
            </w:rPr>
            <w:t>83</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4B31A980"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51835AAF" w14:textId="77777777" w:rsidTr="00E31DCE">
      <w:trPr>
        <w:jc w:val="center"/>
      </w:trPr>
      <w:tc>
        <w:tcPr>
          <w:tcW w:w="1803" w:type="dxa"/>
          <w:vAlign w:val="center"/>
        </w:tcPr>
        <w:p w14:paraId="360A3384" w14:textId="77777777" w:rsidR="00A51849" w:rsidRPr="00FC6D7D" w:rsidRDefault="00E4448E" w:rsidP="00A51849">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8261" w:type="dxa"/>
        </w:tcPr>
        <w:p w14:paraId="40672F03" w14:textId="42ADA0DC"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6510E8">
            <w:rPr>
              <w:bCs/>
            </w:rPr>
            <w:t>83</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373AC830"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B79B4" w14:textId="77777777" w:rsidR="00332001" w:rsidRDefault="00332001">
      <w:r>
        <w:t>____________________</w:t>
      </w:r>
    </w:p>
  </w:footnote>
  <w:footnote w:type="continuationSeparator" w:id="0">
    <w:p w14:paraId="19E48F5B" w14:textId="77777777" w:rsidR="00332001" w:rsidRDefault="00332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A6C60"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025C9A23"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07771"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01"/>
    <w:rsid w:val="00076A2C"/>
    <w:rsid w:val="000D0D0A"/>
    <w:rsid w:val="00103163"/>
    <w:rsid w:val="00106B19"/>
    <w:rsid w:val="001133EF"/>
    <w:rsid w:val="00115D93"/>
    <w:rsid w:val="001247A8"/>
    <w:rsid w:val="001342E0"/>
    <w:rsid w:val="001370B2"/>
    <w:rsid w:val="001378C0"/>
    <w:rsid w:val="001658F9"/>
    <w:rsid w:val="0018694A"/>
    <w:rsid w:val="0019129B"/>
    <w:rsid w:val="001A3287"/>
    <w:rsid w:val="001A6508"/>
    <w:rsid w:val="001D4C31"/>
    <w:rsid w:val="001E4D21"/>
    <w:rsid w:val="00207CD1"/>
    <w:rsid w:val="00226657"/>
    <w:rsid w:val="00232889"/>
    <w:rsid w:val="002477A2"/>
    <w:rsid w:val="00263A51"/>
    <w:rsid w:val="00267E02"/>
    <w:rsid w:val="00271321"/>
    <w:rsid w:val="00277DEA"/>
    <w:rsid w:val="002A5D44"/>
    <w:rsid w:val="002B7A33"/>
    <w:rsid w:val="002C3F32"/>
    <w:rsid w:val="002C4E3D"/>
    <w:rsid w:val="002D2336"/>
    <w:rsid w:val="002E0BC4"/>
    <w:rsid w:val="002F1B76"/>
    <w:rsid w:val="00332001"/>
    <w:rsid w:val="0033568E"/>
    <w:rsid w:val="00355FF5"/>
    <w:rsid w:val="00361350"/>
    <w:rsid w:val="003C3FAE"/>
    <w:rsid w:val="003C611D"/>
    <w:rsid w:val="004038CB"/>
    <w:rsid w:val="0040546F"/>
    <w:rsid w:val="004177BD"/>
    <w:rsid w:val="0042404A"/>
    <w:rsid w:val="0044618F"/>
    <w:rsid w:val="00465C35"/>
    <w:rsid w:val="0046769A"/>
    <w:rsid w:val="00475FB3"/>
    <w:rsid w:val="004C37A9"/>
    <w:rsid w:val="004D1D50"/>
    <w:rsid w:val="004F259E"/>
    <w:rsid w:val="004F633A"/>
    <w:rsid w:val="00504C7F"/>
    <w:rsid w:val="00511F1D"/>
    <w:rsid w:val="00520F36"/>
    <w:rsid w:val="00524E8D"/>
    <w:rsid w:val="00534E13"/>
    <w:rsid w:val="00540615"/>
    <w:rsid w:val="00540A6D"/>
    <w:rsid w:val="00553536"/>
    <w:rsid w:val="00566679"/>
    <w:rsid w:val="00571EEA"/>
    <w:rsid w:val="00575417"/>
    <w:rsid w:val="005768E1"/>
    <w:rsid w:val="005B1938"/>
    <w:rsid w:val="005C3890"/>
    <w:rsid w:val="005F7BFE"/>
    <w:rsid w:val="00600017"/>
    <w:rsid w:val="00602682"/>
    <w:rsid w:val="006235CA"/>
    <w:rsid w:val="0062366E"/>
    <w:rsid w:val="006510E8"/>
    <w:rsid w:val="006643AB"/>
    <w:rsid w:val="00696CD8"/>
    <w:rsid w:val="006A11AE"/>
    <w:rsid w:val="006A618D"/>
    <w:rsid w:val="006B224B"/>
    <w:rsid w:val="006F0A53"/>
    <w:rsid w:val="006F4FC3"/>
    <w:rsid w:val="0071402E"/>
    <w:rsid w:val="007210CD"/>
    <w:rsid w:val="00732045"/>
    <w:rsid w:val="0073275D"/>
    <w:rsid w:val="007369DB"/>
    <w:rsid w:val="0077110E"/>
    <w:rsid w:val="007956C2"/>
    <w:rsid w:val="00796BDB"/>
    <w:rsid w:val="007A187E"/>
    <w:rsid w:val="007C6718"/>
    <w:rsid w:val="007C6F72"/>
    <w:rsid w:val="007C72C2"/>
    <w:rsid w:val="007D4436"/>
    <w:rsid w:val="007F257A"/>
    <w:rsid w:val="007F3665"/>
    <w:rsid w:val="00800037"/>
    <w:rsid w:val="0082299A"/>
    <w:rsid w:val="0083391C"/>
    <w:rsid w:val="0084546D"/>
    <w:rsid w:val="00861D73"/>
    <w:rsid w:val="00882919"/>
    <w:rsid w:val="00897553"/>
    <w:rsid w:val="008A4E87"/>
    <w:rsid w:val="008D76E6"/>
    <w:rsid w:val="0092392D"/>
    <w:rsid w:val="0093234A"/>
    <w:rsid w:val="00956A78"/>
    <w:rsid w:val="0097363B"/>
    <w:rsid w:val="00973F53"/>
    <w:rsid w:val="0098348E"/>
    <w:rsid w:val="009A6BAA"/>
    <w:rsid w:val="009A76A8"/>
    <w:rsid w:val="009C307F"/>
    <w:rsid w:val="009C353C"/>
    <w:rsid w:val="009D5955"/>
    <w:rsid w:val="009F0FB8"/>
    <w:rsid w:val="00A01F4F"/>
    <w:rsid w:val="00A109AF"/>
    <w:rsid w:val="00A125FB"/>
    <w:rsid w:val="00A2113E"/>
    <w:rsid w:val="00A23A51"/>
    <w:rsid w:val="00A2419B"/>
    <w:rsid w:val="00A24607"/>
    <w:rsid w:val="00A25CD3"/>
    <w:rsid w:val="00A34640"/>
    <w:rsid w:val="00A51849"/>
    <w:rsid w:val="00A709FE"/>
    <w:rsid w:val="00A73C60"/>
    <w:rsid w:val="00A82767"/>
    <w:rsid w:val="00AA332F"/>
    <w:rsid w:val="00AA7BBB"/>
    <w:rsid w:val="00AB64A8"/>
    <w:rsid w:val="00AC0266"/>
    <w:rsid w:val="00AC0F1D"/>
    <w:rsid w:val="00AD24EC"/>
    <w:rsid w:val="00B27B00"/>
    <w:rsid w:val="00B309F9"/>
    <w:rsid w:val="00B32B60"/>
    <w:rsid w:val="00B51005"/>
    <w:rsid w:val="00B61619"/>
    <w:rsid w:val="00BB38C1"/>
    <w:rsid w:val="00BB4545"/>
    <w:rsid w:val="00BD5873"/>
    <w:rsid w:val="00BF4B60"/>
    <w:rsid w:val="00C049D7"/>
    <w:rsid w:val="00C04BE3"/>
    <w:rsid w:val="00C25D29"/>
    <w:rsid w:val="00C2625E"/>
    <w:rsid w:val="00C27A7C"/>
    <w:rsid w:val="00C42437"/>
    <w:rsid w:val="00CA08ED"/>
    <w:rsid w:val="00CC6EAA"/>
    <w:rsid w:val="00CE5172"/>
    <w:rsid w:val="00CF0534"/>
    <w:rsid w:val="00CF183B"/>
    <w:rsid w:val="00D375CD"/>
    <w:rsid w:val="00D37B53"/>
    <w:rsid w:val="00D553A2"/>
    <w:rsid w:val="00D72F49"/>
    <w:rsid w:val="00D774D3"/>
    <w:rsid w:val="00D904E8"/>
    <w:rsid w:val="00DA08C3"/>
    <w:rsid w:val="00DB5A3E"/>
    <w:rsid w:val="00DC22AA"/>
    <w:rsid w:val="00DD1A99"/>
    <w:rsid w:val="00DE62C6"/>
    <w:rsid w:val="00DF74DD"/>
    <w:rsid w:val="00E25AD0"/>
    <w:rsid w:val="00E4428F"/>
    <w:rsid w:val="00E4448E"/>
    <w:rsid w:val="00E47427"/>
    <w:rsid w:val="00E70DBF"/>
    <w:rsid w:val="00E9332E"/>
    <w:rsid w:val="00E93668"/>
    <w:rsid w:val="00E95647"/>
    <w:rsid w:val="00EA06B9"/>
    <w:rsid w:val="00EB6350"/>
    <w:rsid w:val="00ED799B"/>
    <w:rsid w:val="00F15B57"/>
    <w:rsid w:val="00F35EF4"/>
    <w:rsid w:val="00F37FE5"/>
    <w:rsid w:val="00F427DB"/>
    <w:rsid w:val="00F71EA3"/>
    <w:rsid w:val="00F75927"/>
    <w:rsid w:val="00FA5EB1"/>
    <w:rsid w:val="00FA7439"/>
    <w:rsid w:val="00FC4EC0"/>
    <w:rsid w:val="00FC6D7D"/>
    <w:rsid w:val="00FD3D8F"/>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C40E4"/>
  <w15:docId w15:val="{3B49B497-FC08-48B9-A26E-CD229EB93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3C611D"/>
    <w:pPr>
      <w:framePr w:hSpace="181" w:wrap="around" w:vAnchor="page" w:hAnchor="page" w:x="1589" w:y="2314"/>
      <w:spacing w:before="840"/>
    </w:pPr>
    <w:rPr>
      <w:rFonts w:cstheme="minorHAnsi"/>
      <w:b/>
      <w:color w:val="000000"/>
      <w:sz w:val="32"/>
      <w:szCs w:val="32"/>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Convention-F.pdf" TargetMode="External"/><Relationship Id="rId13" Type="http://schemas.openxmlformats.org/officeDocument/2006/relationships/hyperlink" Target="https://www.itu.int/md/S25-CWGSFP3-C-0006/fr"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itu.int/en/council/Documents/basic-texts-2023/Constitution-f.pdf" TargetMode="External"/><Relationship Id="rId12" Type="http://schemas.openxmlformats.org/officeDocument/2006/relationships/hyperlink" Target="https://www.itu.int/md/S26-CWGSFP4-C-0002/f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itu.int/md/S25-CWGSFP3-C-0007/fr"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S25-CWGSFP3-C-0007/fr" TargetMode="External"/><Relationship Id="rId5" Type="http://schemas.openxmlformats.org/officeDocument/2006/relationships/footnotes" Target="footnotes.xml"/><Relationship Id="rId15" Type="http://schemas.openxmlformats.org/officeDocument/2006/relationships/hyperlink" Target="https://www.itu.int/md/S26-CWGSFP4-C-0002/fr" TargetMode="External"/><Relationship Id="rId23" Type="http://schemas.openxmlformats.org/officeDocument/2006/relationships/theme" Target="theme/theme1.xml"/><Relationship Id="rId10" Type="http://schemas.openxmlformats.org/officeDocument/2006/relationships/hyperlink" Target="https://www.itu.int/md/S25-CWGSFP3-C-0006/fr"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itu.int/en/council/Documents/basic-texts-2023/RES-071-F.pdf" TargetMode="External"/><Relationship Id="rId14" Type="http://schemas.openxmlformats.org/officeDocument/2006/relationships/hyperlink" Target="https://www.itu.int/md/S25-CWGSFP3-C-0006/fr"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PF_Council26.dotx</Template>
  <TotalTime>4</TotalTime>
  <Pages>5</Pages>
  <Words>2042</Words>
  <Characters>12588</Characters>
  <Application>Microsoft Office Word</Application>
  <DocSecurity>0</DocSecurity>
  <Lines>370</Lines>
  <Paragraphs>215</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14415</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Plan stratégique de l'UIT pour la période 2028-2031</dc:title>
  <dc:subject>Conseil 2026 de l'UIT</dc:subject>
  <cp:keywords>C26; C2026; Council 2026; PP26</cp:keywords>
  <dc:description/>
  <cp:lastPrinted>2000-07-18T08:55:00Z</cp:lastPrinted>
  <dcterms:created xsi:type="dcterms:W3CDTF">2026-04-22T12:22:00Z</dcterms:created>
  <dcterms:modified xsi:type="dcterms:W3CDTF">2026-04-22T12:24:00Z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