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2F242C" w14:paraId="00C3D8AA" w14:textId="77777777" w:rsidTr="00954C49">
        <w:trPr>
          <w:cantSplit/>
          <w:trHeight w:val="23"/>
        </w:trPr>
        <w:tc>
          <w:tcPr>
            <w:tcW w:w="3969" w:type="dxa"/>
            <w:vMerge w:val="restart"/>
            <w:tcMar>
              <w:left w:w="0" w:type="dxa"/>
            </w:tcMar>
          </w:tcPr>
          <w:p w14:paraId="087E0E86" w14:textId="3D6D42CB" w:rsidR="00AD3606" w:rsidRPr="002F242C"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2F242C">
              <w:rPr>
                <w:b/>
              </w:rPr>
              <w:t xml:space="preserve">Agenda item: </w:t>
            </w:r>
            <w:r w:rsidR="005A7545" w:rsidRPr="002F242C">
              <w:rPr>
                <w:b/>
              </w:rPr>
              <w:t>PL-</w:t>
            </w:r>
            <w:r w:rsidR="006C516C">
              <w:rPr>
                <w:b/>
              </w:rPr>
              <w:t>2</w:t>
            </w:r>
          </w:p>
        </w:tc>
        <w:tc>
          <w:tcPr>
            <w:tcW w:w="5245" w:type="dxa"/>
          </w:tcPr>
          <w:p w14:paraId="66FFDCBB" w14:textId="4A88A795" w:rsidR="00AD3606" w:rsidRPr="002F242C" w:rsidRDefault="00AD3606" w:rsidP="00954C49">
            <w:pPr>
              <w:tabs>
                <w:tab w:val="left" w:pos="851"/>
              </w:tabs>
              <w:spacing w:before="0" w:line="240" w:lineRule="atLeast"/>
              <w:jc w:val="right"/>
              <w:rPr>
                <w:b/>
              </w:rPr>
            </w:pPr>
            <w:r w:rsidRPr="002F242C">
              <w:rPr>
                <w:b/>
              </w:rPr>
              <w:t>Document C2</w:t>
            </w:r>
            <w:r w:rsidR="00DE532B" w:rsidRPr="002F242C">
              <w:rPr>
                <w:b/>
              </w:rPr>
              <w:t>6</w:t>
            </w:r>
            <w:r w:rsidRPr="002F242C">
              <w:rPr>
                <w:b/>
              </w:rPr>
              <w:t>/</w:t>
            </w:r>
            <w:r w:rsidR="00302443">
              <w:rPr>
                <w:b/>
              </w:rPr>
              <w:t>8</w:t>
            </w:r>
            <w:r w:rsidR="002C1135">
              <w:rPr>
                <w:b/>
              </w:rPr>
              <w:t>3</w:t>
            </w:r>
            <w:r w:rsidRPr="002F242C">
              <w:rPr>
                <w:b/>
              </w:rPr>
              <w:t>-E</w:t>
            </w:r>
          </w:p>
        </w:tc>
      </w:tr>
      <w:tr w:rsidR="00AD3606" w:rsidRPr="002F242C" w14:paraId="44AAD4F5" w14:textId="77777777" w:rsidTr="00954C49">
        <w:trPr>
          <w:cantSplit/>
        </w:trPr>
        <w:tc>
          <w:tcPr>
            <w:tcW w:w="3969" w:type="dxa"/>
            <w:vMerge/>
          </w:tcPr>
          <w:p w14:paraId="745BA65B" w14:textId="77777777" w:rsidR="00AD3606" w:rsidRPr="002F242C" w:rsidRDefault="00AD3606" w:rsidP="00954C49">
            <w:pPr>
              <w:tabs>
                <w:tab w:val="left" w:pos="851"/>
              </w:tabs>
              <w:spacing w:line="240" w:lineRule="atLeast"/>
              <w:rPr>
                <w:b/>
              </w:rPr>
            </w:pPr>
            <w:bookmarkStart w:id="6" w:name="ddate" w:colFirst="1" w:colLast="1"/>
            <w:bookmarkEnd w:id="0"/>
            <w:bookmarkEnd w:id="1"/>
          </w:p>
        </w:tc>
        <w:tc>
          <w:tcPr>
            <w:tcW w:w="5245" w:type="dxa"/>
          </w:tcPr>
          <w:p w14:paraId="7B09DE87" w14:textId="02278AA4" w:rsidR="00AD3606" w:rsidRPr="002F242C" w:rsidRDefault="00E45BDA" w:rsidP="00954C49">
            <w:pPr>
              <w:tabs>
                <w:tab w:val="left" w:pos="851"/>
              </w:tabs>
              <w:spacing w:before="0"/>
              <w:jc w:val="right"/>
              <w:rPr>
                <w:b/>
              </w:rPr>
            </w:pPr>
            <w:r>
              <w:rPr>
                <w:b/>
              </w:rPr>
              <w:t>14 April 2026</w:t>
            </w:r>
          </w:p>
        </w:tc>
      </w:tr>
      <w:tr w:rsidR="00AD3606" w:rsidRPr="002F242C" w14:paraId="19CCE278" w14:textId="77777777" w:rsidTr="00954C49">
        <w:trPr>
          <w:cantSplit/>
          <w:trHeight w:val="23"/>
        </w:trPr>
        <w:tc>
          <w:tcPr>
            <w:tcW w:w="3969" w:type="dxa"/>
            <w:vMerge/>
          </w:tcPr>
          <w:p w14:paraId="68B894D7" w14:textId="77777777" w:rsidR="00AD3606" w:rsidRPr="002F242C" w:rsidRDefault="00AD3606" w:rsidP="00954C49">
            <w:pPr>
              <w:tabs>
                <w:tab w:val="left" w:pos="851"/>
              </w:tabs>
              <w:spacing w:line="240" w:lineRule="atLeast"/>
              <w:rPr>
                <w:b/>
              </w:rPr>
            </w:pPr>
            <w:bookmarkStart w:id="7" w:name="dorlang" w:colFirst="1" w:colLast="1"/>
            <w:bookmarkEnd w:id="6"/>
          </w:p>
        </w:tc>
        <w:tc>
          <w:tcPr>
            <w:tcW w:w="5245" w:type="dxa"/>
          </w:tcPr>
          <w:p w14:paraId="0C32F425" w14:textId="77777777" w:rsidR="00AD3606" w:rsidRPr="002F242C" w:rsidRDefault="00AD3606" w:rsidP="00954C49">
            <w:pPr>
              <w:tabs>
                <w:tab w:val="left" w:pos="851"/>
              </w:tabs>
              <w:spacing w:before="0" w:line="240" w:lineRule="atLeast"/>
              <w:jc w:val="right"/>
              <w:rPr>
                <w:b/>
              </w:rPr>
            </w:pPr>
            <w:r w:rsidRPr="002F242C">
              <w:rPr>
                <w:b/>
              </w:rPr>
              <w:t>Original: English</w:t>
            </w:r>
          </w:p>
        </w:tc>
      </w:tr>
      <w:tr w:rsidR="00472BAD" w:rsidRPr="002F242C" w14:paraId="605C60F9" w14:textId="77777777" w:rsidTr="00954C49">
        <w:trPr>
          <w:cantSplit/>
          <w:trHeight w:val="23"/>
        </w:trPr>
        <w:tc>
          <w:tcPr>
            <w:tcW w:w="3969" w:type="dxa"/>
          </w:tcPr>
          <w:p w14:paraId="6418E3D1" w14:textId="77777777" w:rsidR="00472BAD" w:rsidRPr="002F242C" w:rsidRDefault="00472BAD" w:rsidP="00954C49">
            <w:pPr>
              <w:tabs>
                <w:tab w:val="left" w:pos="851"/>
              </w:tabs>
              <w:spacing w:line="240" w:lineRule="atLeast"/>
              <w:rPr>
                <w:b/>
              </w:rPr>
            </w:pPr>
          </w:p>
        </w:tc>
        <w:tc>
          <w:tcPr>
            <w:tcW w:w="5245" w:type="dxa"/>
          </w:tcPr>
          <w:p w14:paraId="29E8BB0B" w14:textId="77777777" w:rsidR="00472BAD" w:rsidRPr="002F242C" w:rsidRDefault="00472BAD" w:rsidP="00954C49">
            <w:pPr>
              <w:tabs>
                <w:tab w:val="left" w:pos="851"/>
              </w:tabs>
              <w:spacing w:before="0" w:line="240" w:lineRule="atLeast"/>
              <w:jc w:val="right"/>
              <w:rPr>
                <w:b/>
              </w:rPr>
            </w:pPr>
          </w:p>
        </w:tc>
      </w:tr>
      <w:tr w:rsidR="00AD3606" w:rsidRPr="002F242C" w14:paraId="6B030B1F" w14:textId="77777777" w:rsidTr="00954C49">
        <w:trPr>
          <w:cantSplit/>
        </w:trPr>
        <w:tc>
          <w:tcPr>
            <w:tcW w:w="9214" w:type="dxa"/>
            <w:gridSpan w:val="2"/>
            <w:tcMar>
              <w:left w:w="0" w:type="dxa"/>
            </w:tcMar>
          </w:tcPr>
          <w:p w14:paraId="53011157" w14:textId="5697D88D" w:rsidR="00AD3606" w:rsidRPr="002F242C" w:rsidRDefault="005A7545" w:rsidP="00954C49">
            <w:pPr>
              <w:pStyle w:val="Source"/>
              <w:framePr w:hSpace="0" w:wrap="auto" w:vAnchor="margin" w:hAnchor="text" w:yAlign="inline"/>
            </w:pPr>
            <w:bookmarkStart w:id="8" w:name="dsource" w:colFirst="0" w:colLast="0"/>
            <w:bookmarkEnd w:id="7"/>
            <w:r w:rsidRPr="002F242C">
              <w:t>Contribution</w:t>
            </w:r>
            <w:r w:rsidR="00AD3606" w:rsidRPr="002F242C">
              <w:t xml:space="preserve"> by </w:t>
            </w:r>
            <w:r w:rsidR="00E45BDA" w:rsidRPr="00E45BDA">
              <w:t>Bulgaria (Republic of)</w:t>
            </w:r>
            <w:r w:rsidR="00E45BDA">
              <w:t>, France</w:t>
            </w:r>
            <w:r w:rsidR="00D94471">
              <w:t xml:space="preserve">, </w:t>
            </w:r>
            <w:r w:rsidR="0019674C" w:rsidRPr="0019674C">
              <w:t>Italy</w:t>
            </w:r>
            <w:r w:rsidR="00D94471">
              <w:t xml:space="preserve"> and Sweden</w:t>
            </w:r>
          </w:p>
        </w:tc>
      </w:tr>
      <w:tr w:rsidR="00AD3606" w:rsidRPr="002F242C" w14:paraId="07E74239" w14:textId="77777777" w:rsidTr="00954C49">
        <w:trPr>
          <w:cantSplit/>
        </w:trPr>
        <w:tc>
          <w:tcPr>
            <w:tcW w:w="9214" w:type="dxa"/>
            <w:gridSpan w:val="2"/>
            <w:tcMar>
              <w:left w:w="0" w:type="dxa"/>
            </w:tcMar>
          </w:tcPr>
          <w:p w14:paraId="6ECEA044" w14:textId="560530C1" w:rsidR="00AD3606" w:rsidRPr="002F242C" w:rsidRDefault="00E45BDA" w:rsidP="00954C49">
            <w:pPr>
              <w:pStyle w:val="Subtitle"/>
              <w:framePr w:hSpace="0" w:wrap="auto" w:hAnchor="text" w:xAlign="left" w:yAlign="inline"/>
            </w:pPr>
            <w:bookmarkStart w:id="9" w:name="dtitle1" w:colFirst="0" w:colLast="0"/>
            <w:bookmarkEnd w:id="8"/>
            <w:r w:rsidRPr="002F242C">
              <w:t>DRAFT ITU STRATEGIC PLAN FOR 2028-2031</w:t>
            </w:r>
          </w:p>
        </w:tc>
      </w:tr>
      <w:tr w:rsidR="00AD3606" w:rsidRPr="002F242C" w14:paraId="50861AA7" w14:textId="77777777" w:rsidTr="00954C49">
        <w:trPr>
          <w:cantSplit/>
        </w:trPr>
        <w:tc>
          <w:tcPr>
            <w:tcW w:w="9214" w:type="dxa"/>
            <w:gridSpan w:val="2"/>
            <w:tcBorders>
              <w:top w:val="single" w:sz="4" w:space="0" w:color="auto"/>
              <w:bottom w:val="single" w:sz="4" w:space="0" w:color="auto"/>
            </w:tcBorders>
            <w:tcMar>
              <w:left w:w="0" w:type="dxa"/>
            </w:tcMar>
          </w:tcPr>
          <w:p w14:paraId="4DE43F60" w14:textId="77777777" w:rsidR="00AD3606" w:rsidRPr="002F242C" w:rsidRDefault="00F16BAB" w:rsidP="00954C49">
            <w:pPr>
              <w:spacing w:before="160"/>
              <w:rPr>
                <w:b/>
                <w:bCs/>
                <w:sz w:val="26"/>
                <w:szCs w:val="26"/>
              </w:rPr>
            </w:pPr>
            <w:r w:rsidRPr="002F242C">
              <w:rPr>
                <w:b/>
                <w:bCs/>
                <w:sz w:val="26"/>
                <w:szCs w:val="26"/>
              </w:rPr>
              <w:t>Purpose</w:t>
            </w:r>
          </w:p>
          <w:p w14:paraId="48602855" w14:textId="4F38C678" w:rsidR="00AD3606" w:rsidRPr="002F242C" w:rsidRDefault="002F242C" w:rsidP="00954C49">
            <w:r w:rsidRPr="002F242C">
              <w:t>This contribution has been prepared to present the views of the co-signatories on the draft ITU Strategic Plan for 2028-2031.</w:t>
            </w:r>
          </w:p>
          <w:p w14:paraId="2BF81248" w14:textId="77777777" w:rsidR="00AD3606" w:rsidRPr="002F242C" w:rsidRDefault="00AD3606" w:rsidP="00954C49">
            <w:pPr>
              <w:spacing w:before="160"/>
              <w:rPr>
                <w:b/>
                <w:bCs/>
                <w:sz w:val="26"/>
                <w:szCs w:val="26"/>
              </w:rPr>
            </w:pPr>
            <w:r w:rsidRPr="002F242C">
              <w:rPr>
                <w:b/>
                <w:bCs/>
                <w:sz w:val="26"/>
                <w:szCs w:val="26"/>
              </w:rPr>
              <w:t>Action required</w:t>
            </w:r>
            <w:r w:rsidR="00F16BAB" w:rsidRPr="002F242C">
              <w:rPr>
                <w:b/>
                <w:bCs/>
                <w:sz w:val="26"/>
                <w:szCs w:val="26"/>
              </w:rPr>
              <w:t xml:space="preserve"> by the Council</w:t>
            </w:r>
          </w:p>
          <w:p w14:paraId="66E21FFB" w14:textId="164234BD" w:rsidR="00722551" w:rsidRPr="002F242C" w:rsidRDefault="002F242C" w:rsidP="00954C49">
            <w:r w:rsidRPr="002F242C">
              <w:t xml:space="preserve">The Council is invited to </w:t>
            </w:r>
            <w:r w:rsidRPr="008058D4">
              <w:rPr>
                <w:b/>
                <w:bCs/>
              </w:rPr>
              <w:t>consider</w:t>
            </w:r>
            <w:r w:rsidRPr="002F242C">
              <w:t xml:space="preserve"> the contribution and </w:t>
            </w:r>
            <w:r w:rsidRPr="008058D4">
              <w:rPr>
                <w:b/>
                <w:bCs/>
              </w:rPr>
              <w:t>take</w:t>
            </w:r>
            <w:r w:rsidRPr="002F242C">
              <w:t xml:space="preserve"> the necessary </w:t>
            </w:r>
            <w:r w:rsidRPr="008058D4">
              <w:rPr>
                <w:b/>
                <w:bCs/>
              </w:rPr>
              <w:t>action</w:t>
            </w:r>
            <w:r w:rsidRPr="002F242C">
              <w:t xml:space="preserve"> accordingly.</w:t>
            </w:r>
          </w:p>
          <w:p w14:paraId="5626EE93" w14:textId="77777777" w:rsidR="00C0458D" w:rsidRPr="002F242C" w:rsidRDefault="00C0458D" w:rsidP="00954C49">
            <w:r w:rsidRPr="002F242C">
              <w:t>_______________</w:t>
            </w:r>
          </w:p>
          <w:p w14:paraId="2E9B64E1" w14:textId="77777777" w:rsidR="00AD3606" w:rsidRPr="002F242C" w:rsidRDefault="00AD3606" w:rsidP="00954C49">
            <w:pPr>
              <w:spacing w:before="160"/>
              <w:rPr>
                <w:b/>
                <w:bCs/>
                <w:sz w:val="26"/>
                <w:szCs w:val="26"/>
              </w:rPr>
            </w:pPr>
            <w:r w:rsidRPr="002F242C">
              <w:rPr>
                <w:b/>
                <w:bCs/>
                <w:sz w:val="26"/>
                <w:szCs w:val="26"/>
              </w:rPr>
              <w:t>References</w:t>
            </w:r>
          </w:p>
          <w:p w14:paraId="1A79DFA9" w14:textId="69C6C000" w:rsidR="00AD3606" w:rsidRPr="00302443" w:rsidRDefault="002F242C" w:rsidP="00302443">
            <w:pPr>
              <w:spacing w:after="160"/>
              <w:jc w:val="both"/>
              <w:rPr>
                <w:rFonts w:cs="Times New Roman italic"/>
                <w:i/>
                <w:iCs/>
                <w:spacing w:val="-2"/>
                <w:sz w:val="22"/>
                <w:szCs w:val="22"/>
              </w:rPr>
            </w:pPr>
            <w:r w:rsidRPr="00302443">
              <w:rPr>
                <w:rFonts w:cs="Times New Roman italic"/>
                <w:i/>
                <w:iCs/>
                <w:spacing w:val="-2"/>
                <w:sz w:val="22"/>
                <w:szCs w:val="22"/>
              </w:rPr>
              <w:t xml:space="preserve">ITU </w:t>
            </w:r>
            <w:hyperlink r:id="rId8" w:history="1">
              <w:r w:rsidRPr="00302443">
                <w:rPr>
                  <w:rStyle w:val="Hyperlink"/>
                  <w:rFonts w:cs="Times New Roman italic"/>
                  <w:i/>
                  <w:iCs/>
                  <w:spacing w:val="-2"/>
                  <w:sz w:val="22"/>
                  <w:szCs w:val="22"/>
                </w:rPr>
                <w:t>Constitution</w:t>
              </w:r>
            </w:hyperlink>
            <w:r w:rsidR="0019674C" w:rsidRPr="00302443">
              <w:rPr>
                <w:rFonts w:cs="Times New Roman italic"/>
                <w:i/>
                <w:iCs/>
                <w:spacing w:val="-2"/>
                <w:sz w:val="22"/>
                <w:szCs w:val="22"/>
              </w:rPr>
              <w:t xml:space="preserve"> and </w:t>
            </w:r>
            <w:hyperlink r:id="rId9" w:history="1">
              <w:r w:rsidRPr="00302443">
                <w:rPr>
                  <w:rStyle w:val="Hyperlink"/>
                  <w:rFonts w:cs="Times New Roman italic"/>
                  <w:i/>
                  <w:iCs/>
                  <w:spacing w:val="-2"/>
                  <w:sz w:val="22"/>
                  <w:szCs w:val="22"/>
                </w:rPr>
                <w:t>Convention</w:t>
              </w:r>
            </w:hyperlink>
            <w:r w:rsidR="0019674C" w:rsidRPr="00302443">
              <w:rPr>
                <w:rFonts w:cs="Times New Roman italic"/>
                <w:i/>
                <w:iCs/>
                <w:spacing w:val="-2"/>
                <w:sz w:val="22"/>
                <w:szCs w:val="22"/>
              </w:rPr>
              <w:t xml:space="preserve">; </w:t>
            </w:r>
            <w:r w:rsidRPr="00302443">
              <w:rPr>
                <w:rFonts w:cs="Times New Roman italic"/>
                <w:i/>
                <w:iCs/>
                <w:spacing w:val="-2"/>
                <w:sz w:val="22"/>
                <w:szCs w:val="22"/>
              </w:rPr>
              <w:t xml:space="preserve">Resolution </w:t>
            </w:r>
            <w:hyperlink r:id="rId10" w:history="1">
              <w:r w:rsidRPr="00302443">
                <w:rPr>
                  <w:rStyle w:val="Hyperlink"/>
                  <w:rFonts w:cs="Times New Roman italic"/>
                  <w:i/>
                  <w:iCs/>
                  <w:spacing w:val="-2"/>
                  <w:sz w:val="22"/>
                  <w:szCs w:val="22"/>
                </w:rPr>
                <w:t>71 (Rev. Bucharest, 2022)</w:t>
              </w:r>
            </w:hyperlink>
            <w:r w:rsidR="0019674C" w:rsidRPr="00302443">
              <w:rPr>
                <w:rFonts w:cs="Times New Roman italic"/>
                <w:i/>
                <w:iCs/>
                <w:spacing w:val="-2"/>
                <w:sz w:val="22"/>
                <w:szCs w:val="22"/>
              </w:rPr>
              <w:t xml:space="preserve"> of the Plenipotentiary Conference; </w:t>
            </w:r>
            <w:r w:rsidRPr="00302443">
              <w:rPr>
                <w:rFonts w:cs="Times New Roman italic"/>
                <w:i/>
                <w:iCs/>
                <w:spacing w:val="-2"/>
                <w:sz w:val="22"/>
                <w:szCs w:val="22"/>
              </w:rPr>
              <w:t>Document</w:t>
            </w:r>
            <w:r w:rsidR="0019674C" w:rsidRPr="00302443">
              <w:rPr>
                <w:rFonts w:cs="Times New Roman italic"/>
                <w:i/>
                <w:iCs/>
                <w:spacing w:val="-2"/>
                <w:sz w:val="22"/>
                <w:szCs w:val="22"/>
              </w:rPr>
              <w:t>s</w:t>
            </w:r>
            <w:r w:rsidRPr="00302443">
              <w:rPr>
                <w:rFonts w:cs="Times New Roman italic"/>
                <w:i/>
                <w:iCs/>
                <w:spacing w:val="-2"/>
                <w:sz w:val="22"/>
                <w:szCs w:val="22"/>
              </w:rPr>
              <w:t xml:space="preserve"> </w:t>
            </w:r>
            <w:hyperlink r:id="rId11" w:history="1">
              <w:r w:rsidRPr="00302443">
                <w:rPr>
                  <w:rStyle w:val="Hyperlink"/>
                  <w:rFonts w:cs="Times New Roman italic"/>
                  <w:i/>
                  <w:iCs/>
                  <w:spacing w:val="-2"/>
                  <w:sz w:val="22"/>
                  <w:szCs w:val="22"/>
                </w:rPr>
                <w:t>CWG-SFP-3/6</w:t>
              </w:r>
            </w:hyperlink>
            <w:r w:rsidR="0019674C" w:rsidRPr="00302443">
              <w:rPr>
                <w:rFonts w:cs="Times New Roman italic"/>
                <w:i/>
                <w:iCs/>
                <w:spacing w:val="-2"/>
                <w:sz w:val="22"/>
                <w:szCs w:val="22"/>
              </w:rPr>
              <w:t xml:space="preserve">, </w:t>
            </w:r>
            <w:hyperlink r:id="rId12" w:history="1">
              <w:r w:rsidRPr="00302443">
                <w:rPr>
                  <w:rStyle w:val="Hyperlink"/>
                  <w:rFonts w:cs="Times New Roman italic"/>
                  <w:i/>
                  <w:iCs/>
                  <w:spacing w:val="-2"/>
                  <w:sz w:val="22"/>
                  <w:szCs w:val="22"/>
                </w:rPr>
                <w:t>CWG-SFP-3/7</w:t>
              </w:r>
            </w:hyperlink>
            <w:r w:rsidR="0019674C" w:rsidRPr="00302443">
              <w:rPr>
                <w:rFonts w:cs="Times New Roman italic"/>
                <w:i/>
                <w:iCs/>
                <w:spacing w:val="-2"/>
                <w:sz w:val="22"/>
                <w:szCs w:val="22"/>
              </w:rPr>
              <w:t xml:space="preserve"> and </w:t>
            </w:r>
            <w:hyperlink r:id="rId13" w:history="1">
              <w:r w:rsidRPr="00302443">
                <w:rPr>
                  <w:rStyle w:val="Hyperlink"/>
                  <w:rFonts w:cs="Times New Roman italic"/>
                  <w:i/>
                  <w:iCs/>
                  <w:spacing w:val="-2"/>
                  <w:sz w:val="22"/>
                  <w:szCs w:val="22"/>
                </w:rPr>
                <w:t>CWG-SFP-4/2</w:t>
              </w:r>
            </w:hyperlink>
            <w:r w:rsidR="0019674C" w:rsidRPr="00302443">
              <w:rPr>
                <w:rFonts w:cs="Times New Roman italic"/>
                <w:i/>
                <w:iCs/>
                <w:spacing w:val="-2"/>
                <w:sz w:val="22"/>
                <w:szCs w:val="22"/>
              </w:rPr>
              <w:t xml:space="preserve">; </w:t>
            </w:r>
            <w:r w:rsidRPr="00302443">
              <w:rPr>
                <w:rFonts w:cs="Times New Roman italic"/>
                <w:i/>
                <w:iCs/>
                <w:spacing w:val="-2"/>
                <w:sz w:val="22"/>
                <w:szCs w:val="22"/>
              </w:rPr>
              <w:t>Report of the Joint Inspection Unit entitled “Strategic planning in the United Nations system”</w:t>
            </w:r>
          </w:p>
        </w:tc>
      </w:tr>
    </w:tbl>
    <w:p w14:paraId="43B964B7" w14:textId="77777777" w:rsidR="00E227F3" w:rsidRPr="002F242C"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A599779" w14:textId="77777777" w:rsidR="0090147A" w:rsidRPr="002F242C"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2F242C">
        <w:br w:type="page"/>
      </w:r>
    </w:p>
    <w:bookmarkEnd w:id="5"/>
    <w:bookmarkEnd w:id="10"/>
    <w:p w14:paraId="298EF83C" w14:textId="6C68B769" w:rsidR="002F242C" w:rsidRPr="002F242C" w:rsidRDefault="002F242C" w:rsidP="002F242C">
      <w:pPr>
        <w:pStyle w:val="Heading1"/>
      </w:pPr>
      <w:r w:rsidRPr="002F242C">
        <w:lastRenderedPageBreak/>
        <w:t>1</w:t>
      </w:r>
      <w:r w:rsidRPr="002F242C">
        <w:tab/>
        <w:t xml:space="preserve">Background </w:t>
      </w:r>
    </w:p>
    <w:p w14:paraId="6CD5D70F" w14:textId="23247F1C" w:rsidR="002F242C" w:rsidRPr="002F242C" w:rsidRDefault="002F242C" w:rsidP="0074157B">
      <w:pPr>
        <w:spacing w:before="100"/>
        <w:jc w:val="both"/>
      </w:pPr>
      <w:r w:rsidRPr="002F242C">
        <w:t xml:space="preserve">Article 8 c) of the ITU Constitution previews that the Plenipotentiary Conference shall establish the strategic plan for the Union and the basis for the budget of the Union, and determine related financial limits, until the next plenipotentiary conference, after considering all relevant aspects of the work of the Union in that period. The Convention of ITU in its Article 4, point 10 bis gives the possibility for the Council while respecting the financial limits as adopted by the Plenipotentiary Conference, to review and update the strategic plan, which forms the basis of the corresponding operational plans. Further, in Article 4 , point 11.1) the Council is tasked to receive and review the specific data for strategic planning that is provided by the Secretary-General and, in the last but one ordinary session of the Council before the next plenipotentiary conference, initiate the preparation of a draft new strategic plan for the Union, drawing upon input from Member States, Sector </w:t>
      </w:r>
      <w:r w:rsidR="00086680" w:rsidRPr="002F242C">
        <w:t xml:space="preserve">Members </w:t>
      </w:r>
      <w:r w:rsidRPr="002F242C">
        <w:t>and the Sector advisory groups, and produce a coordinated draft new strategic plan at least four months before that plenipotentiary conference. The Council should also establish a calendar for the development of strategic and financial plans for the Union, and of operational plans for each Sector and for the General Secretariat, so as to allow for the development of appropriate linkage among the plans. The ITU Convention thus previews that there should be an appropriate linkage among the plans.</w:t>
      </w:r>
    </w:p>
    <w:p w14:paraId="62A83C4E" w14:textId="3CA38EDE" w:rsidR="002F242C" w:rsidRPr="002F242C" w:rsidRDefault="002F242C" w:rsidP="0074157B">
      <w:pPr>
        <w:spacing w:before="100"/>
        <w:jc w:val="both"/>
      </w:pPr>
      <w:r w:rsidRPr="002F242C">
        <w:t xml:space="preserve">Document </w:t>
      </w:r>
      <w:hyperlink r:id="rId14" w:history="1">
        <w:r w:rsidRPr="00086680">
          <w:rPr>
            <w:rStyle w:val="Hyperlink"/>
          </w:rPr>
          <w:t>CWG-SFP-3/6</w:t>
        </w:r>
      </w:hyperlink>
      <w:r w:rsidRPr="002F242C">
        <w:t xml:space="preserve"> contains a part dedicated to the Financial Plan at the Strategic Level, which defines this Plan as an estimate of the expected revenues and allocations of resources to each of the desired Thematic Priorities/Outcomes based on their relative priorities as defined by the Strategic Plan. The Financial Plan should provide guidance for the budgeting and delivery of Outputs in Operational Plans during the period covered by the Strategic Plan. </w:t>
      </w:r>
    </w:p>
    <w:p w14:paraId="6B1E5EDD" w14:textId="1709B270" w:rsidR="002F242C" w:rsidRPr="002F242C" w:rsidRDefault="002F242C" w:rsidP="0074157B">
      <w:pPr>
        <w:spacing w:before="100"/>
        <w:jc w:val="both"/>
      </w:pPr>
      <w:r w:rsidRPr="002F242C">
        <w:t>The process for generating the cost estimates included in the Financial Plan at the level of the Outcomes should be developed by the Council Working Group for strategic and financial plans (CWG-SFP), based on the proposal of the Secretariat. This proposal should take into account proposals from the General Secretariat and Bureau</w:t>
      </w:r>
      <w:r w:rsidR="000659A2">
        <w:t>x</w:t>
      </w:r>
      <w:r w:rsidRPr="002F242C">
        <w:t xml:space="preserve"> regarding the activities they propose to carry out during the period to produce the Outputs that will deliver on the Outcome targets (of the Strategic Plan). The resources needed to conduct those activities should be estimated and aggregated across the Bureau</w:t>
      </w:r>
      <w:r w:rsidR="000659A2">
        <w:t xml:space="preserve">x </w:t>
      </w:r>
      <w:r w:rsidRPr="002F242C">
        <w:t xml:space="preserve">and General Secretariat to produce the estimated resources needed to achieve each Outcome in the Strategic Plan. </w:t>
      </w:r>
    </w:p>
    <w:p w14:paraId="072A3F06" w14:textId="4E9C53DF" w:rsidR="002F242C" w:rsidRPr="002F242C" w:rsidRDefault="002F242C" w:rsidP="0074157B">
      <w:pPr>
        <w:spacing w:before="100"/>
        <w:jc w:val="both"/>
      </w:pPr>
      <w:r w:rsidRPr="002F242C">
        <w:t xml:space="preserve">The texts in the Convention and the procedure explained in Document </w:t>
      </w:r>
      <w:hyperlink r:id="rId15" w:history="1">
        <w:r w:rsidRPr="000659A2">
          <w:rPr>
            <w:rStyle w:val="Hyperlink"/>
          </w:rPr>
          <w:t>CWG-SFP-3/6</w:t>
        </w:r>
      </w:hyperlink>
      <w:r w:rsidRPr="002F242C">
        <w:t xml:space="preserve"> suggest that the desired Thematic Priorities/Outcomes and the delivery of the Outcome targets should be in clear linkage all the way from the Strategic Plan through the Financial Plan and down to the operational Plans.</w:t>
      </w:r>
    </w:p>
    <w:p w14:paraId="7AC06AAB" w14:textId="4A2D0AD2" w:rsidR="002F242C" w:rsidRPr="00344040" w:rsidRDefault="002F242C" w:rsidP="0074157B">
      <w:pPr>
        <w:spacing w:before="100"/>
        <w:jc w:val="both"/>
        <w:rPr>
          <w:spacing w:val="-2"/>
        </w:rPr>
      </w:pPr>
      <w:r w:rsidRPr="00344040">
        <w:rPr>
          <w:spacing w:val="-2"/>
        </w:rPr>
        <w:t>Furthermore, in its core text</w:t>
      </w:r>
      <w:r w:rsidR="00086680" w:rsidRPr="00344040">
        <w:rPr>
          <w:spacing w:val="-2"/>
        </w:rPr>
        <w:t>,</w:t>
      </w:r>
      <w:r w:rsidRPr="00344040">
        <w:rPr>
          <w:spacing w:val="-2"/>
        </w:rPr>
        <w:t xml:space="preserve"> Resolution 71 refers to the Report of the Joint Inspection Unit entitled “Strategic planning in the United Nations system”. Although this report was issued back in 2012 it contains basic definitions and principles of the strategic planning in the UN system. Strategic planning is described as the process by which an organization’s medium- to long-term goals, as well as the resources plans to achieve them, are defined. The JIU report explains the need for a clear linkage between the strategic plan and the resource allocation while underlining that nevertheless the strategic plan should not be budget-driven, but rather mandate-driven. The Strategic plan needs to provide a clearly defined mechanism to identify resource requirements for its implementation. It should be an instrument for identifying and mobilizing all the resources available to the organization and for setting priorities for optimal allocation and use of the resources directed to agreed goals and objectives. The strategic plan should also </w:t>
      </w:r>
      <w:r w:rsidRPr="00344040">
        <w:rPr>
          <w:spacing w:val="-2"/>
        </w:rPr>
        <w:lastRenderedPageBreak/>
        <w:t>respond to the managerial needs of an organization, as a tool that would serve as the organizational road map so that each division/unit of the organization can place itself in the big picture and relate its daily objectives to the overall achievement of the strategic plan. Strategic plans must be related to clearly defined mechanisms of implementation (e.g. matching operational plans).</w:t>
      </w:r>
    </w:p>
    <w:p w14:paraId="42C929BE" w14:textId="77777777" w:rsidR="002F242C" w:rsidRPr="002F242C" w:rsidRDefault="002F242C" w:rsidP="0074157B">
      <w:pPr>
        <w:spacing w:before="100"/>
        <w:jc w:val="both"/>
      </w:pPr>
      <w:r w:rsidRPr="002F242C">
        <w:t>Strategic planning is an important prerequisite for the effective functioning and successful implementation of the mandate (goals) of each organization. The relation of the planning itself with the effective allocation of resources and linking the activities to results is particularly important.</w:t>
      </w:r>
    </w:p>
    <w:p w14:paraId="3A532F2C" w14:textId="77777777" w:rsidR="002F242C" w:rsidRPr="002F242C" w:rsidRDefault="002F242C" w:rsidP="0074157B">
      <w:pPr>
        <w:spacing w:before="100"/>
        <w:jc w:val="both"/>
      </w:pPr>
      <w:r w:rsidRPr="002F242C">
        <w:t>Another consideration directly related to the strategic planning is that ITU, as an UN agency, needs to align the planning of its core activities with the UN80 initiative, which aims to transform the UN system into a more effective, flexible and future-oriented organization, including by reviewing the mandates of individual agencies and identifying opportunities to increase their effectiveness. The UN80 major goal has to be reflected in the new 4-year ITU Strategic plan as well. Financial constraints within ITU also impose the need to prioritize activities within the broad mandate of the organisation and focus on the most important priorities for Member States, as well as on increasing the governance effectiveness.</w:t>
      </w:r>
    </w:p>
    <w:p w14:paraId="244579F6" w14:textId="4201927C" w:rsidR="002F242C" w:rsidRPr="002F242C" w:rsidRDefault="002F242C" w:rsidP="0074157B">
      <w:pPr>
        <w:spacing w:before="100"/>
        <w:jc w:val="both"/>
      </w:pPr>
      <w:r w:rsidRPr="002F242C">
        <w:t xml:space="preserve">The ITU Strategic Plan should clearly distinguish between mandate-driven activities of ITU as an administrative body and activities that are the prerogative and entirely under the control of Member States (or ITU as a union of </w:t>
      </w:r>
      <w:r w:rsidR="003438F0" w:rsidRPr="002F242C">
        <w:t>Member States</w:t>
      </w:r>
      <w:r w:rsidRPr="002F242C">
        <w:t xml:space="preserve">). The ITU Strategic plan should be clearly a plan for ITU as an organization, as an administrative structure that supports Member States in certain areas (specified in the organization's mandate). The Strategic plan should not be a document that implies obligations for Member States or assumes specific actions by Member States or Sector Members. It is a plan for organizing and prioritizing the activities and tasks of the ITU administration within the framework of its mandate and precisely as a structure created to support international cooperation and decision-making at the global level. We believe that special attention should be paid in this direction, including to the formulations of the global goals, thematic priorities and expected outcomes of the work of ITU. The wording of the texts should reflect not the expected results or outcomes in the Member States in general (achieved with or without the support of ITU as an administrative body), but the contribution of ITU as an administrative structure to these results and outcomes. It is necessary to emphasize the role of ITU as an organization that provides a platform and technical expertise for cooperation between Member States and </w:t>
      </w:r>
      <w:r w:rsidR="002D03B3" w:rsidRPr="002F242C">
        <w:t>Sector Members</w:t>
      </w:r>
      <w:r w:rsidRPr="002F242C">
        <w:t>, between governments and businesses, for the inclusive development of information and telecommunications networks, technologies and services, in the name of universal and sustainable social and economic development. And that role has to be clearly reflected in the wording of the goals, thematic priorities, outcomes and outcome indicators.</w:t>
      </w:r>
    </w:p>
    <w:p w14:paraId="6604A365" w14:textId="4557D66A" w:rsidR="002F242C" w:rsidRPr="002F242C" w:rsidRDefault="002F242C" w:rsidP="0074157B">
      <w:pPr>
        <w:pStyle w:val="Heading1"/>
        <w:spacing w:before="240"/>
      </w:pPr>
      <w:r w:rsidRPr="002F242C">
        <w:t>2</w:t>
      </w:r>
      <w:r w:rsidRPr="002F242C">
        <w:tab/>
        <w:t>Discussion</w:t>
      </w:r>
    </w:p>
    <w:p w14:paraId="404CA775" w14:textId="77777777" w:rsidR="002F242C" w:rsidRPr="00344040" w:rsidRDefault="002F242C" w:rsidP="0074157B">
      <w:pPr>
        <w:spacing w:before="100"/>
        <w:jc w:val="both"/>
        <w:rPr>
          <w:spacing w:val="-2"/>
        </w:rPr>
      </w:pPr>
      <w:r w:rsidRPr="00344040">
        <w:rPr>
          <w:spacing w:val="-2"/>
        </w:rPr>
        <w:t>Given the general information in the Background section above, we express the following view:</w:t>
      </w:r>
    </w:p>
    <w:p w14:paraId="57C0FAE9" w14:textId="4AC924CC" w:rsidR="002F242C" w:rsidRPr="00344040" w:rsidRDefault="002F242C" w:rsidP="0074157B">
      <w:pPr>
        <w:pStyle w:val="enumlev1"/>
        <w:widowControl w:val="0"/>
        <w:spacing w:before="60"/>
        <w:jc w:val="both"/>
        <w:rPr>
          <w:spacing w:val="-2"/>
        </w:rPr>
      </w:pPr>
      <w:r w:rsidRPr="00344040">
        <w:rPr>
          <w:spacing w:val="-2"/>
        </w:rPr>
        <w:t>–</w:t>
      </w:r>
      <w:r w:rsidRPr="00344040">
        <w:rPr>
          <w:spacing w:val="-2"/>
        </w:rPr>
        <w:tab/>
        <w:t xml:space="preserve">It is necessary to introduce a more systematic approach to the Strategic Plan, which should follow the general principles of results-based management and ensure that the Strategic Plan would establish a clear correspondence/linkage between the strategic goals and priorities, the Financial plan and the operational plans, with a clear vision of what it aims to achieve, for every thematic priority and in what way. The vision should correspond to the mission; the mission </w:t>
      </w:r>
      <w:r w:rsidR="003438F0" w:rsidRPr="00344040">
        <w:rPr>
          <w:spacing w:val="-2"/>
        </w:rPr>
        <w:t>–</w:t>
      </w:r>
      <w:r w:rsidRPr="00344040">
        <w:rPr>
          <w:spacing w:val="-2"/>
        </w:rPr>
        <w:t xml:space="preserve"> to the goals; the goals </w:t>
      </w:r>
      <w:r w:rsidR="003438F0" w:rsidRPr="00344040">
        <w:rPr>
          <w:spacing w:val="-2"/>
        </w:rPr>
        <w:t>–</w:t>
      </w:r>
      <w:r w:rsidRPr="00344040">
        <w:rPr>
          <w:spacing w:val="-2"/>
        </w:rPr>
        <w:t xml:space="preserve"> to the thematic priorities, the thematic </w:t>
      </w:r>
      <w:r w:rsidRPr="00344040">
        <w:rPr>
          <w:spacing w:val="-2"/>
        </w:rPr>
        <w:lastRenderedPageBreak/>
        <w:t xml:space="preserve">priorities – to the outcomes; and the indicators </w:t>
      </w:r>
      <w:r w:rsidR="003438F0" w:rsidRPr="00344040">
        <w:rPr>
          <w:spacing w:val="-2"/>
        </w:rPr>
        <w:t>–</w:t>
      </w:r>
      <w:r w:rsidRPr="00344040">
        <w:rPr>
          <w:spacing w:val="-2"/>
        </w:rPr>
        <w:t xml:space="preserve"> to each specific outcome. </w:t>
      </w:r>
    </w:p>
    <w:p w14:paraId="21669A75" w14:textId="63173A16" w:rsidR="002F242C" w:rsidRPr="002F242C" w:rsidRDefault="002F242C" w:rsidP="0074157B">
      <w:pPr>
        <w:pStyle w:val="enumlev1"/>
        <w:spacing w:before="60"/>
        <w:jc w:val="both"/>
      </w:pPr>
      <w:r w:rsidRPr="002F242C">
        <w:t>–</w:t>
      </w:r>
      <w:r w:rsidRPr="002F242C">
        <w:tab/>
        <w:t>All goals, priorities, outcomes and indicators should take into account the fact that the Strategic Plan is a plan for ITU as an administrative structure and should accordingly reflect how ITU supports Member States and Sector Members (where applicable), through its activities.</w:t>
      </w:r>
    </w:p>
    <w:p w14:paraId="78403DDD" w14:textId="03219D38" w:rsidR="002F242C" w:rsidRPr="002F242C" w:rsidRDefault="002F242C" w:rsidP="0074157B">
      <w:pPr>
        <w:pStyle w:val="enumlev1"/>
        <w:spacing w:before="60"/>
        <w:jc w:val="both"/>
      </w:pPr>
      <w:r w:rsidRPr="002F242C">
        <w:t>–</w:t>
      </w:r>
      <w:r w:rsidRPr="002F242C">
        <w:tab/>
        <w:t>Although the structure of the draft Strategic Plan presented in Document</w:t>
      </w:r>
      <w:r w:rsidR="003438F0">
        <w:t xml:space="preserve"> </w:t>
      </w:r>
      <w:hyperlink r:id="rId16" w:history="1">
        <w:r w:rsidRPr="003438F0">
          <w:rPr>
            <w:rStyle w:val="Hyperlink"/>
          </w:rPr>
          <w:t>CWG-SFP-4/2</w:t>
        </w:r>
      </w:hyperlink>
      <w:r w:rsidRPr="002F242C">
        <w:t xml:space="preserve"> corresponds to the generally accepted definitions, it is necessary to update the texts by clearly formulating specific and measurable goals and thematic priorities, defining realistic indicators consistent with the mandate of the organization and the functions of the administrative units (using the indicators already available within the framework of ITU, as well as those available in other organizations of the UN system). The goals, priorities and outcomes in the Strategic Plan should allow for valuation in the Financial Plan for the same period.</w:t>
      </w:r>
    </w:p>
    <w:p w14:paraId="53922C70" w14:textId="650F2A35" w:rsidR="002F242C" w:rsidRPr="002F242C" w:rsidRDefault="002F242C" w:rsidP="0074157B">
      <w:pPr>
        <w:pStyle w:val="enumlev1"/>
        <w:spacing w:before="60"/>
        <w:jc w:val="both"/>
      </w:pPr>
      <w:r w:rsidRPr="002F242C">
        <w:t>–</w:t>
      </w:r>
      <w:r w:rsidRPr="002F242C">
        <w:tab/>
        <w:t xml:space="preserve">The goals, priorities and outcomes should be consistent with the available human, financial and technical resources, with a realistic assessment of the capacity for implementation during the 4-year period. They should also reflect the existing structure the ITU and its mandate, in order to have a clear, logical and meaningful relation between the actual financial and other resources allocated to the three ITU </w:t>
      </w:r>
      <w:r w:rsidR="000659A2" w:rsidRPr="002F242C">
        <w:t xml:space="preserve">Bureaux </w:t>
      </w:r>
      <w:r w:rsidRPr="002F242C">
        <w:t>and the General Secretariat and the goals and thematic priorities formulated in the Strategic Plan. A significant disproportion between the activities actually implemented by the organization according to its mandate and associated resources, on one side, and the priorities in the Strategic plan, on the other, should be avoided. The opposite would mean that certain core activities and important areas of work have remained outside the official and budget-related priorities of the organisation thus putting their funding at risk. The required clear linkage between the Strategic Plan and the Financial Plan would mean that it is necessary to redirect the existing ITU resources to the activities defined as priorities in the Strategic Plan in force, in the relevant proportion.</w:t>
      </w:r>
    </w:p>
    <w:p w14:paraId="29BFA6EC" w14:textId="0D4A72B1" w:rsidR="002F242C" w:rsidRPr="002F242C" w:rsidRDefault="002F242C" w:rsidP="0074157B">
      <w:pPr>
        <w:pStyle w:val="enumlev1"/>
        <w:spacing w:before="60"/>
        <w:jc w:val="both"/>
      </w:pPr>
      <w:r w:rsidRPr="002F242C">
        <w:t>–</w:t>
      </w:r>
      <w:r w:rsidRPr="002F242C">
        <w:tab/>
        <w:t xml:space="preserve">It is also necessary to reformulate the texts regarding the enablers to reflect the definition of enablers as in the Glossary of Terms, reflecting that these are the available assets of the organisation that are the basis for the successful implementation of the goals and priorities. Accordingly, it should be described not how the availability of these factors will be achieved, but how they support the implementation of the Strategic Plan. The same should be applied to the part Products and Services of the organization </w:t>
      </w:r>
      <w:r w:rsidR="003438F0">
        <w:t>—</w:t>
      </w:r>
      <w:r w:rsidRPr="002F242C">
        <w:t>it</w:t>
      </w:r>
      <w:r w:rsidR="002D03B3">
        <w:t> </w:t>
      </w:r>
      <w:r w:rsidRPr="002F242C">
        <w:t>should include those activities that ITU as an administrative organization produces and will continue to produce in the relevant 4-year period of the Plan as part of its implementation and in direct connection with the goals and priorities.</w:t>
      </w:r>
    </w:p>
    <w:p w14:paraId="3873643B" w14:textId="05B2DF90" w:rsidR="002F242C" w:rsidRPr="002F242C" w:rsidRDefault="002F242C" w:rsidP="0074157B">
      <w:pPr>
        <w:pStyle w:val="enumlev1"/>
        <w:spacing w:before="60"/>
      </w:pPr>
      <w:r w:rsidRPr="002F242C">
        <w:t>–</w:t>
      </w:r>
      <w:r w:rsidRPr="002F242C">
        <w:tab/>
        <w:t xml:space="preserve">The proposed indicators should reflect Document </w:t>
      </w:r>
      <w:hyperlink r:id="rId17" w:history="1">
        <w:r w:rsidRPr="003438F0">
          <w:rPr>
            <w:rStyle w:val="Hyperlink"/>
          </w:rPr>
          <w:t>CWG-SFP-3/7</w:t>
        </w:r>
      </w:hyperlink>
      <w:r w:rsidRPr="002F242C">
        <w:t xml:space="preserve">, specifically: </w:t>
      </w:r>
    </w:p>
    <w:p w14:paraId="3DD903A0" w14:textId="555655FE" w:rsidR="002F242C" w:rsidRPr="002F242C" w:rsidRDefault="00344040" w:rsidP="0074157B">
      <w:pPr>
        <w:pStyle w:val="enumlev2"/>
        <w:spacing w:before="60"/>
        <w:jc w:val="both"/>
      </w:pPr>
      <w:r>
        <w:t>•</w:t>
      </w:r>
      <w:r w:rsidR="002F242C" w:rsidRPr="002F242C">
        <w:tab/>
        <w:t xml:space="preserve">Impact Indicators should focus on changes to people’s lives achieved as an end result of ITU’s work and influence; </w:t>
      </w:r>
    </w:p>
    <w:p w14:paraId="496CE2F2" w14:textId="71EE7978" w:rsidR="002F242C" w:rsidRPr="002F242C" w:rsidRDefault="00344040" w:rsidP="0074157B">
      <w:pPr>
        <w:pStyle w:val="enumlev2"/>
        <w:spacing w:before="60"/>
        <w:jc w:val="both"/>
      </w:pPr>
      <w:r>
        <w:t>•</w:t>
      </w:r>
      <w:r w:rsidR="002F242C" w:rsidRPr="002F242C">
        <w:tab/>
        <w:t xml:space="preserve">Outcome Indicators are appropriate for measuring changes in institutional and behavioural capacities of the Membership again achieved as an end result of ITU’s work and influence. </w:t>
      </w:r>
    </w:p>
    <w:p w14:paraId="714B453D" w14:textId="3E8FD7DB" w:rsidR="002F242C" w:rsidRPr="002F242C" w:rsidRDefault="002F242C" w:rsidP="0074157B">
      <w:pPr>
        <w:pStyle w:val="enumlev1"/>
        <w:spacing w:before="60"/>
        <w:jc w:val="both"/>
      </w:pPr>
      <w:r w:rsidRPr="002F242C">
        <w:t>–</w:t>
      </w:r>
      <w:r w:rsidRPr="002F242C">
        <w:tab/>
        <w:t>The indicators should be already available within ITU or in other organizations of the UN system and should not require additional ITU financial or human resources to obtain, assess or apply the relevant data.</w:t>
      </w:r>
    </w:p>
    <w:p w14:paraId="06BF6780" w14:textId="77777777" w:rsidR="007A3FCD" w:rsidRPr="002F242C" w:rsidRDefault="007A3FCD" w:rsidP="0074157B">
      <w:pPr>
        <w:spacing w:before="0"/>
        <w:jc w:val="center"/>
      </w:pPr>
      <w:r w:rsidRPr="002F242C">
        <w:t>______________</w:t>
      </w:r>
    </w:p>
    <w:sectPr w:rsidR="007A3FCD" w:rsidRPr="002F242C" w:rsidSect="00AD3606">
      <w:headerReference w:type="even" r:id="rId18"/>
      <w:headerReference w:type="default" r:id="rId19"/>
      <w:footerReference w:type="even" r:id="rId20"/>
      <w:footerReference w:type="default" r:id="rId21"/>
      <w:headerReference w:type="first" r:id="rId22"/>
      <w:footerReference w:type="first" r:id="rId2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C478" w14:textId="77777777" w:rsidR="00B51BD6" w:rsidRDefault="00B51BD6">
      <w:r>
        <w:separator/>
      </w:r>
    </w:p>
  </w:endnote>
  <w:endnote w:type="continuationSeparator" w:id="0">
    <w:p w14:paraId="203C8F72" w14:textId="77777777" w:rsidR="00B51BD6" w:rsidRDefault="00B5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782E" w14:textId="77777777" w:rsidR="002C1135" w:rsidRDefault="002C1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D182D27" w14:textId="77777777" w:rsidTr="0042469C">
      <w:trPr>
        <w:jc w:val="center"/>
      </w:trPr>
      <w:tc>
        <w:tcPr>
          <w:tcW w:w="1803" w:type="dxa"/>
          <w:vAlign w:val="center"/>
        </w:tcPr>
        <w:p w14:paraId="18093D68" w14:textId="77777777" w:rsidR="00EE49E8" w:rsidRDefault="00C6520B" w:rsidP="00EE49E8">
          <w:pPr>
            <w:pStyle w:val="Header"/>
            <w:jc w:val="left"/>
            <w:rPr>
              <w:noProof/>
            </w:rPr>
          </w:pPr>
          <w:r>
            <w:rPr>
              <w:noProof/>
            </w:rPr>
            <w:t>gDoc #</w:t>
          </w:r>
        </w:p>
      </w:tc>
      <w:tc>
        <w:tcPr>
          <w:tcW w:w="8261" w:type="dxa"/>
        </w:tcPr>
        <w:p w14:paraId="35857CF9" w14:textId="091C284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302443">
            <w:rPr>
              <w:bCs/>
            </w:rPr>
            <w:t>8</w:t>
          </w:r>
          <w:r w:rsidR="002C1135">
            <w:rPr>
              <w:bCs/>
            </w:rPr>
            <w:t>3</w:t>
          </w:r>
          <w:r w:rsidRPr="00623AE3">
            <w:rPr>
              <w:bCs/>
            </w:rPr>
            <w:t>-E</w:t>
          </w:r>
          <w:r>
            <w:rPr>
              <w:bCs/>
            </w:rPr>
            <w:tab/>
          </w:r>
          <w:r>
            <w:fldChar w:fldCharType="begin"/>
          </w:r>
          <w:r>
            <w:instrText>PAGE</w:instrText>
          </w:r>
          <w:r>
            <w:fldChar w:fldCharType="separate"/>
          </w:r>
          <w:r>
            <w:t>1</w:t>
          </w:r>
          <w:r>
            <w:rPr>
              <w:noProof/>
            </w:rPr>
            <w:fldChar w:fldCharType="end"/>
          </w:r>
        </w:p>
      </w:tc>
    </w:tr>
  </w:tbl>
  <w:p w14:paraId="03892310"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0235AD07" w14:textId="77777777" w:rsidTr="006B77F1">
      <w:trPr>
        <w:jc w:val="center"/>
      </w:trPr>
      <w:tc>
        <w:tcPr>
          <w:tcW w:w="1803" w:type="dxa"/>
          <w:vAlign w:val="center"/>
        </w:tcPr>
        <w:p w14:paraId="079226C8"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0CE682D4" w14:textId="425E4CD4"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302443">
            <w:rPr>
              <w:bCs/>
            </w:rPr>
            <w:t>8</w:t>
          </w:r>
          <w:r w:rsidR="002C1135">
            <w:rPr>
              <w:bCs/>
            </w:rPr>
            <w:t>3</w:t>
          </w:r>
          <w:r w:rsidRPr="00623AE3">
            <w:rPr>
              <w:bCs/>
            </w:rPr>
            <w:t>-E</w:t>
          </w:r>
          <w:r>
            <w:rPr>
              <w:bCs/>
            </w:rPr>
            <w:tab/>
          </w:r>
          <w:r>
            <w:fldChar w:fldCharType="begin"/>
          </w:r>
          <w:r>
            <w:instrText>PAGE</w:instrText>
          </w:r>
          <w:r>
            <w:fldChar w:fldCharType="separate"/>
          </w:r>
          <w:r>
            <w:t>1</w:t>
          </w:r>
          <w:r>
            <w:rPr>
              <w:noProof/>
            </w:rPr>
            <w:fldChar w:fldCharType="end"/>
          </w:r>
        </w:p>
      </w:tc>
    </w:tr>
  </w:tbl>
  <w:p w14:paraId="603B86E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1C7A" w14:textId="77777777" w:rsidR="00B51BD6" w:rsidRDefault="00B51BD6">
      <w:r>
        <w:t>____________________</w:t>
      </w:r>
    </w:p>
  </w:footnote>
  <w:footnote w:type="continuationSeparator" w:id="0">
    <w:p w14:paraId="7095790D" w14:textId="77777777" w:rsidR="00B51BD6" w:rsidRDefault="00B5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2821" w14:textId="77777777" w:rsidR="002C1135" w:rsidRDefault="002C1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6AB2" w14:textId="77777777" w:rsidR="002C1135" w:rsidRDefault="002C1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7259"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AF60874"/>
    <w:multiLevelType w:val="hybridMultilevel"/>
    <w:tmpl w:val="65CE0B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CED708E"/>
    <w:multiLevelType w:val="hybridMultilevel"/>
    <w:tmpl w:val="A600D1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103920381">
    <w:abstractNumId w:val="2"/>
  </w:num>
  <w:num w:numId="3" w16cid:durableId="2060545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D6"/>
    <w:rsid w:val="000210D4"/>
    <w:rsid w:val="00047E7E"/>
    <w:rsid w:val="0006007D"/>
    <w:rsid w:val="00063016"/>
    <w:rsid w:val="000659A2"/>
    <w:rsid w:val="00066795"/>
    <w:rsid w:val="00076AF6"/>
    <w:rsid w:val="00085CF2"/>
    <w:rsid w:val="00086680"/>
    <w:rsid w:val="000B1705"/>
    <w:rsid w:val="000D75B2"/>
    <w:rsid w:val="000E372C"/>
    <w:rsid w:val="000F5DDB"/>
    <w:rsid w:val="001121F5"/>
    <w:rsid w:val="001400DC"/>
    <w:rsid w:val="00140CE1"/>
    <w:rsid w:val="0015189A"/>
    <w:rsid w:val="0017539C"/>
    <w:rsid w:val="00175AC2"/>
    <w:rsid w:val="0017609F"/>
    <w:rsid w:val="00176F47"/>
    <w:rsid w:val="0019674C"/>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135"/>
    <w:rsid w:val="002C1C7A"/>
    <w:rsid w:val="002C3F32"/>
    <w:rsid w:val="002C54E2"/>
    <w:rsid w:val="002D03B3"/>
    <w:rsid w:val="002F242C"/>
    <w:rsid w:val="0030160F"/>
    <w:rsid w:val="00302443"/>
    <w:rsid w:val="00320223"/>
    <w:rsid w:val="00322D0D"/>
    <w:rsid w:val="003438F0"/>
    <w:rsid w:val="00344040"/>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25296"/>
    <w:rsid w:val="00534AF9"/>
    <w:rsid w:val="00564FBC"/>
    <w:rsid w:val="005800BC"/>
    <w:rsid w:val="00582442"/>
    <w:rsid w:val="005A7545"/>
    <w:rsid w:val="005F3269"/>
    <w:rsid w:val="0061071E"/>
    <w:rsid w:val="00623AE3"/>
    <w:rsid w:val="00627E4F"/>
    <w:rsid w:val="0064737F"/>
    <w:rsid w:val="006535F1"/>
    <w:rsid w:val="0065557D"/>
    <w:rsid w:val="00660D50"/>
    <w:rsid w:val="00662984"/>
    <w:rsid w:val="006716BB"/>
    <w:rsid w:val="006A2F4B"/>
    <w:rsid w:val="006B1859"/>
    <w:rsid w:val="006B6680"/>
    <w:rsid w:val="006B6DCC"/>
    <w:rsid w:val="006B77F1"/>
    <w:rsid w:val="006C516C"/>
    <w:rsid w:val="00702DEF"/>
    <w:rsid w:val="00706861"/>
    <w:rsid w:val="00722551"/>
    <w:rsid w:val="0074157B"/>
    <w:rsid w:val="0075051B"/>
    <w:rsid w:val="00765C89"/>
    <w:rsid w:val="0077110E"/>
    <w:rsid w:val="00793188"/>
    <w:rsid w:val="00794D34"/>
    <w:rsid w:val="007A3FCD"/>
    <w:rsid w:val="007B19CF"/>
    <w:rsid w:val="007B2A02"/>
    <w:rsid w:val="007D01AF"/>
    <w:rsid w:val="008058D4"/>
    <w:rsid w:val="00813E5E"/>
    <w:rsid w:val="0083581B"/>
    <w:rsid w:val="0084546D"/>
    <w:rsid w:val="00863874"/>
    <w:rsid w:val="00864AFF"/>
    <w:rsid w:val="00865925"/>
    <w:rsid w:val="008B4A6A"/>
    <w:rsid w:val="008C7E27"/>
    <w:rsid w:val="008F7448"/>
    <w:rsid w:val="0090147A"/>
    <w:rsid w:val="009173EF"/>
    <w:rsid w:val="00932906"/>
    <w:rsid w:val="00954C49"/>
    <w:rsid w:val="00961B0B"/>
    <w:rsid w:val="00962D33"/>
    <w:rsid w:val="009842A1"/>
    <w:rsid w:val="009A76A8"/>
    <w:rsid w:val="009B38C3"/>
    <w:rsid w:val="009E17BD"/>
    <w:rsid w:val="009E485A"/>
    <w:rsid w:val="00A04CEC"/>
    <w:rsid w:val="00A109AF"/>
    <w:rsid w:val="00A27F92"/>
    <w:rsid w:val="00A32257"/>
    <w:rsid w:val="00A36D20"/>
    <w:rsid w:val="00A514A4"/>
    <w:rsid w:val="00A55622"/>
    <w:rsid w:val="00A83502"/>
    <w:rsid w:val="00A94BAB"/>
    <w:rsid w:val="00AD15B3"/>
    <w:rsid w:val="00AD3606"/>
    <w:rsid w:val="00AD4A3D"/>
    <w:rsid w:val="00AF6E49"/>
    <w:rsid w:val="00B04A67"/>
    <w:rsid w:val="00B0583C"/>
    <w:rsid w:val="00B40A81"/>
    <w:rsid w:val="00B44910"/>
    <w:rsid w:val="00B51BD6"/>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A6393"/>
    <w:rsid w:val="00CA7995"/>
    <w:rsid w:val="00CB18FF"/>
    <w:rsid w:val="00CD0C08"/>
    <w:rsid w:val="00CE03FB"/>
    <w:rsid w:val="00CE433C"/>
    <w:rsid w:val="00CF0161"/>
    <w:rsid w:val="00CF33F3"/>
    <w:rsid w:val="00CF4A2B"/>
    <w:rsid w:val="00D024CA"/>
    <w:rsid w:val="00D06183"/>
    <w:rsid w:val="00D22C42"/>
    <w:rsid w:val="00D65041"/>
    <w:rsid w:val="00D94471"/>
    <w:rsid w:val="00DB1936"/>
    <w:rsid w:val="00DB384B"/>
    <w:rsid w:val="00DE532B"/>
    <w:rsid w:val="00DF0189"/>
    <w:rsid w:val="00E06FD5"/>
    <w:rsid w:val="00E10E80"/>
    <w:rsid w:val="00E124F0"/>
    <w:rsid w:val="00E227F3"/>
    <w:rsid w:val="00E448B1"/>
    <w:rsid w:val="00E45BDA"/>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632C0"/>
    <w:rsid w:val="00F641E1"/>
    <w:rsid w:val="00F94A63"/>
    <w:rsid w:val="00FA1C28"/>
    <w:rsid w:val="00FA2D7B"/>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2A3EB"/>
  <w15:docId w15:val="{FB2B348C-67B7-45A3-AB21-18E8F8CF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2F2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Constitution-E.pdf" TargetMode="External"/><Relationship Id="rId13" Type="http://schemas.openxmlformats.org/officeDocument/2006/relationships/hyperlink" Target="https://www.itu.int/md/S26-CWGSFP4-C-0002/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5-CWGSFP3-C-0007/en" TargetMode="External"/><Relationship Id="rId17" Type="http://schemas.openxmlformats.org/officeDocument/2006/relationships/hyperlink" Target="https://www.itu.int/md/S25-CWGSFP3-C-0007/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6-CWGSFP4-C-0002/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WGSFP3-C-0006/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5-CWGSFP3-C-0006/en" TargetMode="External"/><Relationship Id="rId23" Type="http://schemas.openxmlformats.org/officeDocument/2006/relationships/footer" Target="footer3.xml"/><Relationship Id="rId10" Type="http://schemas.openxmlformats.org/officeDocument/2006/relationships/hyperlink" Target="https://www.itu.int/en/council/Documents/basic-texts-2023/RES-071-E.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en/council/Documents/basic-texts-2023/Convention-E.pdf" TargetMode="External"/><Relationship Id="rId14" Type="http://schemas.openxmlformats.org/officeDocument/2006/relationships/hyperlink" Target="https://www.itu.int/md/S25-CWGSFP3-C-0006/en"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1</TotalTime>
  <Pages>4</Pages>
  <Words>1862</Words>
  <Characters>11028</Characters>
  <Application>Microsoft Office Word</Application>
  <DocSecurity>0</DocSecurity>
  <Lines>169</Lines>
  <Paragraphs>42</Paragraphs>
  <ScaleCrop>false</ScaleCrop>
  <HeadingPairs>
    <vt:vector size="2" baseType="variant">
      <vt:variant>
        <vt:lpstr>Title</vt:lpstr>
      </vt:variant>
      <vt:variant>
        <vt:i4>1</vt:i4>
      </vt:variant>
    </vt:vector>
  </HeadingPairs>
  <TitlesOfParts>
    <vt:vector size="1" baseType="lpstr">
      <vt:lpstr>Draft ITU Strategic Plan for 2028-2031</vt:lpstr>
    </vt:vector>
  </TitlesOfParts>
  <Manager>General Secretariat</Manager>
  <Company>International Telecommunication Union (ITU)</Company>
  <LinksUpToDate>false</LinksUpToDate>
  <CharactersWithSpaces>12848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ITU Strategic Plan for 2028-2031</dc:title>
  <dc:subject>ITU Council 2026</dc:subject>
  <cp:keywords>C26; C2026; Council 2026; PP26</cp:keywords>
  <dc:description/>
  <cp:lastPrinted>2000-07-18T13:30:00Z</cp:lastPrinted>
  <dcterms:created xsi:type="dcterms:W3CDTF">2026-04-21T13:10:00Z</dcterms:created>
  <dcterms:modified xsi:type="dcterms:W3CDTF">2026-04-21T13:11:00Z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