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E24D59" w:rsidRPr="00E24D59" w14:paraId="0AE1AB49" w14:textId="77777777" w:rsidTr="00555C29">
        <w:trPr>
          <w:cantSplit/>
          <w:trHeight w:val="23"/>
        </w:trPr>
        <w:tc>
          <w:tcPr>
            <w:tcW w:w="3969" w:type="dxa"/>
            <w:vMerge w:val="restart"/>
            <w:tcMar>
              <w:left w:w="0" w:type="dxa"/>
            </w:tcMar>
          </w:tcPr>
          <w:p w14:paraId="4D913AA9" w14:textId="13DD8421" w:rsidR="00E24D59" w:rsidRPr="00E24D59" w:rsidRDefault="00E24D59" w:rsidP="00555C29">
            <w:pPr>
              <w:tabs>
                <w:tab w:val="left" w:pos="851"/>
              </w:tabs>
              <w:spacing w:before="0" w:line="240" w:lineRule="atLeast"/>
              <w:rPr>
                <w:b/>
                <w:bCs/>
              </w:rPr>
            </w:pPr>
            <w:bookmarkStart w:id="0" w:name="dmeeting" w:colFirst="0" w:colLast="0"/>
            <w:bookmarkStart w:id="1" w:name="dnum" w:colFirst="1" w:colLast="1"/>
            <w:bookmarkStart w:id="2" w:name="_Hlk133421839"/>
            <w:proofErr w:type="spellStart"/>
            <w:r w:rsidRPr="00E24D59">
              <w:rPr>
                <w:rFonts w:cstheme="minorHAnsi" w:hint="eastAsia"/>
                <w:b/>
                <w:bCs/>
                <w:lang w:val="ru-RU"/>
              </w:rPr>
              <w:t>议项</w:t>
            </w:r>
            <w:proofErr w:type="spellEnd"/>
            <w:r w:rsidRPr="00E24D59">
              <w:rPr>
                <w:rFonts w:cstheme="minorHAnsi" w:hint="eastAsia"/>
                <w:b/>
                <w:bCs/>
                <w:lang w:val="ru-RU"/>
              </w:rPr>
              <w:t>：</w:t>
            </w:r>
            <w:r w:rsidR="004109A5" w:rsidRPr="004109A5">
              <w:rPr>
                <w:rFonts w:cstheme="minorHAnsi"/>
                <w:b/>
                <w:bCs/>
              </w:rPr>
              <w:t>ADM 1</w:t>
            </w:r>
          </w:p>
        </w:tc>
        <w:tc>
          <w:tcPr>
            <w:tcW w:w="5245" w:type="dxa"/>
          </w:tcPr>
          <w:p w14:paraId="578455F0" w14:textId="488139C0" w:rsidR="00E24D59" w:rsidRPr="00E24D59" w:rsidRDefault="00E24D59" w:rsidP="00555C29">
            <w:pPr>
              <w:tabs>
                <w:tab w:val="left" w:pos="851"/>
              </w:tabs>
              <w:spacing w:before="0" w:line="240" w:lineRule="atLeast"/>
              <w:jc w:val="right"/>
              <w:rPr>
                <w:b/>
                <w:lang w:val="fr-CH"/>
              </w:rPr>
            </w:pPr>
            <w:proofErr w:type="spellStart"/>
            <w:r w:rsidRPr="00E24D59">
              <w:rPr>
                <w:rFonts w:cstheme="minorHAnsi"/>
                <w:b/>
                <w:bCs/>
                <w:lang w:val="ru-RU"/>
              </w:rPr>
              <w:t>文件</w:t>
            </w:r>
            <w:proofErr w:type="spellEnd"/>
            <w:r>
              <w:rPr>
                <w:rFonts w:cstheme="minorHAnsi" w:hint="eastAsia"/>
                <w:b/>
                <w:bCs/>
                <w:lang w:val="ru-RU"/>
              </w:rPr>
              <w:t xml:space="preserve"> </w:t>
            </w:r>
            <w:proofErr w:type="spellStart"/>
            <w:r w:rsidRPr="00E24D59">
              <w:rPr>
                <w:b/>
                <w:lang w:val="fr-CH"/>
              </w:rPr>
              <w:t>C2</w:t>
            </w:r>
            <w:r w:rsidR="00B91673">
              <w:rPr>
                <w:b/>
                <w:lang w:val="fr-CH"/>
              </w:rPr>
              <w:t>6</w:t>
            </w:r>
            <w:proofErr w:type="spellEnd"/>
            <w:r w:rsidRPr="00E24D59">
              <w:rPr>
                <w:b/>
                <w:lang w:val="fr-CH"/>
              </w:rPr>
              <w:t>/</w:t>
            </w:r>
            <w:r w:rsidR="00743DB7">
              <w:rPr>
                <w:b/>
              </w:rPr>
              <w:t>83</w:t>
            </w:r>
            <w:r w:rsidRPr="00E24D59">
              <w:rPr>
                <w:b/>
                <w:lang w:val="fr-CH"/>
              </w:rPr>
              <w:t>-C</w:t>
            </w:r>
          </w:p>
        </w:tc>
      </w:tr>
      <w:tr w:rsidR="00E24D59" w:rsidRPr="00813E5E" w14:paraId="469BFB7D" w14:textId="77777777" w:rsidTr="00555C29">
        <w:trPr>
          <w:cantSplit/>
        </w:trPr>
        <w:tc>
          <w:tcPr>
            <w:tcW w:w="3969" w:type="dxa"/>
            <w:vMerge/>
          </w:tcPr>
          <w:p w14:paraId="0E74D3DC" w14:textId="77777777" w:rsidR="00E24D59" w:rsidRPr="00E24D59" w:rsidRDefault="00E24D59" w:rsidP="00555C29">
            <w:pPr>
              <w:tabs>
                <w:tab w:val="left" w:pos="851"/>
              </w:tabs>
              <w:spacing w:line="240" w:lineRule="atLeast"/>
              <w:rPr>
                <w:b/>
                <w:lang w:val="fr-CH"/>
              </w:rPr>
            </w:pPr>
            <w:bookmarkStart w:id="3" w:name="ddate" w:colFirst="1" w:colLast="1"/>
            <w:bookmarkEnd w:id="0"/>
            <w:bookmarkEnd w:id="1"/>
          </w:p>
        </w:tc>
        <w:tc>
          <w:tcPr>
            <w:tcW w:w="5245" w:type="dxa"/>
          </w:tcPr>
          <w:p w14:paraId="32F04536" w14:textId="0D026773" w:rsidR="00E24D59" w:rsidRPr="00E85629" w:rsidRDefault="004109A5" w:rsidP="00555C29">
            <w:pPr>
              <w:tabs>
                <w:tab w:val="left" w:pos="851"/>
              </w:tabs>
              <w:spacing w:before="0"/>
              <w:jc w:val="right"/>
              <w:rPr>
                <w:b/>
              </w:rPr>
            </w:pPr>
            <w:r>
              <w:rPr>
                <w:rFonts w:hint="eastAsia"/>
                <w:b/>
                <w:lang w:eastAsia="zh-CN"/>
              </w:rPr>
              <w:t>2026</w:t>
            </w:r>
            <w:r>
              <w:rPr>
                <w:rFonts w:hint="eastAsia"/>
                <w:b/>
                <w:lang w:eastAsia="zh-CN"/>
              </w:rPr>
              <w:t>年</w:t>
            </w:r>
            <w:r w:rsidR="00C0775D">
              <w:rPr>
                <w:b/>
                <w:lang w:eastAsia="zh-CN"/>
              </w:rPr>
              <w:t>4</w:t>
            </w:r>
            <w:r>
              <w:rPr>
                <w:rFonts w:hint="eastAsia"/>
                <w:b/>
                <w:lang w:eastAsia="zh-CN"/>
              </w:rPr>
              <w:t>月</w:t>
            </w:r>
            <w:r w:rsidR="00C0775D">
              <w:rPr>
                <w:b/>
                <w:lang w:eastAsia="zh-CN"/>
              </w:rPr>
              <w:t>14</w:t>
            </w:r>
            <w:r>
              <w:rPr>
                <w:rFonts w:hint="eastAsia"/>
                <w:b/>
                <w:lang w:eastAsia="zh-CN"/>
              </w:rPr>
              <w:t>日</w:t>
            </w:r>
          </w:p>
        </w:tc>
      </w:tr>
      <w:tr w:rsidR="00E24D59" w:rsidRPr="00813E5E" w14:paraId="68DA8D07" w14:textId="77777777" w:rsidTr="00555C29">
        <w:trPr>
          <w:cantSplit/>
          <w:trHeight w:val="23"/>
        </w:trPr>
        <w:tc>
          <w:tcPr>
            <w:tcW w:w="3969" w:type="dxa"/>
            <w:vMerge/>
          </w:tcPr>
          <w:p w14:paraId="690BC033" w14:textId="77777777" w:rsidR="00E24D59" w:rsidRPr="00813E5E" w:rsidRDefault="00E24D59" w:rsidP="00555C29">
            <w:pPr>
              <w:tabs>
                <w:tab w:val="left" w:pos="851"/>
              </w:tabs>
              <w:spacing w:line="240" w:lineRule="atLeast"/>
              <w:rPr>
                <w:b/>
              </w:rPr>
            </w:pPr>
            <w:bookmarkStart w:id="4" w:name="dorlang" w:colFirst="1" w:colLast="1"/>
            <w:bookmarkEnd w:id="3"/>
          </w:p>
        </w:tc>
        <w:tc>
          <w:tcPr>
            <w:tcW w:w="5245" w:type="dxa"/>
          </w:tcPr>
          <w:p w14:paraId="02D963E9" w14:textId="0CE18914" w:rsidR="00E24D59" w:rsidRPr="00E85629" w:rsidRDefault="00E24D59" w:rsidP="00555C29">
            <w:pPr>
              <w:tabs>
                <w:tab w:val="left" w:pos="851"/>
              </w:tabs>
              <w:spacing w:before="0" w:line="240" w:lineRule="atLeast"/>
              <w:jc w:val="right"/>
              <w:rPr>
                <w:b/>
                <w:lang w:eastAsia="zh-CN"/>
              </w:rPr>
            </w:pPr>
            <w:proofErr w:type="spellStart"/>
            <w:r w:rsidRPr="00E24D59">
              <w:rPr>
                <w:rFonts w:cstheme="minorHAnsi"/>
                <w:b/>
                <w:bCs/>
                <w:lang w:val="ru-RU"/>
              </w:rPr>
              <w:t>原文：</w:t>
            </w:r>
            <w:r w:rsidR="00594451" w:rsidRPr="00594451">
              <w:rPr>
                <w:rFonts w:cstheme="minorHAnsi" w:hint="eastAsia"/>
                <w:b/>
                <w:bCs/>
                <w:lang w:val="ru-RU"/>
              </w:rPr>
              <w:t>英文</w:t>
            </w:r>
            <w:proofErr w:type="spellEnd"/>
          </w:p>
        </w:tc>
      </w:tr>
      <w:tr w:rsidR="00E24D59" w:rsidRPr="00813E5E" w14:paraId="22BFFF9B" w14:textId="77777777" w:rsidTr="00555C29">
        <w:trPr>
          <w:cantSplit/>
          <w:trHeight w:val="23"/>
        </w:trPr>
        <w:tc>
          <w:tcPr>
            <w:tcW w:w="3969" w:type="dxa"/>
          </w:tcPr>
          <w:p w14:paraId="236125E8" w14:textId="77777777" w:rsidR="00E24D59" w:rsidRPr="00813E5E" w:rsidRDefault="00E24D59" w:rsidP="00555C29">
            <w:pPr>
              <w:tabs>
                <w:tab w:val="left" w:pos="851"/>
              </w:tabs>
              <w:spacing w:line="240" w:lineRule="atLeast"/>
              <w:rPr>
                <w:b/>
              </w:rPr>
            </w:pPr>
          </w:p>
        </w:tc>
        <w:tc>
          <w:tcPr>
            <w:tcW w:w="5245" w:type="dxa"/>
          </w:tcPr>
          <w:p w14:paraId="60F7F006" w14:textId="77777777" w:rsidR="00E24D59" w:rsidRDefault="00E24D59" w:rsidP="00555C29">
            <w:pPr>
              <w:tabs>
                <w:tab w:val="left" w:pos="851"/>
              </w:tabs>
              <w:spacing w:before="0" w:line="240" w:lineRule="atLeast"/>
              <w:jc w:val="right"/>
              <w:rPr>
                <w:b/>
              </w:rPr>
            </w:pPr>
          </w:p>
        </w:tc>
      </w:tr>
      <w:tr w:rsidR="00E24D59" w:rsidRPr="00813E5E" w14:paraId="18ACBB0F" w14:textId="77777777" w:rsidTr="00555C29">
        <w:trPr>
          <w:cantSplit/>
        </w:trPr>
        <w:tc>
          <w:tcPr>
            <w:tcW w:w="9214" w:type="dxa"/>
            <w:gridSpan w:val="2"/>
            <w:tcMar>
              <w:left w:w="0" w:type="dxa"/>
            </w:tcMar>
          </w:tcPr>
          <w:p w14:paraId="3ABDA697" w14:textId="254DF268" w:rsidR="00E24D59" w:rsidRPr="00C24DAC" w:rsidRDefault="00743DB7" w:rsidP="00C24DAC">
            <w:pPr>
              <w:pStyle w:val="Source"/>
              <w:framePr w:hSpace="0" w:wrap="auto" w:vAnchor="margin" w:hAnchor="text" w:xAlign="left" w:yAlign="inline"/>
            </w:pPr>
            <w:bookmarkStart w:id="5" w:name="dsource" w:colFirst="0" w:colLast="0"/>
            <w:bookmarkEnd w:id="4"/>
            <w:r w:rsidRPr="00546268">
              <w:rPr>
                <w:rFonts w:hint="eastAsia"/>
              </w:rPr>
              <w:t>保加利亚（共和国）、法国和意大利的文稿</w:t>
            </w:r>
          </w:p>
        </w:tc>
      </w:tr>
      <w:tr w:rsidR="00E24D59" w:rsidRPr="009470DE" w14:paraId="16684289" w14:textId="77777777" w:rsidTr="00555C29">
        <w:trPr>
          <w:cantSplit/>
        </w:trPr>
        <w:tc>
          <w:tcPr>
            <w:tcW w:w="9214" w:type="dxa"/>
            <w:gridSpan w:val="2"/>
            <w:tcMar>
              <w:left w:w="0" w:type="dxa"/>
            </w:tcMar>
          </w:tcPr>
          <w:p w14:paraId="3590FDE0" w14:textId="4BD36225" w:rsidR="00E24D59" w:rsidRPr="00C24DAC" w:rsidRDefault="00743DB7" w:rsidP="00C24DAC">
            <w:pPr>
              <w:pStyle w:val="Subtitle"/>
              <w:framePr w:hSpace="0" w:wrap="auto" w:vAnchor="margin" w:hAnchor="text" w:xAlign="left" w:yAlign="inline"/>
            </w:pPr>
            <w:bookmarkStart w:id="6" w:name="dtitle1" w:colFirst="0" w:colLast="0"/>
            <w:bookmarkEnd w:id="5"/>
            <w:r>
              <w:rPr>
                <w:rFonts w:hint="eastAsia"/>
              </w:rPr>
              <w:t>国际电联</w:t>
            </w:r>
            <w:r w:rsidRPr="002F242C">
              <w:t>2028-2031</w:t>
            </w:r>
            <w:r>
              <w:rPr>
                <w:rFonts w:hint="eastAsia"/>
              </w:rPr>
              <w:t>年战略规划草案</w:t>
            </w:r>
          </w:p>
        </w:tc>
      </w:tr>
      <w:tr w:rsidR="00E24D59" w:rsidRPr="00813E5E" w14:paraId="5D14FC72" w14:textId="77777777" w:rsidTr="00555C29">
        <w:trPr>
          <w:cantSplit/>
        </w:trPr>
        <w:tc>
          <w:tcPr>
            <w:tcW w:w="9214" w:type="dxa"/>
            <w:gridSpan w:val="2"/>
            <w:tcBorders>
              <w:top w:val="single" w:sz="4" w:space="0" w:color="auto"/>
              <w:bottom w:val="single" w:sz="4" w:space="0" w:color="auto"/>
            </w:tcBorders>
            <w:tcMar>
              <w:left w:w="0" w:type="dxa"/>
            </w:tcMar>
          </w:tcPr>
          <w:p w14:paraId="38CD322D" w14:textId="694C3807" w:rsidR="003F086E" w:rsidRPr="00E60ECF" w:rsidRDefault="003F086E" w:rsidP="00555C29">
            <w:pPr>
              <w:rPr>
                <w:rFonts w:cs="Calibri"/>
                <w:b/>
                <w:bCs/>
                <w:lang w:eastAsia="zh-CN"/>
              </w:rPr>
            </w:pPr>
            <w:r w:rsidRPr="00E60ECF">
              <w:rPr>
                <w:rFonts w:cs="Calibri"/>
                <w:b/>
                <w:bCs/>
                <w:lang w:eastAsia="zh-CN"/>
              </w:rPr>
              <w:t>目的</w:t>
            </w:r>
          </w:p>
          <w:p w14:paraId="7D801708" w14:textId="77777777" w:rsidR="00743DB7" w:rsidRPr="002F242C" w:rsidRDefault="00743DB7" w:rsidP="00743DB7">
            <w:pPr>
              <w:ind w:firstLineChars="200" w:firstLine="480"/>
              <w:rPr>
                <w:lang w:eastAsia="zh-CN"/>
              </w:rPr>
            </w:pPr>
            <w:r w:rsidRPr="00546268">
              <w:rPr>
                <w:rFonts w:hint="eastAsia"/>
                <w:lang w:eastAsia="zh-CN"/>
              </w:rPr>
              <w:t>编写本文稿是为了介绍共同签署国对《国际电联</w:t>
            </w:r>
            <w:r w:rsidRPr="00546268">
              <w:rPr>
                <w:rFonts w:hint="eastAsia"/>
                <w:lang w:eastAsia="zh-CN"/>
              </w:rPr>
              <w:t>2028-2031</w:t>
            </w:r>
            <w:r w:rsidRPr="00546268">
              <w:rPr>
                <w:rFonts w:hint="eastAsia"/>
                <w:lang w:eastAsia="zh-CN"/>
              </w:rPr>
              <w:t>年战略规划》草案的意见。</w:t>
            </w:r>
          </w:p>
          <w:p w14:paraId="36008EB5" w14:textId="77777777" w:rsidR="00743DB7" w:rsidRPr="002F242C" w:rsidRDefault="00743DB7" w:rsidP="00743DB7">
            <w:pPr>
              <w:spacing w:before="160"/>
              <w:rPr>
                <w:b/>
                <w:bCs/>
                <w:sz w:val="26"/>
                <w:szCs w:val="26"/>
                <w:lang w:eastAsia="zh-CN"/>
              </w:rPr>
            </w:pPr>
            <w:r>
              <w:rPr>
                <w:rFonts w:hint="eastAsia"/>
                <w:b/>
                <w:bCs/>
                <w:sz w:val="26"/>
                <w:szCs w:val="26"/>
                <w:lang w:eastAsia="zh-CN"/>
              </w:rPr>
              <w:t>理事会需采取的行动</w:t>
            </w:r>
          </w:p>
          <w:p w14:paraId="7D00896E" w14:textId="0F4BC662" w:rsidR="00C0775D" w:rsidRDefault="00743DB7" w:rsidP="00C0775D">
            <w:pPr>
              <w:ind w:firstLineChars="200" w:firstLine="480"/>
              <w:jc w:val="both"/>
              <w:rPr>
                <w:lang w:eastAsia="zh-CN"/>
              </w:rPr>
            </w:pPr>
            <w:r w:rsidRPr="00546268">
              <w:rPr>
                <w:rFonts w:hint="eastAsia"/>
                <w:lang w:eastAsia="zh-CN"/>
              </w:rPr>
              <w:t>请理事会</w:t>
            </w:r>
            <w:r w:rsidRPr="00546268">
              <w:rPr>
                <w:rFonts w:hint="eastAsia"/>
                <w:b/>
                <w:bCs/>
                <w:lang w:eastAsia="zh-CN"/>
              </w:rPr>
              <w:t>审议</w:t>
            </w:r>
            <w:r>
              <w:rPr>
                <w:rFonts w:hint="eastAsia"/>
                <w:lang w:eastAsia="zh-CN"/>
              </w:rPr>
              <w:t>本</w:t>
            </w:r>
            <w:r w:rsidRPr="00546268">
              <w:rPr>
                <w:rFonts w:hint="eastAsia"/>
                <w:lang w:eastAsia="zh-CN"/>
              </w:rPr>
              <w:t>文稿并相应</w:t>
            </w:r>
            <w:r w:rsidRPr="00546268">
              <w:rPr>
                <w:rFonts w:hint="eastAsia"/>
                <w:b/>
                <w:bCs/>
                <w:lang w:eastAsia="zh-CN"/>
              </w:rPr>
              <w:t>采取</w:t>
            </w:r>
            <w:r w:rsidRPr="00546268">
              <w:rPr>
                <w:rFonts w:hint="eastAsia"/>
                <w:lang w:eastAsia="zh-CN"/>
              </w:rPr>
              <w:t>必要</w:t>
            </w:r>
            <w:r w:rsidRPr="00546268">
              <w:rPr>
                <w:rFonts w:hint="eastAsia"/>
                <w:b/>
                <w:bCs/>
                <w:lang w:eastAsia="zh-CN"/>
              </w:rPr>
              <w:t>行动</w:t>
            </w:r>
            <w:r w:rsidRPr="00546268">
              <w:rPr>
                <w:rFonts w:hint="eastAsia"/>
                <w:lang w:eastAsia="zh-CN"/>
              </w:rPr>
              <w:t>。</w:t>
            </w:r>
          </w:p>
          <w:p w14:paraId="090C9B57" w14:textId="77777777" w:rsidR="00E24D59" w:rsidRPr="00DA2D30" w:rsidRDefault="00DA2D30" w:rsidP="00DA2D30">
            <w:pPr>
              <w:rPr>
                <w:lang w:eastAsia="zh-CN"/>
              </w:rPr>
            </w:pPr>
            <w:r>
              <w:rPr>
                <w:lang w:eastAsia="zh-CN"/>
              </w:rPr>
              <w:t>_______________</w:t>
            </w:r>
          </w:p>
          <w:p w14:paraId="43AFFCF2" w14:textId="77777777" w:rsidR="00E24D59" w:rsidRPr="00477D57" w:rsidRDefault="00E24D59" w:rsidP="00555C29">
            <w:pPr>
              <w:rPr>
                <w:b/>
                <w:bCs/>
                <w:lang w:eastAsia="zh-CN"/>
              </w:rPr>
            </w:pPr>
            <w:r w:rsidRPr="00477D57">
              <w:rPr>
                <w:rFonts w:hint="eastAsia"/>
                <w:b/>
                <w:bCs/>
                <w:lang w:eastAsia="zh-CN"/>
              </w:rPr>
              <w:t>参考文件</w:t>
            </w:r>
          </w:p>
          <w:p w14:paraId="5187AD6C" w14:textId="51B64B99" w:rsidR="00E24D59" w:rsidRPr="00064124" w:rsidRDefault="00743DB7" w:rsidP="00E60ECF">
            <w:pPr>
              <w:spacing w:after="120"/>
              <w:ind w:firstLineChars="200" w:firstLine="432"/>
              <w:rPr>
                <w:rFonts w:eastAsiaTheme="majorEastAsia" w:cs="Calibri"/>
                <w:sz w:val="22"/>
                <w:szCs w:val="22"/>
                <w:lang w:eastAsia="zh-CN"/>
              </w:rPr>
            </w:pPr>
            <w:r>
              <w:rPr>
                <w:rFonts w:eastAsia="STKaiti" w:cs="Calibri" w:hint="eastAsia"/>
                <w:spacing w:val="-2"/>
                <w:sz w:val="22"/>
                <w:szCs w:val="22"/>
                <w:lang w:eastAsia="zh-CN"/>
              </w:rPr>
              <w:t>国际电联</w:t>
            </w:r>
            <w:hyperlink r:id="rId8" w:history="1">
              <w:r>
                <w:rPr>
                  <w:rStyle w:val="Hyperlink"/>
                  <w:rFonts w:eastAsia="STKaiti" w:cs="Calibri"/>
                  <w:spacing w:val="-2"/>
                  <w:sz w:val="22"/>
                  <w:szCs w:val="22"/>
                  <w:lang w:eastAsia="zh-CN"/>
                </w:rPr>
                <w:t>《组织法》</w:t>
              </w:r>
            </w:hyperlink>
            <w:r>
              <w:rPr>
                <w:rFonts w:eastAsia="STKaiti" w:cs="Calibri" w:hint="eastAsia"/>
                <w:spacing w:val="-2"/>
                <w:sz w:val="22"/>
                <w:szCs w:val="22"/>
                <w:lang w:eastAsia="zh-CN"/>
              </w:rPr>
              <w:t>和</w:t>
            </w:r>
            <w:hyperlink r:id="rId9" w:history="1">
              <w:r>
                <w:rPr>
                  <w:rStyle w:val="Hyperlink"/>
                  <w:rFonts w:eastAsia="STKaiti" w:cs="Calibri"/>
                  <w:spacing w:val="-2"/>
                  <w:sz w:val="22"/>
                  <w:szCs w:val="22"/>
                  <w:lang w:eastAsia="zh-CN"/>
                </w:rPr>
                <w:t>《公约》</w:t>
              </w:r>
            </w:hyperlink>
            <w:r>
              <w:rPr>
                <w:rFonts w:eastAsia="STKaiti" w:cs="Calibri" w:hint="eastAsia"/>
                <w:spacing w:val="-2"/>
                <w:sz w:val="22"/>
                <w:szCs w:val="22"/>
                <w:lang w:eastAsia="zh-CN"/>
              </w:rPr>
              <w:t>；全权代表大会第</w:t>
            </w:r>
            <w:hyperlink r:id="rId10" w:history="1">
              <w:r>
                <w:rPr>
                  <w:rStyle w:val="Hyperlink"/>
                  <w:rFonts w:eastAsia="STKaiti" w:cs="Calibri"/>
                  <w:spacing w:val="-2"/>
                  <w:sz w:val="22"/>
                  <w:szCs w:val="22"/>
                  <w:lang w:eastAsia="zh-CN"/>
                </w:rPr>
                <w:t>71</w:t>
              </w:r>
              <w:r>
                <w:rPr>
                  <w:rStyle w:val="Hyperlink"/>
                  <w:rFonts w:eastAsia="STKaiti" w:cs="Calibri"/>
                  <w:spacing w:val="-2"/>
                  <w:sz w:val="22"/>
                  <w:szCs w:val="22"/>
                  <w:lang w:eastAsia="zh-CN"/>
                </w:rPr>
                <w:t>号决议（</w:t>
              </w:r>
              <w:r>
                <w:rPr>
                  <w:rStyle w:val="Hyperlink"/>
                  <w:rFonts w:eastAsia="STKaiti" w:cs="Calibri"/>
                  <w:spacing w:val="-2"/>
                  <w:sz w:val="22"/>
                  <w:szCs w:val="22"/>
                  <w:lang w:eastAsia="zh-CN"/>
                </w:rPr>
                <w:t>2022</w:t>
              </w:r>
              <w:r>
                <w:rPr>
                  <w:rStyle w:val="Hyperlink"/>
                  <w:rFonts w:eastAsia="STKaiti" w:cs="Calibri"/>
                  <w:spacing w:val="-2"/>
                  <w:sz w:val="22"/>
                  <w:szCs w:val="22"/>
                  <w:lang w:eastAsia="zh-CN"/>
                </w:rPr>
                <w:t>年，布加勒斯特，修订版）</w:t>
              </w:r>
            </w:hyperlink>
            <w:r>
              <w:rPr>
                <w:rFonts w:eastAsia="STKaiti" w:cs="Calibri" w:hint="eastAsia"/>
                <w:spacing w:val="-2"/>
                <w:sz w:val="22"/>
                <w:szCs w:val="22"/>
                <w:lang w:eastAsia="zh-CN"/>
              </w:rPr>
              <w:t>；</w:t>
            </w:r>
            <w:hyperlink r:id="rId11" w:history="1">
              <w:r w:rsidRPr="00546268">
                <w:rPr>
                  <w:rStyle w:val="Hyperlink"/>
                  <w:rFonts w:eastAsia="STKaiti" w:cs="Calibri"/>
                  <w:spacing w:val="-2"/>
                  <w:sz w:val="22"/>
                  <w:szCs w:val="22"/>
                  <w:lang w:eastAsia="zh-CN"/>
                </w:rPr>
                <w:t>CWG-SFP-3/6</w:t>
              </w:r>
            </w:hyperlink>
            <w:r>
              <w:rPr>
                <w:rFonts w:eastAsia="STKaiti" w:cs="Calibri" w:hint="eastAsia"/>
                <w:spacing w:val="-2"/>
                <w:sz w:val="22"/>
                <w:szCs w:val="22"/>
                <w:lang w:eastAsia="zh-CN"/>
              </w:rPr>
              <w:t>、</w:t>
            </w:r>
            <w:hyperlink r:id="rId12" w:history="1">
              <w:r w:rsidRPr="00546268">
                <w:rPr>
                  <w:rStyle w:val="Hyperlink"/>
                  <w:rFonts w:eastAsia="STKaiti" w:cs="Calibri"/>
                  <w:spacing w:val="-2"/>
                  <w:sz w:val="22"/>
                  <w:szCs w:val="22"/>
                  <w:lang w:eastAsia="zh-CN"/>
                </w:rPr>
                <w:t>CWG-SFP-3/7</w:t>
              </w:r>
            </w:hyperlink>
            <w:r>
              <w:rPr>
                <w:rFonts w:eastAsia="STKaiti" w:cs="Calibri" w:hint="eastAsia"/>
                <w:spacing w:val="-2"/>
                <w:sz w:val="22"/>
                <w:szCs w:val="22"/>
                <w:lang w:eastAsia="zh-CN"/>
              </w:rPr>
              <w:t>和</w:t>
            </w:r>
            <w:hyperlink r:id="rId13" w:history="1">
              <w:r w:rsidRPr="00546268">
                <w:rPr>
                  <w:rStyle w:val="Hyperlink"/>
                  <w:rFonts w:eastAsia="STKaiti" w:cs="Calibri"/>
                  <w:spacing w:val="-2"/>
                  <w:sz w:val="22"/>
                  <w:szCs w:val="22"/>
                  <w:lang w:eastAsia="zh-CN"/>
                </w:rPr>
                <w:t>CWG-SFP-4/2</w:t>
              </w:r>
            </w:hyperlink>
            <w:r>
              <w:rPr>
                <w:rFonts w:eastAsia="STKaiti" w:cs="Calibri" w:hint="eastAsia"/>
                <w:spacing w:val="-2"/>
                <w:sz w:val="22"/>
                <w:szCs w:val="22"/>
                <w:lang w:eastAsia="zh-CN"/>
              </w:rPr>
              <w:t>号文件；</w:t>
            </w:r>
            <w:r w:rsidRPr="00546268">
              <w:rPr>
                <w:rFonts w:eastAsia="STKaiti" w:cs="Calibri" w:hint="eastAsia"/>
                <w:spacing w:val="-2"/>
                <w:sz w:val="22"/>
                <w:szCs w:val="22"/>
                <w:lang w:eastAsia="zh-CN"/>
              </w:rPr>
              <w:t>联合检查组题为</w:t>
            </w:r>
            <w:r>
              <w:rPr>
                <w:rFonts w:eastAsia="STKaiti" w:cs="Calibri" w:hint="eastAsia"/>
                <w:spacing w:val="-2"/>
                <w:sz w:val="22"/>
                <w:szCs w:val="22"/>
                <w:lang w:eastAsia="zh-CN"/>
              </w:rPr>
              <w:t>《</w:t>
            </w:r>
            <w:r w:rsidRPr="00546268">
              <w:rPr>
                <w:rFonts w:eastAsia="STKaiti" w:cs="Calibri" w:hint="eastAsia"/>
                <w:spacing w:val="-2"/>
                <w:sz w:val="22"/>
                <w:szCs w:val="22"/>
                <w:lang w:eastAsia="zh-CN"/>
              </w:rPr>
              <w:t>联合国系统</w:t>
            </w:r>
            <w:r>
              <w:rPr>
                <w:rFonts w:eastAsia="STKaiti" w:cs="Calibri" w:hint="eastAsia"/>
                <w:spacing w:val="-2"/>
                <w:sz w:val="22"/>
                <w:szCs w:val="22"/>
                <w:lang w:eastAsia="zh-CN"/>
              </w:rPr>
              <w:t>战略规划》的报告</w:t>
            </w:r>
          </w:p>
        </w:tc>
      </w:tr>
      <w:bookmarkEnd w:id="2"/>
      <w:bookmarkEnd w:id="6"/>
    </w:tbl>
    <w:p w14:paraId="0925970E" w14:textId="77777777" w:rsidR="00E24D59" w:rsidRDefault="00E24D59">
      <w:pPr>
        <w:tabs>
          <w:tab w:val="clear" w:pos="794"/>
          <w:tab w:val="clear" w:pos="1191"/>
          <w:tab w:val="clear" w:pos="1588"/>
          <w:tab w:val="clear" w:pos="1985"/>
        </w:tabs>
        <w:overflowPunct/>
        <w:autoSpaceDE/>
        <w:autoSpaceDN/>
        <w:adjustRightInd/>
        <w:spacing w:before="0"/>
        <w:textAlignment w:val="auto"/>
        <w:rPr>
          <w:lang w:eastAsia="zh-CN"/>
        </w:rPr>
      </w:pPr>
    </w:p>
    <w:p w14:paraId="777B923F" w14:textId="77777777" w:rsidR="00632998" w:rsidRDefault="00E24D59" w:rsidP="00632998">
      <w:pPr>
        <w:rPr>
          <w:lang w:eastAsia="zh-CN"/>
        </w:rPr>
      </w:pPr>
      <w:r>
        <w:rPr>
          <w:lang w:eastAsia="zh-CN"/>
        </w:rPr>
        <w:br w:type="page"/>
      </w:r>
    </w:p>
    <w:p w14:paraId="36552D96" w14:textId="564A3261" w:rsidR="00C0775D" w:rsidRDefault="00C0775D" w:rsidP="00C0775D">
      <w:pPr>
        <w:pStyle w:val="Heading1"/>
        <w:rPr>
          <w:rFonts w:eastAsiaTheme="minorEastAsia"/>
          <w:lang w:val="en-US" w:eastAsia="zh-CN"/>
        </w:rPr>
      </w:pPr>
      <w:r>
        <w:rPr>
          <w:rFonts w:eastAsiaTheme="minorEastAsia"/>
          <w:lang w:eastAsia="zh-CN"/>
        </w:rPr>
        <w:lastRenderedPageBreak/>
        <w:t>1</w:t>
      </w:r>
      <w:r>
        <w:rPr>
          <w:rFonts w:eastAsiaTheme="minorEastAsia"/>
          <w:lang w:eastAsia="zh-CN"/>
        </w:rPr>
        <w:tab/>
      </w:r>
      <w:r>
        <w:rPr>
          <w:rFonts w:eastAsiaTheme="minorEastAsia" w:hint="eastAsia"/>
          <w:lang w:eastAsia="zh-CN"/>
        </w:rPr>
        <w:t>背景</w:t>
      </w:r>
    </w:p>
    <w:p w14:paraId="7EA20391" w14:textId="77777777" w:rsidR="00743DB7" w:rsidRPr="002F242C" w:rsidRDefault="00743DB7" w:rsidP="00743DB7">
      <w:pPr>
        <w:spacing w:before="100"/>
        <w:ind w:firstLineChars="200" w:firstLine="480"/>
        <w:jc w:val="both"/>
        <w:rPr>
          <w:lang w:eastAsia="zh-CN"/>
        </w:rPr>
      </w:pPr>
      <w:r w:rsidRPr="00546268">
        <w:rPr>
          <w:rFonts w:hint="eastAsia"/>
          <w:lang w:eastAsia="zh-CN"/>
        </w:rPr>
        <w:t>国际电联《组织法》第</w:t>
      </w:r>
      <w:r w:rsidRPr="00546268">
        <w:rPr>
          <w:rFonts w:hint="eastAsia"/>
          <w:lang w:eastAsia="zh-CN"/>
        </w:rPr>
        <w:t>8 c</w:t>
      </w:r>
      <w:r>
        <w:rPr>
          <w:rFonts w:hint="eastAsia"/>
          <w:lang w:eastAsia="zh-CN"/>
        </w:rPr>
        <w:t>)</w:t>
      </w:r>
      <w:r w:rsidRPr="00546268">
        <w:rPr>
          <w:rFonts w:hint="eastAsia"/>
          <w:lang w:eastAsia="zh-CN"/>
        </w:rPr>
        <w:t>条规定，在下届全权代表大会召开之前，全权代表大会应在审议该</w:t>
      </w:r>
      <w:r>
        <w:rPr>
          <w:rFonts w:hint="eastAsia"/>
          <w:lang w:eastAsia="zh-CN"/>
        </w:rPr>
        <w:t>周期</w:t>
      </w:r>
      <w:r w:rsidRPr="00546268">
        <w:rPr>
          <w:rFonts w:hint="eastAsia"/>
          <w:lang w:eastAsia="zh-CN"/>
        </w:rPr>
        <w:t>国际电联工作的所有相关</w:t>
      </w:r>
      <w:r>
        <w:rPr>
          <w:rFonts w:hint="eastAsia"/>
          <w:lang w:eastAsia="zh-CN"/>
        </w:rPr>
        <w:t>方面</w:t>
      </w:r>
      <w:r w:rsidRPr="00546268">
        <w:rPr>
          <w:rFonts w:hint="eastAsia"/>
          <w:lang w:eastAsia="zh-CN"/>
        </w:rPr>
        <w:t>后，制定国际电联的战略规划和国际电联</w:t>
      </w:r>
      <w:r>
        <w:rPr>
          <w:rFonts w:hint="eastAsia"/>
          <w:lang w:eastAsia="zh-CN"/>
        </w:rPr>
        <w:t>的</w:t>
      </w:r>
      <w:r w:rsidRPr="00546268">
        <w:rPr>
          <w:rFonts w:hint="eastAsia"/>
          <w:lang w:eastAsia="zh-CN"/>
        </w:rPr>
        <w:t>预算</w:t>
      </w:r>
      <w:r>
        <w:rPr>
          <w:rFonts w:hint="eastAsia"/>
          <w:lang w:eastAsia="zh-CN"/>
        </w:rPr>
        <w:t>基础</w:t>
      </w:r>
      <w:r w:rsidRPr="00546268">
        <w:rPr>
          <w:rFonts w:hint="eastAsia"/>
          <w:lang w:eastAsia="zh-CN"/>
        </w:rPr>
        <w:t>，并确定相关财务限</w:t>
      </w:r>
      <w:r>
        <w:rPr>
          <w:rFonts w:hint="eastAsia"/>
          <w:lang w:eastAsia="zh-CN"/>
        </w:rPr>
        <w:t>额</w:t>
      </w:r>
      <w:r w:rsidRPr="00546268">
        <w:rPr>
          <w:rFonts w:hint="eastAsia"/>
          <w:lang w:eastAsia="zh-CN"/>
        </w:rPr>
        <w:t>。国际电联《公约》第</w:t>
      </w:r>
      <w:r w:rsidRPr="00546268">
        <w:rPr>
          <w:rFonts w:hint="eastAsia"/>
          <w:lang w:eastAsia="zh-CN"/>
        </w:rPr>
        <w:t>4</w:t>
      </w:r>
      <w:r w:rsidRPr="00546268">
        <w:rPr>
          <w:rFonts w:hint="eastAsia"/>
          <w:lang w:eastAsia="zh-CN"/>
        </w:rPr>
        <w:t>条第</w:t>
      </w:r>
      <w:r w:rsidRPr="00546268">
        <w:rPr>
          <w:rFonts w:hint="eastAsia"/>
          <w:lang w:eastAsia="zh-CN"/>
        </w:rPr>
        <w:t>10</w:t>
      </w:r>
      <w:r w:rsidRPr="00546268">
        <w:rPr>
          <w:rFonts w:hint="eastAsia"/>
          <w:lang w:eastAsia="zh-CN"/>
        </w:rPr>
        <w:t>款之二规定，理事会可以在遵守全权代表大会通过的财务限额的同时，审议和更新构成相应运作规划基础的战略规划。此外，第</w:t>
      </w:r>
      <w:r w:rsidRPr="00546268">
        <w:rPr>
          <w:rFonts w:hint="eastAsia"/>
          <w:lang w:eastAsia="zh-CN"/>
        </w:rPr>
        <w:t>4</w:t>
      </w:r>
      <w:r w:rsidRPr="00546268">
        <w:rPr>
          <w:rFonts w:hint="eastAsia"/>
          <w:lang w:eastAsia="zh-CN"/>
        </w:rPr>
        <w:t>条第</w:t>
      </w:r>
      <w:r w:rsidRPr="00546268">
        <w:rPr>
          <w:rFonts w:hint="eastAsia"/>
          <w:lang w:eastAsia="zh-CN"/>
        </w:rPr>
        <w:t>11.1</w:t>
      </w:r>
      <w:r>
        <w:rPr>
          <w:rFonts w:hint="eastAsia"/>
          <w:lang w:eastAsia="zh-CN"/>
        </w:rPr>
        <w:t>)</w:t>
      </w:r>
      <w:r w:rsidRPr="00546268">
        <w:rPr>
          <w:rFonts w:hint="eastAsia"/>
          <w:lang w:eastAsia="zh-CN"/>
        </w:rPr>
        <w:t>款</w:t>
      </w:r>
      <w:r>
        <w:rPr>
          <w:rFonts w:hint="eastAsia"/>
          <w:lang w:val="en-US" w:eastAsia="zh-CN"/>
        </w:rPr>
        <w:t>规定</w:t>
      </w:r>
      <w:r w:rsidRPr="00546268">
        <w:rPr>
          <w:rFonts w:hint="eastAsia"/>
          <w:lang w:eastAsia="zh-CN"/>
        </w:rPr>
        <w:t>，理事会的任务是接收并审议秘书长提供的</w:t>
      </w:r>
      <w:r>
        <w:rPr>
          <w:rFonts w:hint="eastAsia"/>
          <w:lang w:eastAsia="zh-CN"/>
        </w:rPr>
        <w:t>用于编写</w:t>
      </w:r>
      <w:r w:rsidRPr="00546268">
        <w:rPr>
          <w:rFonts w:hint="eastAsia"/>
          <w:lang w:eastAsia="zh-CN"/>
        </w:rPr>
        <w:t>战略规划</w:t>
      </w:r>
      <w:r>
        <w:rPr>
          <w:rFonts w:hint="eastAsia"/>
          <w:lang w:eastAsia="zh-CN"/>
        </w:rPr>
        <w:t>的</w:t>
      </w:r>
      <w:r w:rsidRPr="00546268">
        <w:rPr>
          <w:rFonts w:hint="eastAsia"/>
          <w:lang w:eastAsia="zh-CN"/>
        </w:rPr>
        <w:t>具体数据，并在下一届全权代表大会召开前倒数第二届理事会例会上，在采纳成员国</w:t>
      </w:r>
      <w:r>
        <w:rPr>
          <w:rFonts w:hint="eastAsia"/>
          <w:lang w:eastAsia="zh-CN"/>
        </w:rPr>
        <w:t>、部门成员和各部门顾问组</w:t>
      </w:r>
      <w:r w:rsidRPr="00546268">
        <w:rPr>
          <w:rFonts w:hint="eastAsia"/>
          <w:lang w:eastAsia="zh-CN"/>
        </w:rPr>
        <w:t>输入意见的基础上，开始制定国际电联新的战略规划草案，并在上述全权代表大会召开的至少四个月前制定出一份</w:t>
      </w:r>
      <w:r>
        <w:rPr>
          <w:rFonts w:hint="eastAsia"/>
          <w:lang w:eastAsia="zh-CN"/>
        </w:rPr>
        <w:t>已</w:t>
      </w:r>
      <w:r w:rsidRPr="00546268">
        <w:rPr>
          <w:rFonts w:hint="eastAsia"/>
          <w:lang w:eastAsia="zh-CN"/>
        </w:rPr>
        <w:t>经协调的新的战略规划草案。理事会还应为制定国际电联的战略和财务规划以及各部门和总秘书处的运作规划确定一个时间表，以便在各规划之间建立适当的联系。因此，国际电联《公约》</w:t>
      </w:r>
      <w:r>
        <w:rPr>
          <w:rFonts w:hint="eastAsia"/>
          <w:lang w:eastAsia="zh-CN"/>
        </w:rPr>
        <w:t>提出，</w:t>
      </w:r>
      <w:r w:rsidRPr="00546268">
        <w:rPr>
          <w:rFonts w:hint="eastAsia"/>
          <w:lang w:eastAsia="zh-CN"/>
        </w:rPr>
        <w:t>各规划之间应</w:t>
      </w:r>
      <w:r>
        <w:rPr>
          <w:rFonts w:hint="eastAsia"/>
          <w:lang w:eastAsia="zh-CN"/>
        </w:rPr>
        <w:t>建立</w:t>
      </w:r>
      <w:r w:rsidRPr="00546268">
        <w:rPr>
          <w:rFonts w:hint="eastAsia"/>
          <w:lang w:eastAsia="zh-CN"/>
        </w:rPr>
        <w:t>适当的联</w:t>
      </w:r>
      <w:r>
        <w:rPr>
          <w:rFonts w:hint="eastAsia"/>
          <w:lang w:eastAsia="zh-CN"/>
        </w:rPr>
        <w:t>系</w:t>
      </w:r>
      <w:r w:rsidRPr="00546268">
        <w:rPr>
          <w:rFonts w:hint="eastAsia"/>
          <w:lang w:eastAsia="zh-CN"/>
        </w:rPr>
        <w:t>。</w:t>
      </w:r>
    </w:p>
    <w:p w14:paraId="286FDEA8" w14:textId="77777777" w:rsidR="00743DB7" w:rsidRPr="002F242C" w:rsidRDefault="00743DB7" w:rsidP="00743DB7">
      <w:pPr>
        <w:spacing w:before="100"/>
        <w:ind w:firstLineChars="200" w:firstLine="480"/>
        <w:jc w:val="both"/>
        <w:rPr>
          <w:lang w:eastAsia="zh-CN"/>
        </w:rPr>
      </w:pPr>
      <w:hyperlink r:id="rId14" w:history="1">
        <w:r w:rsidRPr="00086680">
          <w:rPr>
            <w:rStyle w:val="Hyperlink"/>
            <w:rFonts w:eastAsia="SimSun"/>
            <w:lang w:eastAsia="zh-CN"/>
          </w:rPr>
          <w:t>CWG-SFP-3/6</w:t>
        </w:r>
      </w:hyperlink>
      <w:r w:rsidRPr="00546268">
        <w:rPr>
          <w:rFonts w:hint="eastAsia"/>
          <w:lang w:eastAsia="zh-CN"/>
        </w:rPr>
        <w:t>号文件</w:t>
      </w:r>
      <w:r>
        <w:rPr>
          <w:rFonts w:hint="eastAsia"/>
          <w:lang w:eastAsia="zh-CN"/>
        </w:rPr>
        <w:t>有一个部分</w:t>
      </w:r>
      <w:r w:rsidRPr="00546268">
        <w:rPr>
          <w:rFonts w:hint="eastAsia"/>
          <w:lang w:eastAsia="zh-CN"/>
        </w:rPr>
        <w:t>专门</w:t>
      </w:r>
      <w:r>
        <w:rPr>
          <w:rFonts w:hint="eastAsia"/>
          <w:lang w:eastAsia="zh-CN"/>
        </w:rPr>
        <w:t>讨论</w:t>
      </w:r>
      <w:r w:rsidRPr="00546268">
        <w:rPr>
          <w:rFonts w:hint="eastAsia"/>
          <w:lang w:eastAsia="zh-CN"/>
        </w:rPr>
        <w:t>战略层面</w:t>
      </w:r>
      <w:r>
        <w:rPr>
          <w:rFonts w:hint="eastAsia"/>
          <w:lang w:eastAsia="zh-CN"/>
        </w:rPr>
        <w:t>的《</w:t>
      </w:r>
      <w:r w:rsidRPr="00546268">
        <w:rPr>
          <w:rFonts w:hint="eastAsia"/>
          <w:lang w:eastAsia="zh-CN"/>
        </w:rPr>
        <w:t>财务规划</w:t>
      </w:r>
      <w:r>
        <w:rPr>
          <w:rFonts w:hint="eastAsia"/>
          <w:lang w:eastAsia="zh-CN"/>
        </w:rPr>
        <w:t>》</w:t>
      </w:r>
      <w:r w:rsidRPr="00546268">
        <w:rPr>
          <w:rFonts w:hint="eastAsia"/>
          <w:lang w:eastAsia="zh-CN"/>
        </w:rPr>
        <w:t>，</w:t>
      </w:r>
      <w:r>
        <w:rPr>
          <w:rFonts w:hint="eastAsia"/>
          <w:lang w:eastAsia="zh-CN"/>
        </w:rPr>
        <w:t>它</w:t>
      </w:r>
      <w:r w:rsidRPr="00546268">
        <w:rPr>
          <w:rFonts w:hint="eastAsia"/>
          <w:lang w:eastAsia="zh-CN"/>
        </w:rPr>
        <w:t>将</w:t>
      </w:r>
      <w:r>
        <w:rPr>
          <w:rFonts w:hint="eastAsia"/>
          <w:lang w:eastAsia="zh-CN"/>
        </w:rPr>
        <w:t>《财务</w:t>
      </w:r>
      <w:r w:rsidRPr="00546268">
        <w:rPr>
          <w:rFonts w:hint="eastAsia"/>
          <w:lang w:eastAsia="zh-CN"/>
        </w:rPr>
        <w:t>规划</w:t>
      </w:r>
      <w:r>
        <w:rPr>
          <w:rFonts w:hint="eastAsia"/>
          <w:lang w:eastAsia="zh-CN"/>
        </w:rPr>
        <w:t>》</w:t>
      </w:r>
      <w:r w:rsidRPr="00546268">
        <w:rPr>
          <w:rFonts w:hint="eastAsia"/>
          <w:lang w:eastAsia="zh-CN"/>
        </w:rPr>
        <w:t>定义为根据</w:t>
      </w:r>
      <w:r>
        <w:rPr>
          <w:rFonts w:hint="eastAsia"/>
          <w:lang w:eastAsia="zh-CN"/>
        </w:rPr>
        <w:t>《</w:t>
      </w:r>
      <w:r w:rsidRPr="00546268">
        <w:rPr>
          <w:rFonts w:hint="eastAsia"/>
          <w:lang w:eastAsia="zh-CN"/>
        </w:rPr>
        <w:t>战略规划</w:t>
      </w:r>
      <w:r>
        <w:rPr>
          <w:rFonts w:hint="eastAsia"/>
          <w:lang w:eastAsia="zh-CN"/>
        </w:rPr>
        <w:t>》</w:t>
      </w:r>
      <w:r w:rsidRPr="00546268">
        <w:rPr>
          <w:rFonts w:hint="eastAsia"/>
          <w:lang w:eastAsia="zh-CN"/>
        </w:rPr>
        <w:t>确定的相关</w:t>
      </w:r>
      <w:r>
        <w:rPr>
          <w:rFonts w:hint="eastAsia"/>
          <w:lang w:eastAsia="zh-CN"/>
        </w:rPr>
        <w:t>重点工作</w:t>
      </w:r>
      <w:r w:rsidRPr="00546268">
        <w:rPr>
          <w:rFonts w:hint="eastAsia"/>
          <w:lang w:eastAsia="zh-CN"/>
        </w:rPr>
        <w:t>，对每项预期主题重点</w:t>
      </w:r>
      <w:r w:rsidRPr="00546268">
        <w:rPr>
          <w:rFonts w:hint="eastAsia"/>
          <w:lang w:eastAsia="zh-CN"/>
        </w:rPr>
        <w:t>/</w:t>
      </w:r>
      <w:r w:rsidRPr="00546268">
        <w:rPr>
          <w:rFonts w:hint="eastAsia"/>
          <w:lang w:eastAsia="zh-CN"/>
        </w:rPr>
        <w:t>成果的预期收入和资源分配</w:t>
      </w:r>
      <w:r>
        <w:rPr>
          <w:rFonts w:hint="eastAsia"/>
          <w:lang w:eastAsia="zh-CN"/>
        </w:rPr>
        <w:t>进行</w:t>
      </w:r>
      <w:r w:rsidRPr="00546268">
        <w:rPr>
          <w:rFonts w:hint="eastAsia"/>
          <w:lang w:eastAsia="zh-CN"/>
        </w:rPr>
        <w:t>估算。</w:t>
      </w:r>
      <w:r>
        <w:rPr>
          <w:rFonts w:hint="eastAsia"/>
          <w:lang w:eastAsia="zh-CN"/>
        </w:rPr>
        <w:t>《</w:t>
      </w:r>
      <w:r w:rsidRPr="00546268">
        <w:rPr>
          <w:rFonts w:hint="eastAsia"/>
          <w:lang w:eastAsia="zh-CN"/>
        </w:rPr>
        <w:t>财务规划</w:t>
      </w:r>
      <w:r>
        <w:rPr>
          <w:rFonts w:hint="eastAsia"/>
          <w:lang w:eastAsia="zh-CN"/>
        </w:rPr>
        <w:t>》</w:t>
      </w:r>
      <w:r w:rsidRPr="00546268">
        <w:rPr>
          <w:rFonts w:hint="eastAsia"/>
          <w:lang w:eastAsia="zh-CN"/>
        </w:rPr>
        <w:t>应在</w:t>
      </w:r>
      <w:r>
        <w:rPr>
          <w:rFonts w:hint="eastAsia"/>
          <w:lang w:eastAsia="zh-CN"/>
        </w:rPr>
        <w:t>《</w:t>
      </w:r>
      <w:r w:rsidRPr="00546268">
        <w:rPr>
          <w:rFonts w:hint="eastAsia"/>
          <w:lang w:eastAsia="zh-CN"/>
        </w:rPr>
        <w:t>战略规划</w:t>
      </w:r>
      <w:r>
        <w:rPr>
          <w:rFonts w:hint="eastAsia"/>
          <w:lang w:eastAsia="zh-CN"/>
        </w:rPr>
        <w:t>》</w:t>
      </w:r>
      <w:r w:rsidRPr="00546268">
        <w:rPr>
          <w:rFonts w:hint="eastAsia"/>
          <w:lang w:eastAsia="zh-CN"/>
        </w:rPr>
        <w:t>所</w:t>
      </w:r>
      <w:r>
        <w:rPr>
          <w:rFonts w:hint="eastAsia"/>
          <w:lang w:eastAsia="zh-CN"/>
        </w:rPr>
        <w:t>覆盖</w:t>
      </w:r>
      <w:r w:rsidRPr="00546268">
        <w:rPr>
          <w:rFonts w:hint="eastAsia"/>
          <w:lang w:eastAsia="zh-CN"/>
        </w:rPr>
        <w:t>的周期内，为</w:t>
      </w:r>
      <w:r>
        <w:rPr>
          <w:rFonts w:hint="eastAsia"/>
          <w:lang w:eastAsia="zh-CN"/>
        </w:rPr>
        <w:t>《</w:t>
      </w:r>
      <w:r w:rsidRPr="00546268">
        <w:rPr>
          <w:rFonts w:hint="eastAsia"/>
          <w:lang w:eastAsia="zh-CN"/>
        </w:rPr>
        <w:t>运作规划</w:t>
      </w:r>
      <w:r>
        <w:rPr>
          <w:rFonts w:hint="eastAsia"/>
          <w:lang w:eastAsia="zh-CN"/>
        </w:rPr>
        <w:t>》</w:t>
      </w:r>
      <w:r w:rsidRPr="00546268">
        <w:rPr>
          <w:rFonts w:hint="eastAsia"/>
          <w:lang w:eastAsia="zh-CN"/>
        </w:rPr>
        <w:t>中的预算编制和输出成果交付提供指导。</w:t>
      </w:r>
    </w:p>
    <w:p w14:paraId="66BD9065" w14:textId="17ECEF6F" w:rsidR="00743DB7" w:rsidRPr="002F242C" w:rsidRDefault="00743DB7" w:rsidP="00743DB7">
      <w:pPr>
        <w:spacing w:before="100"/>
        <w:ind w:firstLineChars="200" w:firstLine="480"/>
        <w:jc w:val="both"/>
        <w:rPr>
          <w:lang w:eastAsia="zh-CN"/>
        </w:rPr>
      </w:pPr>
      <w:r w:rsidRPr="00546268">
        <w:rPr>
          <w:rFonts w:hint="eastAsia"/>
          <w:lang w:eastAsia="zh-CN"/>
        </w:rPr>
        <w:t>根据秘书处的提</w:t>
      </w:r>
      <w:r>
        <w:rPr>
          <w:rFonts w:hint="eastAsia"/>
          <w:lang w:eastAsia="zh-CN"/>
        </w:rPr>
        <w:t>案</w:t>
      </w:r>
      <w:r w:rsidRPr="00546268">
        <w:rPr>
          <w:rFonts w:hint="eastAsia"/>
          <w:lang w:eastAsia="zh-CN"/>
        </w:rPr>
        <w:t>，</w:t>
      </w:r>
      <w:r>
        <w:rPr>
          <w:rFonts w:hint="eastAsia"/>
          <w:lang w:eastAsia="zh-CN"/>
        </w:rPr>
        <w:t>作为</w:t>
      </w:r>
      <w:r w:rsidRPr="00546268">
        <w:rPr>
          <w:rFonts w:hint="eastAsia"/>
          <w:lang w:eastAsia="zh-CN"/>
        </w:rPr>
        <w:t>成果</w:t>
      </w:r>
      <w:r>
        <w:rPr>
          <w:rFonts w:hint="eastAsia"/>
          <w:lang w:eastAsia="zh-CN"/>
        </w:rPr>
        <w:t>纳入《</w:t>
      </w:r>
      <w:r w:rsidRPr="00546268">
        <w:rPr>
          <w:rFonts w:hint="eastAsia"/>
          <w:lang w:eastAsia="zh-CN"/>
        </w:rPr>
        <w:t>财务规划</w:t>
      </w:r>
      <w:r>
        <w:rPr>
          <w:rFonts w:hint="eastAsia"/>
          <w:lang w:eastAsia="zh-CN"/>
        </w:rPr>
        <w:t>》</w:t>
      </w:r>
      <w:r w:rsidRPr="00546268">
        <w:rPr>
          <w:rFonts w:hint="eastAsia"/>
          <w:lang w:eastAsia="zh-CN"/>
        </w:rPr>
        <w:t>的成本估算的</w:t>
      </w:r>
      <w:r>
        <w:rPr>
          <w:rFonts w:hint="eastAsia"/>
          <w:lang w:eastAsia="zh-CN"/>
        </w:rPr>
        <w:t>生成</w:t>
      </w:r>
      <w:r w:rsidRPr="00546268">
        <w:rPr>
          <w:rFonts w:hint="eastAsia"/>
          <w:lang w:eastAsia="zh-CN"/>
        </w:rPr>
        <w:t>程序</w:t>
      </w:r>
      <w:r>
        <w:rPr>
          <w:rFonts w:hint="eastAsia"/>
          <w:lang w:eastAsia="zh-CN"/>
        </w:rPr>
        <w:t>，应由</w:t>
      </w:r>
      <w:r w:rsidRPr="00546268">
        <w:rPr>
          <w:rFonts w:hint="eastAsia"/>
          <w:lang w:eastAsia="zh-CN"/>
        </w:rPr>
        <w:t>理事会</w:t>
      </w:r>
      <w:r>
        <w:rPr>
          <w:rFonts w:hint="eastAsia"/>
          <w:lang w:eastAsia="zh-CN"/>
        </w:rPr>
        <w:t>战略和财务规划</w:t>
      </w:r>
      <w:r w:rsidRPr="00546268">
        <w:rPr>
          <w:rFonts w:hint="eastAsia"/>
          <w:lang w:eastAsia="zh-CN"/>
        </w:rPr>
        <w:t>工作组（</w:t>
      </w:r>
      <w:r w:rsidRPr="00546268">
        <w:rPr>
          <w:rFonts w:hint="eastAsia"/>
          <w:lang w:eastAsia="zh-CN"/>
        </w:rPr>
        <w:t>CWG-SFP</w:t>
      </w:r>
      <w:r w:rsidRPr="00546268">
        <w:rPr>
          <w:rFonts w:hint="eastAsia"/>
          <w:lang w:eastAsia="zh-CN"/>
        </w:rPr>
        <w:t>）制定。</w:t>
      </w:r>
      <w:r>
        <w:rPr>
          <w:rFonts w:hint="eastAsia"/>
          <w:lang w:eastAsia="zh-CN"/>
        </w:rPr>
        <w:t>该</w:t>
      </w:r>
      <w:r w:rsidRPr="00546268">
        <w:rPr>
          <w:rFonts w:hint="eastAsia"/>
          <w:lang w:eastAsia="zh-CN"/>
        </w:rPr>
        <w:t>提案应考虑到总秘书处和各局</w:t>
      </w:r>
      <w:r>
        <w:rPr>
          <w:rFonts w:hint="eastAsia"/>
          <w:lang w:eastAsia="zh-CN"/>
        </w:rPr>
        <w:t>就其</w:t>
      </w:r>
      <w:r w:rsidRPr="00546268">
        <w:rPr>
          <w:rFonts w:hint="eastAsia"/>
          <w:lang w:eastAsia="zh-CN"/>
        </w:rPr>
        <w:t>建议在这一</w:t>
      </w:r>
      <w:r>
        <w:rPr>
          <w:rFonts w:hint="eastAsia"/>
          <w:lang w:eastAsia="zh-CN"/>
        </w:rPr>
        <w:t>周期</w:t>
      </w:r>
      <w:r w:rsidRPr="00546268">
        <w:rPr>
          <w:rFonts w:hint="eastAsia"/>
          <w:lang w:eastAsia="zh-CN"/>
        </w:rPr>
        <w:t>开展的活动</w:t>
      </w:r>
      <w:r>
        <w:rPr>
          <w:rFonts w:hint="eastAsia"/>
          <w:lang w:eastAsia="zh-CN"/>
        </w:rPr>
        <w:t>而提出</w:t>
      </w:r>
      <w:r w:rsidRPr="00546268">
        <w:rPr>
          <w:rFonts w:hint="eastAsia"/>
          <w:lang w:eastAsia="zh-CN"/>
        </w:rPr>
        <w:t>的</w:t>
      </w:r>
      <w:r>
        <w:rPr>
          <w:rFonts w:hint="eastAsia"/>
          <w:lang w:eastAsia="zh-CN"/>
        </w:rPr>
        <w:t>提案</w:t>
      </w:r>
      <w:r w:rsidRPr="00546268">
        <w:rPr>
          <w:rFonts w:hint="eastAsia"/>
          <w:lang w:eastAsia="zh-CN"/>
        </w:rPr>
        <w:t>，以制定输出成果，实现（</w:t>
      </w:r>
      <w:r>
        <w:rPr>
          <w:rFonts w:hint="eastAsia"/>
          <w:lang w:eastAsia="zh-CN"/>
        </w:rPr>
        <w:t>《</w:t>
      </w:r>
      <w:r w:rsidRPr="00546268">
        <w:rPr>
          <w:rFonts w:hint="eastAsia"/>
          <w:lang w:eastAsia="zh-CN"/>
        </w:rPr>
        <w:t>战略规划</w:t>
      </w:r>
      <w:r>
        <w:rPr>
          <w:rFonts w:hint="eastAsia"/>
          <w:lang w:eastAsia="zh-CN"/>
        </w:rPr>
        <w:t>》</w:t>
      </w:r>
      <w:r w:rsidRPr="00546268">
        <w:rPr>
          <w:rFonts w:hint="eastAsia"/>
          <w:lang w:eastAsia="zh-CN"/>
        </w:rPr>
        <w:t>的）具体成果目标。开展这些活动所需的资源应</w:t>
      </w:r>
      <w:r>
        <w:rPr>
          <w:rFonts w:hint="eastAsia"/>
          <w:lang w:eastAsia="zh-CN"/>
        </w:rPr>
        <w:t>由</w:t>
      </w:r>
      <w:r w:rsidRPr="00546268">
        <w:rPr>
          <w:rFonts w:hint="eastAsia"/>
          <w:lang w:eastAsia="zh-CN"/>
        </w:rPr>
        <w:t>各局和总秘书处进行估算和汇总，以</w:t>
      </w:r>
      <w:r>
        <w:rPr>
          <w:rFonts w:hint="eastAsia"/>
          <w:lang w:eastAsia="zh-CN"/>
        </w:rPr>
        <w:t>制定</w:t>
      </w:r>
      <w:r w:rsidRPr="00546268">
        <w:rPr>
          <w:rFonts w:hint="eastAsia"/>
          <w:lang w:eastAsia="zh-CN"/>
        </w:rPr>
        <w:t>实现</w:t>
      </w:r>
      <w:r>
        <w:rPr>
          <w:rFonts w:hint="eastAsia"/>
          <w:lang w:eastAsia="zh-CN"/>
        </w:rPr>
        <w:t>《</w:t>
      </w:r>
      <w:r w:rsidRPr="00546268">
        <w:rPr>
          <w:rFonts w:hint="eastAsia"/>
          <w:lang w:eastAsia="zh-CN"/>
        </w:rPr>
        <w:t>战略规划</w:t>
      </w:r>
      <w:r>
        <w:rPr>
          <w:rFonts w:hint="eastAsia"/>
          <w:lang w:eastAsia="zh-CN"/>
        </w:rPr>
        <w:t>》</w:t>
      </w:r>
      <w:r w:rsidRPr="00546268">
        <w:rPr>
          <w:rFonts w:hint="eastAsia"/>
          <w:lang w:eastAsia="zh-CN"/>
        </w:rPr>
        <w:t>各项成果所需的估算资源。</w:t>
      </w:r>
    </w:p>
    <w:p w14:paraId="115969D5" w14:textId="77777777" w:rsidR="00743DB7" w:rsidRPr="002F242C" w:rsidRDefault="00743DB7" w:rsidP="00743DB7">
      <w:pPr>
        <w:spacing w:before="100"/>
        <w:ind w:firstLineChars="200" w:firstLine="480"/>
        <w:jc w:val="both"/>
        <w:rPr>
          <w:lang w:eastAsia="zh-CN"/>
        </w:rPr>
      </w:pPr>
      <w:r w:rsidRPr="00546268">
        <w:rPr>
          <w:rFonts w:hint="eastAsia"/>
          <w:lang w:eastAsia="zh-CN"/>
        </w:rPr>
        <w:t>《公约》案文和</w:t>
      </w:r>
      <w:hyperlink r:id="rId15" w:history="1">
        <w:r w:rsidRPr="000659A2">
          <w:rPr>
            <w:rStyle w:val="Hyperlink"/>
            <w:rFonts w:eastAsia="SimSun"/>
            <w:lang w:eastAsia="zh-CN"/>
          </w:rPr>
          <w:t>CWG-SFP-3/6</w:t>
        </w:r>
      </w:hyperlink>
      <w:r w:rsidRPr="00546268">
        <w:rPr>
          <w:rFonts w:hint="eastAsia"/>
          <w:lang w:eastAsia="zh-CN"/>
        </w:rPr>
        <w:t>号文件</w:t>
      </w:r>
      <w:r>
        <w:rPr>
          <w:rFonts w:hint="eastAsia"/>
          <w:lang w:eastAsia="zh-CN"/>
        </w:rPr>
        <w:t>所说明</w:t>
      </w:r>
      <w:r w:rsidRPr="00546268">
        <w:rPr>
          <w:rFonts w:hint="eastAsia"/>
          <w:lang w:eastAsia="zh-CN"/>
        </w:rPr>
        <w:t>的程序表明，从</w:t>
      </w:r>
      <w:r>
        <w:rPr>
          <w:rFonts w:hint="eastAsia"/>
          <w:lang w:eastAsia="zh-CN"/>
        </w:rPr>
        <w:t>《</w:t>
      </w:r>
      <w:r w:rsidRPr="00546268">
        <w:rPr>
          <w:rFonts w:hint="eastAsia"/>
          <w:lang w:eastAsia="zh-CN"/>
        </w:rPr>
        <w:t>战略规划</w:t>
      </w:r>
      <w:r>
        <w:rPr>
          <w:rFonts w:hint="eastAsia"/>
          <w:lang w:eastAsia="zh-CN"/>
        </w:rPr>
        <w:t>》</w:t>
      </w:r>
      <w:r w:rsidRPr="00546268">
        <w:rPr>
          <w:rFonts w:hint="eastAsia"/>
          <w:lang w:eastAsia="zh-CN"/>
        </w:rPr>
        <w:t>到</w:t>
      </w:r>
      <w:r>
        <w:rPr>
          <w:rFonts w:hint="eastAsia"/>
          <w:lang w:eastAsia="zh-CN"/>
        </w:rPr>
        <w:t>《</w:t>
      </w:r>
      <w:r w:rsidRPr="00546268">
        <w:rPr>
          <w:rFonts w:hint="eastAsia"/>
          <w:lang w:eastAsia="zh-CN"/>
        </w:rPr>
        <w:t>财务规划</w:t>
      </w:r>
      <w:r>
        <w:rPr>
          <w:rFonts w:hint="eastAsia"/>
          <w:lang w:eastAsia="zh-CN"/>
        </w:rPr>
        <w:t>》</w:t>
      </w:r>
      <w:r w:rsidRPr="00546268">
        <w:rPr>
          <w:rFonts w:hint="eastAsia"/>
          <w:lang w:eastAsia="zh-CN"/>
        </w:rPr>
        <w:t>，再到</w:t>
      </w:r>
      <w:r>
        <w:rPr>
          <w:rFonts w:hint="eastAsia"/>
          <w:lang w:eastAsia="zh-CN"/>
        </w:rPr>
        <w:t>《</w:t>
      </w:r>
      <w:r w:rsidRPr="00546268">
        <w:rPr>
          <w:rFonts w:hint="eastAsia"/>
          <w:lang w:eastAsia="zh-CN"/>
        </w:rPr>
        <w:t>运作规划</w:t>
      </w:r>
      <w:r>
        <w:rPr>
          <w:rFonts w:hint="eastAsia"/>
          <w:lang w:eastAsia="zh-CN"/>
        </w:rPr>
        <w:t>》</w:t>
      </w:r>
      <w:r w:rsidRPr="00546268">
        <w:rPr>
          <w:rFonts w:hint="eastAsia"/>
          <w:lang w:eastAsia="zh-CN"/>
        </w:rPr>
        <w:t>，</w:t>
      </w:r>
      <w:r>
        <w:rPr>
          <w:rFonts w:hint="eastAsia"/>
          <w:lang w:eastAsia="zh-CN"/>
        </w:rPr>
        <w:t>期望</w:t>
      </w:r>
      <w:r w:rsidRPr="00546268">
        <w:rPr>
          <w:rFonts w:hint="eastAsia"/>
          <w:lang w:eastAsia="zh-CN"/>
        </w:rPr>
        <w:t>的主题重点</w:t>
      </w:r>
      <w:r w:rsidRPr="00546268">
        <w:rPr>
          <w:rFonts w:hint="eastAsia"/>
          <w:lang w:eastAsia="zh-CN"/>
        </w:rPr>
        <w:t>/</w:t>
      </w:r>
      <w:r w:rsidRPr="00546268">
        <w:rPr>
          <w:rFonts w:hint="eastAsia"/>
          <w:lang w:eastAsia="zh-CN"/>
        </w:rPr>
        <w:t>成果</w:t>
      </w:r>
      <w:r>
        <w:rPr>
          <w:rFonts w:hint="eastAsia"/>
          <w:lang w:eastAsia="zh-CN"/>
        </w:rPr>
        <w:t>应与具体</w:t>
      </w:r>
      <w:r w:rsidRPr="00546268">
        <w:rPr>
          <w:rFonts w:hint="eastAsia"/>
          <w:lang w:eastAsia="zh-CN"/>
        </w:rPr>
        <w:t>成果目标的交付</w:t>
      </w:r>
      <w:r>
        <w:rPr>
          <w:rFonts w:hint="eastAsia"/>
          <w:lang w:eastAsia="zh-CN"/>
        </w:rPr>
        <w:t>具有</w:t>
      </w:r>
      <w:r w:rsidRPr="00546268">
        <w:rPr>
          <w:rFonts w:hint="eastAsia"/>
          <w:lang w:eastAsia="zh-CN"/>
        </w:rPr>
        <w:t>明确联</w:t>
      </w:r>
      <w:r>
        <w:rPr>
          <w:rFonts w:hint="eastAsia"/>
          <w:lang w:eastAsia="zh-CN"/>
        </w:rPr>
        <w:t>系</w:t>
      </w:r>
      <w:r w:rsidRPr="00546268">
        <w:rPr>
          <w:rFonts w:hint="eastAsia"/>
          <w:lang w:eastAsia="zh-CN"/>
        </w:rPr>
        <w:t>。</w:t>
      </w:r>
    </w:p>
    <w:p w14:paraId="2E3DBC83" w14:textId="77777777" w:rsidR="00743DB7" w:rsidRPr="00344040" w:rsidRDefault="00743DB7" w:rsidP="00743DB7">
      <w:pPr>
        <w:spacing w:before="100"/>
        <w:ind w:firstLineChars="200" w:firstLine="472"/>
        <w:jc w:val="both"/>
        <w:rPr>
          <w:spacing w:val="-2"/>
          <w:lang w:eastAsia="zh-CN"/>
        </w:rPr>
      </w:pPr>
      <w:r w:rsidRPr="00546268">
        <w:rPr>
          <w:rFonts w:hint="eastAsia"/>
          <w:spacing w:val="-2"/>
          <w:lang w:eastAsia="zh-CN"/>
        </w:rPr>
        <w:t>此外，第</w:t>
      </w:r>
      <w:r w:rsidRPr="00546268">
        <w:rPr>
          <w:rFonts w:hint="eastAsia"/>
          <w:spacing w:val="-2"/>
          <w:lang w:eastAsia="zh-CN"/>
        </w:rPr>
        <w:t>71</w:t>
      </w:r>
      <w:r w:rsidRPr="00546268">
        <w:rPr>
          <w:rFonts w:hint="eastAsia"/>
          <w:spacing w:val="-2"/>
          <w:lang w:eastAsia="zh-CN"/>
        </w:rPr>
        <w:t>号决议在其核心案文中提到了联合检查组题为</w:t>
      </w:r>
      <w:r>
        <w:rPr>
          <w:rFonts w:hint="eastAsia"/>
          <w:spacing w:val="-2"/>
          <w:lang w:eastAsia="zh-CN"/>
        </w:rPr>
        <w:t>《</w:t>
      </w:r>
      <w:r w:rsidRPr="00546268">
        <w:rPr>
          <w:rFonts w:hint="eastAsia"/>
          <w:spacing w:val="-2"/>
          <w:lang w:eastAsia="zh-CN"/>
        </w:rPr>
        <w:t>联合国系统战略规划</w:t>
      </w:r>
      <w:r>
        <w:rPr>
          <w:rFonts w:hint="eastAsia"/>
          <w:spacing w:val="-2"/>
          <w:lang w:eastAsia="zh-CN"/>
        </w:rPr>
        <w:t>》</w:t>
      </w:r>
      <w:r w:rsidRPr="00546268">
        <w:rPr>
          <w:rFonts w:hint="eastAsia"/>
          <w:spacing w:val="-2"/>
          <w:lang w:eastAsia="zh-CN"/>
        </w:rPr>
        <w:t>的报告。</w:t>
      </w:r>
      <w:r>
        <w:rPr>
          <w:rFonts w:hint="eastAsia"/>
          <w:spacing w:val="-2"/>
          <w:lang w:eastAsia="zh-CN"/>
        </w:rPr>
        <w:t>虽然</w:t>
      </w:r>
      <w:r w:rsidRPr="00546268">
        <w:rPr>
          <w:rFonts w:hint="eastAsia"/>
          <w:spacing w:val="-2"/>
          <w:lang w:eastAsia="zh-CN"/>
        </w:rPr>
        <w:t>该报告</w:t>
      </w:r>
      <w:r>
        <w:rPr>
          <w:rFonts w:hint="eastAsia"/>
          <w:spacing w:val="-2"/>
          <w:lang w:eastAsia="zh-CN"/>
        </w:rPr>
        <w:t>发布于</w:t>
      </w:r>
      <w:r w:rsidRPr="00546268">
        <w:rPr>
          <w:rFonts w:hint="eastAsia"/>
          <w:spacing w:val="-2"/>
          <w:lang w:eastAsia="zh-CN"/>
        </w:rPr>
        <w:t>2012</w:t>
      </w:r>
      <w:r w:rsidRPr="00546268">
        <w:rPr>
          <w:rFonts w:hint="eastAsia"/>
          <w:spacing w:val="-2"/>
          <w:lang w:eastAsia="zh-CN"/>
        </w:rPr>
        <w:t>年，但它包含</w:t>
      </w:r>
      <w:r>
        <w:rPr>
          <w:rFonts w:hint="eastAsia"/>
          <w:spacing w:val="-2"/>
          <w:lang w:eastAsia="zh-CN"/>
        </w:rPr>
        <w:t>了</w:t>
      </w:r>
      <w:r w:rsidRPr="00546268">
        <w:rPr>
          <w:rFonts w:hint="eastAsia"/>
          <w:spacing w:val="-2"/>
          <w:lang w:eastAsia="zh-CN"/>
        </w:rPr>
        <w:t>联合国系统战略规划的基本定义和原则。战略规划被描述为</w:t>
      </w:r>
      <w:r>
        <w:rPr>
          <w:rFonts w:hint="eastAsia"/>
          <w:spacing w:val="-2"/>
          <w:lang w:eastAsia="zh-CN"/>
        </w:rPr>
        <w:t>定义</w:t>
      </w:r>
      <w:r w:rsidRPr="00546268">
        <w:rPr>
          <w:rFonts w:hint="eastAsia"/>
          <w:spacing w:val="-2"/>
          <w:lang w:eastAsia="zh-CN"/>
        </w:rPr>
        <w:t>一个组织的中长期目标以及实现这些目标的资源计划的过程。联检组的报告解释了在战略规划和资源分配之间建立明确</w:t>
      </w:r>
      <w:r>
        <w:rPr>
          <w:rFonts w:hint="eastAsia"/>
          <w:spacing w:val="-2"/>
          <w:lang w:eastAsia="zh-CN"/>
        </w:rPr>
        <w:t>联系</w:t>
      </w:r>
      <w:r w:rsidRPr="00546268">
        <w:rPr>
          <w:rFonts w:hint="eastAsia"/>
          <w:spacing w:val="-2"/>
          <w:lang w:eastAsia="zh-CN"/>
        </w:rPr>
        <w:t>的必要性，同时强调</w:t>
      </w:r>
      <w:r>
        <w:rPr>
          <w:rFonts w:hint="eastAsia"/>
          <w:spacing w:val="-2"/>
          <w:lang w:eastAsia="zh-CN"/>
        </w:rPr>
        <w:t>，</w:t>
      </w:r>
      <w:r w:rsidRPr="00546268">
        <w:rPr>
          <w:rFonts w:hint="eastAsia"/>
          <w:spacing w:val="-2"/>
          <w:lang w:eastAsia="zh-CN"/>
        </w:rPr>
        <w:t>无论如何，战略规划不应受预算驱动，而应受职责驱动。战略规划需要提供一种明确</w:t>
      </w:r>
      <w:r>
        <w:rPr>
          <w:rFonts w:hint="eastAsia"/>
          <w:spacing w:val="-2"/>
          <w:lang w:eastAsia="zh-CN"/>
        </w:rPr>
        <w:t>界定</w:t>
      </w:r>
      <w:r w:rsidRPr="00546268">
        <w:rPr>
          <w:rFonts w:hint="eastAsia"/>
          <w:spacing w:val="-2"/>
          <w:lang w:eastAsia="zh-CN"/>
        </w:rPr>
        <w:t>的机制来确定实施规划所需的资源。它应成为确定和调动本组织所有可用资源，</w:t>
      </w:r>
      <w:r>
        <w:rPr>
          <w:rFonts w:hint="eastAsia"/>
          <w:spacing w:val="-2"/>
          <w:lang w:eastAsia="zh-CN"/>
        </w:rPr>
        <w:t>以及确定优先顺序的手段，以</w:t>
      </w:r>
      <w:r w:rsidRPr="00507B9A">
        <w:rPr>
          <w:rFonts w:hint="eastAsia"/>
          <w:spacing w:val="-2"/>
          <w:lang w:eastAsia="zh-CN"/>
        </w:rPr>
        <w:t>优化资源配置和使用，实现商定的</w:t>
      </w:r>
      <w:r>
        <w:rPr>
          <w:rFonts w:hint="eastAsia"/>
          <w:spacing w:val="-2"/>
          <w:lang w:eastAsia="zh-CN"/>
        </w:rPr>
        <w:t>总体</w:t>
      </w:r>
      <w:r w:rsidRPr="00507B9A">
        <w:rPr>
          <w:rFonts w:hint="eastAsia"/>
          <w:spacing w:val="-2"/>
          <w:lang w:eastAsia="zh-CN"/>
        </w:rPr>
        <w:t>目标</w:t>
      </w:r>
      <w:r>
        <w:rPr>
          <w:rFonts w:hint="eastAsia"/>
          <w:spacing w:val="-2"/>
          <w:lang w:eastAsia="zh-CN"/>
        </w:rPr>
        <w:t>和部门目标。</w:t>
      </w:r>
      <w:r w:rsidRPr="00546268">
        <w:rPr>
          <w:rFonts w:hint="eastAsia"/>
          <w:spacing w:val="-2"/>
          <w:lang w:eastAsia="zh-CN"/>
        </w:rPr>
        <w:t>战略规划还应响应组织的管理需求，作为</w:t>
      </w:r>
      <w:r>
        <w:rPr>
          <w:rFonts w:hint="eastAsia"/>
          <w:spacing w:val="-2"/>
          <w:lang w:eastAsia="zh-CN"/>
        </w:rPr>
        <w:t>工具，</w:t>
      </w:r>
      <w:r w:rsidRPr="00F3177B">
        <w:rPr>
          <w:rFonts w:hint="eastAsia"/>
          <w:spacing w:val="-2"/>
          <w:lang w:eastAsia="zh-CN"/>
        </w:rPr>
        <w:t>它应成为组织的路线图</w:t>
      </w:r>
      <w:r>
        <w:rPr>
          <w:rFonts w:hint="eastAsia"/>
          <w:spacing w:val="-2"/>
          <w:lang w:eastAsia="zh-CN"/>
        </w:rPr>
        <w:t>，</w:t>
      </w:r>
      <w:r w:rsidRPr="00546268">
        <w:rPr>
          <w:rFonts w:hint="eastAsia"/>
          <w:spacing w:val="-2"/>
          <w:lang w:eastAsia="zh-CN"/>
        </w:rPr>
        <w:t>使组织的每个部门</w:t>
      </w:r>
      <w:r w:rsidRPr="00546268">
        <w:rPr>
          <w:rFonts w:hint="eastAsia"/>
          <w:spacing w:val="-2"/>
          <w:lang w:eastAsia="zh-CN"/>
        </w:rPr>
        <w:t>/</w:t>
      </w:r>
      <w:r w:rsidRPr="00546268">
        <w:rPr>
          <w:rFonts w:hint="eastAsia"/>
          <w:spacing w:val="-2"/>
          <w:lang w:eastAsia="zh-CN"/>
        </w:rPr>
        <w:t>处室都能</w:t>
      </w:r>
      <w:r w:rsidRPr="00F3177B">
        <w:rPr>
          <w:rFonts w:hint="eastAsia"/>
          <w:spacing w:val="-2"/>
          <w:lang w:eastAsia="zh-CN"/>
        </w:rPr>
        <w:t>在大局中找准自身定位</w:t>
      </w:r>
      <w:r w:rsidRPr="00546268">
        <w:rPr>
          <w:rFonts w:hint="eastAsia"/>
          <w:spacing w:val="-2"/>
          <w:lang w:eastAsia="zh-CN"/>
        </w:rPr>
        <w:t>，并将其日常目标与战略规划的总体实现联系起来。战略规划必须与明确界定的实施机制相关联（如，与运作规划相匹配）。</w:t>
      </w:r>
    </w:p>
    <w:p w14:paraId="1175C6E8" w14:textId="77777777" w:rsidR="00743DB7" w:rsidRPr="002F242C" w:rsidRDefault="00743DB7" w:rsidP="00743DB7">
      <w:pPr>
        <w:spacing w:before="100"/>
        <w:ind w:firstLineChars="200" w:firstLine="480"/>
        <w:jc w:val="both"/>
        <w:rPr>
          <w:lang w:eastAsia="zh-CN"/>
        </w:rPr>
      </w:pPr>
      <w:r w:rsidRPr="00546268">
        <w:rPr>
          <w:rFonts w:hint="eastAsia"/>
          <w:lang w:eastAsia="zh-CN"/>
        </w:rPr>
        <w:t>战略规划是每个组织</w:t>
      </w:r>
      <w:r>
        <w:rPr>
          <w:rFonts w:hint="eastAsia"/>
          <w:lang w:eastAsia="zh-CN"/>
        </w:rPr>
        <w:t>开展</w:t>
      </w:r>
      <w:r w:rsidRPr="00546268">
        <w:rPr>
          <w:rFonts w:hint="eastAsia"/>
          <w:lang w:eastAsia="zh-CN"/>
        </w:rPr>
        <w:t>有效运作和成功</w:t>
      </w:r>
      <w:r>
        <w:rPr>
          <w:rFonts w:hint="eastAsia"/>
          <w:lang w:eastAsia="zh-CN"/>
        </w:rPr>
        <w:t>履行</w:t>
      </w:r>
      <w:r w:rsidRPr="00546268">
        <w:rPr>
          <w:rFonts w:hint="eastAsia"/>
          <w:lang w:eastAsia="zh-CN"/>
        </w:rPr>
        <w:t>职责（</w:t>
      </w:r>
      <w:r>
        <w:rPr>
          <w:rFonts w:hint="eastAsia"/>
          <w:lang w:eastAsia="zh-CN"/>
        </w:rPr>
        <w:t>实现总体</w:t>
      </w:r>
      <w:r w:rsidRPr="00546268">
        <w:rPr>
          <w:rFonts w:hint="eastAsia"/>
          <w:lang w:eastAsia="zh-CN"/>
        </w:rPr>
        <w:t>目标）的重要前提。规划本身与资源有效分配的关系</w:t>
      </w:r>
      <w:r>
        <w:rPr>
          <w:rFonts w:hint="eastAsia"/>
          <w:lang w:eastAsia="zh-CN"/>
        </w:rPr>
        <w:t>，</w:t>
      </w:r>
      <w:r w:rsidRPr="00546268">
        <w:rPr>
          <w:rFonts w:hint="eastAsia"/>
          <w:lang w:eastAsia="zh-CN"/>
        </w:rPr>
        <w:t>以及活动与结果的联系尤为重要。</w:t>
      </w:r>
    </w:p>
    <w:p w14:paraId="6E5C7989" w14:textId="77777777" w:rsidR="00743DB7" w:rsidRPr="002F242C" w:rsidRDefault="00743DB7" w:rsidP="00743DB7">
      <w:pPr>
        <w:spacing w:before="100"/>
        <w:ind w:firstLineChars="200" w:firstLine="480"/>
        <w:jc w:val="both"/>
        <w:rPr>
          <w:lang w:eastAsia="zh-CN"/>
        </w:rPr>
      </w:pPr>
      <w:r w:rsidRPr="00546268">
        <w:rPr>
          <w:rFonts w:hint="eastAsia"/>
          <w:lang w:eastAsia="zh-CN"/>
        </w:rPr>
        <w:t>另一个与战略规划直接相关的考</w:t>
      </w:r>
      <w:r>
        <w:rPr>
          <w:rFonts w:hint="eastAsia"/>
          <w:lang w:eastAsia="zh-CN"/>
        </w:rPr>
        <w:t>量</w:t>
      </w:r>
      <w:r w:rsidRPr="00546268">
        <w:rPr>
          <w:rFonts w:hint="eastAsia"/>
          <w:lang w:eastAsia="zh-CN"/>
        </w:rPr>
        <w:t>是，国际电联作为联合国机构，需要将其核心活动的规划与</w:t>
      </w:r>
      <w:r w:rsidRPr="00546268">
        <w:rPr>
          <w:rFonts w:hint="eastAsia"/>
          <w:lang w:eastAsia="zh-CN"/>
        </w:rPr>
        <w:t>UN80</w:t>
      </w:r>
      <w:r>
        <w:rPr>
          <w:rFonts w:hint="eastAsia"/>
          <w:lang w:eastAsia="zh-CN"/>
        </w:rPr>
        <w:t>举措</w:t>
      </w:r>
      <w:r w:rsidRPr="00546268">
        <w:rPr>
          <w:rFonts w:hint="eastAsia"/>
          <w:lang w:eastAsia="zh-CN"/>
        </w:rPr>
        <w:t>保持一致，该</w:t>
      </w:r>
      <w:r>
        <w:rPr>
          <w:rFonts w:hint="eastAsia"/>
          <w:lang w:eastAsia="zh-CN"/>
        </w:rPr>
        <w:t>举措</w:t>
      </w:r>
      <w:r w:rsidRPr="00546268">
        <w:rPr>
          <w:rFonts w:hint="eastAsia"/>
          <w:lang w:eastAsia="zh-CN"/>
        </w:rPr>
        <w:t>旨在将联合国系统转变为一个更有效、更灵活和面向未来的组织，包括通过审查</w:t>
      </w:r>
      <w:r>
        <w:rPr>
          <w:rFonts w:hint="eastAsia"/>
          <w:lang w:eastAsia="zh-CN"/>
        </w:rPr>
        <w:t>各</w:t>
      </w:r>
      <w:r w:rsidRPr="00546268">
        <w:rPr>
          <w:rFonts w:hint="eastAsia"/>
          <w:lang w:eastAsia="zh-CN"/>
        </w:rPr>
        <w:t>机构的职权和确定提高其效能的机会</w:t>
      </w:r>
      <w:r>
        <w:rPr>
          <w:rFonts w:hint="eastAsia"/>
          <w:lang w:eastAsia="zh-CN"/>
        </w:rPr>
        <w:t>来实现</w:t>
      </w:r>
      <w:r w:rsidRPr="00546268">
        <w:rPr>
          <w:rFonts w:hint="eastAsia"/>
          <w:lang w:eastAsia="zh-CN"/>
        </w:rPr>
        <w:t>。国际电联新的四年期</w:t>
      </w:r>
      <w:r>
        <w:rPr>
          <w:rFonts w:hint="eastAsia"/>
          <w:lang w:eastAsia="zh-CN"/>
        </w:rPr>
        <w:t>《</w:t>
      </w:r>
      <w:r w:rsidRPr="00546268">
        <w:rPr>
          <w:rFonts w:hint="eastAsia"/>
          <w:lang w:eastAsia="zh-CN"/>
        </w:rPr>
        <w:t>战略规划</w:t>
      </w:r>
      <w:r>
        <w:rPr>
          <w:rFonts w:hint="eastAsia"/>
          <w:lang w:eastAsia="zh-CN"/>
        </w:rPr>
        <w:t>》也须体现</w:t>
      </w:r>
      <w:r w:rsidRPr="00546268">
        <w:rPr>
          <w:rFonts w:hint="eastAsia"/>
          <w:lang w:eastAsia="zh-CN"/>
        </w:rPr>
        <w:t>UN80</w:t>
      </w:r>
      <w:r w:rsidRPr="00546268">
        <w:rPr>
          <w:rFonts w:hint="eastAsia"/>
          <w:lang w:eastAsia="zh-CN"/>
        </w:rPr>
        <w:t>的主要目标。</w:t>
      </w:r>
      <w:r>
        <w:rPr>
          <w:rFonts w:hint="eastAsia"/>
          <w:lang w:eastAsia="zh-CN"/>
        </w:rPr>
        <w:t>考虑到</w:t>
      </w:r>
      <w:r w:rsidRPr="00546268">
        <w:rPr>
          <w:rFonts w:hint="eastAsia"/>
          <w:lang w:eastAsia="zh-CN"/>
        </w:rPr>
        <w:t>国际电联内部</w:t>
      </w:r>
      <w:r>
        <w:rPr>
          <w:rFonts w:hint="eastAsia"/>
          <w:lang w:eastAsia="zh-CN"/>
        </w:rPr>
        <w:t>面临</w:t>
      </w:r>
      <w:r w:rsidRPr="00546268">
        <w:rPr>
          <w:rFonts w:hint="eastAsia"/>
          <w:lang w:eastAsia="zh-CN"/>
        </w:rPr>
        <w:t>的财务限制</w:t>
      </w:r>
      <w:r>
        <w:rPr>
          <w:rFonts w:hint="eastAsia"/>
          <w:lang w:eastAsia="zh-CN"/>
        </w:rPr>
        <w:t>，亦</w:t>
      </w:r>
      <w:r w:rsidRPr="00546268">
        <w:rPr>
          <w:rFonts w:hint="eastAsia"/>
          <w:lang w:eastAsia="zh-CN"/>
        </w:rPr>
        <w:t>有必要在本组织的广泛职责范围内确定各项活动的</w:t>
      </w:r>
      <w:r>
        <w:rPr>
          <w:rFonts w:hint="eastAsia"/>
          <w:lang w:eastAsia="zh-CN"/>
        </w:rPr>
        <w:t>优先顺序</w:t>
      </w:r>
      <w:r w:rsidRPr="00546268">
        <w:rPr>
          <w:rFonts w:hint="eastAsia"/>
          <w:lang w:eastAsia="zh-CN"/>
        </w:rPr>
        <w:t>，重点</w:t>
      </w:r>
      <w:r>
        <w:rPr>
          <w:rFonts w:hint="eastAsia"/>
          <w:lang w:eastAsia="zh-CN"/>
        </w:rPr>
        <w:t>关注对</w:t>
      </w:r>
      <w:r w:rsidRPr="00546268">
        <w:rPr>
          <w:rFonts w:hint="eastAsia"/>
          <w:lang w:eastAsia="zh-CN"/>
        </w:rPr>
        <w:t>成员国</w:t>
      </w:r>
      <w:r>
        <w:rPr>
          <w:rFonts w:hint="eastAsia"/>
          <w:lang w:eastAsia="zh-CN"/>
        </w:rPr>
        <w:t>而言</w:t>
      </w:r>
      <w:r w:rsidRPr="00546268">
        <w:rPr>
          <w:rFonts w:hint="eastAsia"/>
          <w:lang w:eastAsia="zh-CN"/>
        </w:rPr>
        <w:t>最重要的</w:t>
      </w:r>
      <w:r>
        <w:rPr>
          <w:rFonts w:hint="eastAsia"/>
          <w:lang w:eastAsia="zh-CN"/>
        </w:rPr>
        <w:t>重点工作</w:t>
      </w:r>
      <w:r w:rsidRPr="00546268">
        <w:rPr>
          <w:rFonts w:hint="eastAsia"/>
          <w:lang w:eastAsia="zh-CN"/>
        </w:rPr>
        <w:t>，</w:t>
      </w:r>
      <w:r>
        <w:rPr>
          <w:rFonts w:hint="eastAsia"/>
          <w:lang w:eastAsia="zh-CN"/>
        </w:rPr>
        <w:t>以及</w:t>
      </w:r>
      <w:r w:rsidRPr="00546268">
        <w:rPr>
          <w:rFonts w:hint="eastAsia"/>
          <w:lang w:eastAsia="zh-CN"/>
        </w:rPr>
        <w:t>提高治理有效性。</w:t>
      </w:r>
    </w:p>
    <w:p w14:paraId="6CAF7301" w14:textId="77777777" w:rsidR="00743DB7" w:rsidRPr="002F242C" w:rsidRDefault="00743DB7" w:rsidP="00743DB7">
      <w:pPr>
        <w:spacing w:before="100"/>
        <w:ind w:firstLineChars="200" w:firstLine="480"/>
        <w:jc w:val="both"/>
        <w:rPr>
          <w:lang w:eastAsia="zh-CN"/>
        </w:rPr>
      </w:pPr>
      <w:r w:rsidRPr="00546268">
        <w:rPr>
          <w:rFonts w:hint="eastAsia"/>
          <w:lang w:eastAsia="zh-CN"/>
        </w:rPr>
        <w:lastRenderedPageBreak/>
        <w:t>国际电联《战略规划》应明确区分作为行政机构</w:t>
      </w:r>
      <w:r>
        <w:rPr>
          <w:rFonts w:hint="eastAsia"/>
          <w:lang w:eastAsia="zh-CN"/>
        </w:rPr>
        <w:t>的</w:t>
      </w:r>
      <w:r w:rsidRPr="00546268">
        <w:rPr>
          <w:rFonts w:hint="eastAsia"/>
          <w:lang w:eastAsia="zh-CN"/>
        </w:rPr>
        <w:t>国际电联</w:t>
      </w:r>
      <w:r>
        <w:rPr>
          <w:rFonts w:hint="eastAsia"/>
          <w:lang w:eastAsia="zh-CN"/>
        </w:rPr>
        <w:t>开展</w:t>
      </w:r>
      <w:r w:rsidRPr="00546268">
        <w:rPr>
          <w:rFonts w:hint="eastAsia"/>
          <w:lang w:eastAsia="zh-CN"/>
        </w:rPr>
        <w:t>的职责驱动</w:t>
      </w:r>
      <w:r>
        <w:rPr>
          <w:rFonts w:hint="eastAsia"/>
          <w:lang w:eastAsia="zh-CN"/>
        </w:rPr>
        <w:t>型</w:t>
      </w:r>
      <w:r w:rsidRPr="00546268">
        <w:rPr>
          <w:rFonts w:hint="eastAsia"/>
          <w:lang w:eastAsia="zh-CN"/>
        </w:rPr>
        <w:t>活动与那些由成员国（或作为成员国联盟</w:t>
      </w:r>
      <w:r>
        <w:rPr>
          <w:rFonts w:hint="eastAsia"/>
          <w:lang w:eastAsia="zh-CN"/>
        </w:rPr>
        <w:t>的</w:t>
      </w:r>
      <w:r w:rsidRPr="00546268">
        <w:rPr>
          <w:rFonts w:hint="eastAsia"/>
          <w:lang w:eastAsia="zh-CN"/>
        </w:rPr>
        <w:t>国际电联）享有</w:t>
      </w:r>
      <w:r>
        <w:rPr>
          <w:rFonts w:hint="eastAsia"/>
          <w:lang w:eastAsia="zh-CN"/>
        </w:rPr>
        <w:t>并</w:t>
      </w:r>
      <w:r w:rsidRPr="00546268">
        <w:rPr>
          <w:rFonts w:hint="eastAsia"/>
          <w:lang w:eastAsia="zh-CN"/>
        </w:rPr>
        <w:t>完全控制的活动。国际电联</w:t>
      </w:r>
      <w:r>
        <w:rPr>
          <w:rFonts w:hint="eastAsia"/>
          <w:lang w:eastAsia="zh-CN"/>
        </w:rPr>
        <w:t>《</w:t>
      </w:r>
      <w:r w:rsidRPr="00546268">
        <w:rPr>
          <w:rFonts w:hint="eastAsia"/>
          <w:lang w:eastAsia="zh-CN"/>
        </w:rPr>
        <w:t>战略规划</w:t>
      </w:r>
      <w:r>
        <w:rPr>
          <w:rFonts w:hint="eastAsia"/>
          <w:lang w:eastAsia="zh-CN"/>
        </w:rPr>
        <w:t>》</w:t>
      </w:r>
      <w:r w:rsidRPr="00546268">
        <w:rPr>
          <w:rFonts w:hint="eastAsia"/>
          <w:lang w:eastAsia="zh-CN"/>
        </w:rPr>
        <w:t>应是国际电联作为一个组织</w:t>
      </w:r>
      <w:r>
        <w:rPr>
          <w:rFonts w:hint="eastAsia"/>
          <w:lang w:eastAsia="zh-CN"/>
        </w:rPr>
        <w:t>、</w:t>
      </w:r>
      <w:r w:rsidRPr="00546268">
        <w:rPr>
          <w:rFonts w:hint="eastAsia"/>
          <w:lang w:eastAsia="zh-CN"/>
        </w:rPr>
        <w:t>一个行政</w:t>
      </w:r>
      <w:r>
        <w:rPr>
          <w:rFonts w:hint="eastAsia"/>
          <w:lang w:eastAsia="zh-CN"/>
        </w:rPr>
        <w:t>机</w:t>
      </w:r>
      <w:r w:rsidRPr="00546268">
        <w:rPr>
          <w:rFonts w:hint="eastAsia"/>
          <w:lang w:eastAsia="zh-CN"/>
        </w:rPr>
        <w:t>构，在某些领域（</w:t>
      </w:r>
      <w:r>
        <w:rPr>
          <w:rFonts w:hint="eastAsia"/>
          <w:lang w:eastAsia="zh-CN"/>
        </w:rPr>
        <w:t>由国际电联</w:t>
      </w:r>
      <w:r w:rsidRPr="00546268">
        <w:rPr>
          <w:rFonts w:hint="eastAsia"/>
          <w:lang w:eastAsia="zh-CN"/>
        </w:rPr>
        <w:t>的职责范围具体规定）支持成员国的</w:t>
      </w:r>
      <w:r>
        <w:rPr>
          <w:rFonts w:hint="eastAsia"/>
          <w:lang w:eastAsia="zh-CN"/>
        </w:rPr>
        <w:t>明确</w:t>
      </w:r>
      <w:r w:rsidRPr="00546268">
        <w:rPr>
          <w:rFonts w:hint="eastAsia"/>
          <w:lang w:eastAsia="zh-CN"/>
        </w:rPr>
        <w:t>规划。</w:t>
      </w:r>
      <w:r>
        <w:rPr>
          <w:rFonts w:hint="eastAsia"/>
          <w:lang w:eastAsia="zh-CN"/>
        </w:rPr>
        <w:t>《</w:t>
      </w:r>
      <w:r w:rsidRPr="00546268">
        <w:rPr>
          <w:rFonts w:hint="eastAsia"/>
          <w:lang w:eastAsia="zh-CN"/>
        </w:rPr>
        <w:t>战略规划</w:t>
      </w:r>
      <w:r>
        <w:rPr>
          <w:rFonts w:hint="eastAsia"/>
          <w:lang w:eastAsia="zh-CN"/>
        </w:rPr>
        <w:t>》</w:t>
      </w:r>
      <w:r w:rsidRPr="00546268">
        <w:rPr>
          <w:rFonts w:hint="eastAsia"/>
          <w:lang w:eastAsia="zh-CN"/>
        </w:rPr>
        <w:t>不应是一份暗示成员国义务或假定</w:t>
      </w:r>
      <w:r>
        <w:rPr>
          <w:rFonts w:hint="eastAsia"/>
          <w:lang w:eastAsia="zh-CN"/>
        </w:rPr>
        <w:t>由</w:t>
      </w:r>
      <w:r w:rsidRPr="00546268">
        <w:rPr>
          <w:rFonts w:hint="eastAsia"/>
          <w:lang w:eastAsia="zh-CN"/>
        </w:rPr>
        <w:t>成员国或部门成员采取具体行动的文件。它是</w:t>
      </w:r>
      <w:r>
        <w:rPr>
          <w:rFonts w:hint="eastAsia"/>
          <w:lang w:eastAsia="zh-CN"/>
        </w:rPr>
        <w:t>国际电联作为行政组织和</w:t>
      </w:r>
      <w:r w:rsidRPr="00546268">
        <w:rPr>
          <w:rFonts w:hint="eastAsia"/>
          <w:lang w:eastAsia="zh-CN"/>
        </w:rPr>
        <w:t>支持国际合作</w:t>
      </w:r>
      <w:r>
        <w:rPr>
          <w:rFonts w:hint="eastAsia"/>
          <w:lang w:eastAsia="zh-CN"/>
        </w:rPr>
        <w:t>与</w:t>
      </w:r>
      <w:r w:rsidRPr="00546268">
        <w:rPr>
          <w:rFonts w:hint="eastAsia"/>
          <w:lang w:eastAsia="zh-CN"/>
        </w:rPr>
        <w:t>全球层面决策的</w:t>
      </w:r>
      <w:r>
        <w:rPr>
          <w:rFonts w:hint="eastAsia"/>
          <w:lang w:eastAsia="zh-CN"/>
        </w:rPr>
        <w:t>机</w:t>
      </w:r>
      <w:r w:rsidRPr="00546268">
        <w:rPr>
          <w:rFonts w:hint="eastAsia"/>
          <w:lang w:eastAsia="zh-CN"/>
        </w:rPr>
        <w:t>构</w:t>
      </w:r>
      <w:r>
        <w:rPr>
          <w:rFonts w:hint="eastAsia"/>
          <w:lang w:eastAsia="zh-CN"/>
        </w:rPr>
        <w:t>，</w:t>
      </w:r>
      <w:r w:rsidRPr="00546268">
        <w:rPr>
          <w:rFonts w:hint="eastAsia"/>
          <w:lang w:eastAsia="zh-CN"/>
        </w:rPr>
        <w:t>在其职责框架内组织活动和任务</w:t>
      </w:r>
      <w:r>
        <w:rPr>
          <w:rFonts w:hint="eastAsia"/>
          <w:lang w:eastAsia="zh-CN"/>
        </w:rPr>
        <w:t>，</w:t>
      </w:r>
      <w:r w:rsidRPr="00546268">
        <w:rPr>
          <w:rFonts w:hint="eastAsia"/>
          <w:lang w:eastAsia="zh-CN"/>
        </w:rPr>
        <w:t>并确定其优先</w:t>
      </w:r>
      <w:r>
        <w:rPr>
          <w:rFonts w:hint="eastAsia"/>
          <w:lang w:eastAsia="zh-CN"/>
        </w:rPr>
        <w:t>顺序</w:t>
      </w:r>
      <w:r w:rsidRPr="00546268">
        <w:rPr>
          <w:rFonts w:hint="eastAsia"/>
          <w:lang w:eastAsia="zh-CN"/>
        </w:rPr>
        <w:t>的</w:t>
      </w:r>
      <w:r>
        <w:rPr>
          <w:rFonts w:hint="eastAsia"/>
          <w:lang w:eastAsia="zh-CN"/>
        </w:rPr>
        <w:t>一项</w:t>
      </w:r>
      <w:r w:rsidRPr="00546268">
        <w:rPr>
          <w:rFonts w:hint="eastAsia"/>
          <w:lang w:eastAsia="zh-CN"/>
        </w:rPr>
        <w:t>计划。我们认为应特别关注这一方向，包括制定国际电联工作的全球</w:t>
      </w:r>
      <w:r>
        <w:rPr>
          <w:rFonts w:hint="eastAsia"/>
          <w:lang w:eastAsia="zh-CN"/>
        </w:rPr>
        <w:t>总体</w:t>
      </w:r>
      <w:r w:rsidRPr="00546268">
        <w:rPr>
          <w:rFonts w:hint="eastAsia"/>
          <w:lang w:eastAsia="zh-CN"/>
        </w:rPr>
        <w:t>目标、主题重点和预期成果。案文的措辞不应反映成员国的总体预期结果或成果（无论是否得到作为行政机构的国际电联的支持），而应反映作为行政机构的国际电联对</w:t>
      </w:r>
      <w:r>
        <w:rPr>
          <w:rFonts w:hint="eastAsia"/>
          <w:lang w:eastAsia="zh-CN"/>
        </w:rPr>
        <w:t>取得</w:t>
      </w:r>
      <w:r w:rsidRPr="00546268">
        <w:rPr>
          <w:rFonts w:hint="eastAsia"/>
          <w:lang w:eastAsia="zh-CN"/>
        </w:rPr>
        <w:t>这些结果和成果</w:t>
      </w:r>
      <w:r>
        <w:rPr>
          <w:rFonts w:hint="eastAsia"/>
          <w:lang w:eastAsia="zh-CN"/>
        </w:rPr>
        <w:t>做出</w:t>
      </w:r>
      <w:r w:rsidRPr="00546268">
        <w:rPr>
          <w:rFonts w:hint="eastAsia"/>
          <w:lang w:eastAsia="zh-CN"/>
        </w:rPr>
        <w:t>的</w:t>
      </w:r>
      <w:r>
        <w:rPr>
          <w:rFonts w:hint="eastAsia"/>
          <w:lang w:eastAsia="zh-CN"/>
        </w:rPr>
        <w:t>贡献</w:t>
      </w:r>
      <w:r w:rsidRPr="00546268">
        <w:rPr>
          <w:rFonts w:hint="eastAsia"/>
          <w:lang w:eastAsia="zh-CN"/>
        </w:rPr>
        <w:t>。有必要强调国际电联的作用，即它为成员国与部门成员、政府与企业之间的合作提供平台和技术专长，并以社会和经济</w:t>
      </w:r>
      <w:r>
        <w:rPr>
          <w:rFonts w:hint="eastAsia"/>
          <w:lang w:eastAsia="zh-CN"/>
        </w:rPr>
        <w:t>的</w:t>
      </w:r>
      <w:r w:rsidRPr="00546268">
        <w:rPr>
          <w:rFonts w:hint="eastAsia"/>
          <w:lang w:eastAsia="zh-CN"/>
        </w:rPr>
        <w:t>普遍和可持续发展的名义，</w:t>
      </w:r>
      <w:r>
        <w:rPr>
          <w:rFonts w:hint="eastAsia"/>
          <w:lang w:eastAsia="zh-CN"/>
        </w:rPr>
        <w:t>推动</w:t>
      </w:r>
      <w:r w:rsidRPr="00546268">
        <w:rPr>
          <w:rFonts w:hint="eastAsia"/>
          <w:lang w:eastAsia="zh-CN"/>
        </w:rPr>
        <w:t>信息和电信网络、技术和服务的包容性发展。这一作用必须在总体目标、主题重点、成果和成果指标的措辞中</w:t>
      </w:r>
      <w:r>
        <w:rPr>
          <w:rFonts w:hint="eastAsia"/>
          <w:lang w:eastAsia="zh-CN"/>
        </w:rPr>
        <w:t>得到</w:t>
      </w:r>
      <w:r w:rsidRPr="00546268">
        <w:rPr>
          <w:rFonts w:hint="eastAsia"/>
          <w:lang w:eastAsia="zh-CN"/>
        </w:rPr>
        <w:t>明确体现。</w:t>
      </w:r>
    </w:p>
    <w:p w14:paraId="21DBDF7B" w14:textId="77777777" w:rsidR="00743DB7" w:rsidRPr="002F242C" w:rsidRDefault="00743DB7" w:rsidP="00743DB7">
      <w:pPr>
        <w:pStyle w:val="Heading1"/>
        <w:spacing w:before="240"/>
        <w:rPr>
          <w:lang w:eastAsia="zh-CN"/>
        </w:rPr>
      </w:pPr>
      <w:r w:rsidRPr="002F242C">
        <w:rPr>
          <w:lang w:eastAsia="zh-CN"/>
        </w:rPr>
        <w:t>2</w:t>
      </w:r>
      <w:r w:rsidRPr="002F242C">
        <w:rPr>
          <w:lang w:eastAsia="zh-CN"/>
        </w:rPr>
        <w:tab/>
      </w:r>
      <w:r>
        <w:rPr>
          <w:rFonts w:hint="eastAsia"/>
          <w:lang w:eastAsia="zh-CN"/>
        </w:rPr>
        <w:t>讨论</w:t>
      </w:r>
    </w:p>
    <w:p w14:paraId="0B193DBD" w14:textId="77777777" w:rsidR="00743DB7" w:rsidRPr="00344040" w:rsidRDefault="00743DB7" w:rsidP="00743DB7">
      <w:pPr>
        <w:spacing w:before="100"/>
        <w:ind w:firstLineChars="200" w:firstLine="472"/>
        <w:jc w:val="both"/>
        <w:rPr>
          <w:spacing w:val="-2"/>
          <w:lang w:eastAsia="zh-CN"/>
        </w:rPr>
      </w:pPr>
      <w:r w:rsidRPr="00546268">
        <w:rPr>
          <w:rFonts w:hint="eastAsia"/>
          <w:spacing w:val="-2"/>
          <w:lang w:eastAsia="zh-CN"/>
        </w:rPr>
        <w:t>鉴于上述</w:t>
      </w:r>
      <w:r>
        <w:rPr>
          <w:rFonts w:hint="eastAsia"/>
          <w:spacing w:val="-2"/>
          <w:lang w:eastAsia="zh-CN"/>
        </w:rPr>
        <w:t>“</w:t>
      </w:r>
      <w:r w:rsidRPr="00546268">
        <w:rPr>
          <w:rFonts w:hint="eastAsia"/>
          <w:spacing w:val="-2"/>
          <w:lang w:eastAsia="zh-CN"/>
        </w:rPr>
        <w:t>背景</w:t>
      </w:r>
      <w:r>
        <w:rPr>
          <w:rFonts w:hint="eastAsia"/>
          <w:spacing w:val="-2"/>
          <w:lang w:eastAsia="zh-CN"/>
        </w:rPr>
        <w:t>”</w:t>
      </w:r>
      <w:r w:rsidRPr="00546268">
        <w:rPr>
          <w:rFonts w:hint="eastAsia"/>
          <w:spacing w:val="-2"/>
          <w:lang w:eastAsia="zh-CN"/>
        </w:rPr>
        <w:t>章节</w:t>
      </w:r>
      <w:r>
        <w:rPr>
          <w:rFonts w:hint="eastAsia"/>
          <w:spacing w:val="-2"/>
          <w:lang w:eastAsia="zh-CN"/>
        </w:rPr>
        <w:t>提供</w:t>
      </w:r>
      <w:r w:rsidRPr="00546268">
        <w:rPr>
          <w:rFonts w:hint="eastAsia"/>
          <w:spacing w:val="-2"/>
          <w:lang w:eastAsia="zh-CN"/>
        </w:rPr>
        <w:t>的一般信息，我们</w:t>
      </w:r>
      <w:r>
        <w:rPr>
          <w:rFonts w:hint="eastAsia"/>
          <w:spacing w:val="-2"/>
          <w:lang w:eastAsia="zh-CN"/>
        </w:rPr>
        <w:t>的</w:t>
      </w:r>
      <w:r w:rsidRPr="00546268">
        <w:rPr>
          <w:rFonts w:hint="eastAsia"/>
          <w:spacing w:val="-2"/>
          <w:lang w:eastAsia="zh-CN"/>
        </w:rPr>
        <w:t>观点</w:t>
      </w:r>
      <w:r>
        <w:rPr>
          <w:rFonts w:hint="eastAsia"/>
          <w:spacing w:val="-2"/>
          <w:lang w:eastAsia="zh-CN"/>
        </w:rPr>
        <w:t>如下</w:t>
      </w:r>
      <w:r w:rsidRPr="00546268">
        <w:rPr>
          <w:rFonts w:hint="eastAsia"/>
          <w:spacing w:val="-2"/>
          <w:lang w:eastAsia="zh-CN"/>
        </w:rPr>
        <w:t>：</w:t>
      </w:r>
    </w:p>
    <w:p w14:paraId="62623D25" w14:textId="77777777" w:rsidR="00743DB7" w:rsidRPr="00344040" w:rsidRDefault="00743DB7" w:rsidP="00743DB7">
      <w:pPr>
        <w:pStyle w:val="enumlev1"/>
        <w:widowControl w:val="0"/>
        <w:spacing w:before="60"/>
        <w:jc w:val="both"/>
        <w:rPr>
          <w:spacing w:val="-2"/>
          <w:lang w:eastAsia="zh-CN"/>
        </w:rPr>
      </w:pPr>
      <w:r w:rsidRPr="00344040">
        <w:rPr>
          <w:spacing w:val="-2"/>
          <w:lang w:eastAsia="zh-CN"/>
        </w:rPr>
        <w:t>–</w:t>
      </w:r>
      <w:r w:rsidRPr="00344040">
        <w:rPr>
          <w:spacing w:val="-2"/>
          <w:lang w:eastAsia="zh-CN"/>
        </w:rPr>
        <w:tab/>
      </w:r>
      <w:r w:rsidRPr="00546268">
        <w:rPr>
          <w:rFonts w:hint="eastAsia"/>
          <w:spacing w:val="-2"/>
          <w:lang w:eastAsia="zh-CN"/>
        </w:rPr>
        <w:t>有必要对</w:t>
      </w:r>
      <w:r>
        <w:rPr>
          <w:rFonts w:hint="eastAsia"/>
          <w:spacing w:val="-2"/>
          <w:lang w:eastAsia="zh-CN"/>
        </w:rPr>
        <w:t>《</w:t>
      </w:r>
      <w:r w:rsidRPr="00546268">
        <w:rPr>
          <w:rFonts w:hint="eastAsia"/>
          <w:spacing w:val="-2"/>
          <w:lang w:eastAsia="zh-CN"/>
        </w:rPr>
        <w:t>战略规划</w:t>
      </w:r>
      <w:r>
        <w:rPr>
          <w:rFonts w:hint="eastAsia"/>
          <w:spacing w:val="-2"/>
          <w:lang w:eastAsia="zh-CN"/>
        </w:rPr>
        <w:t>》</w:t>
      </w:r>
      <w:r w:rsidRPr="00546268">
        <w:rPr>
          <w:rFonts w:hint="eastAsia"/>
          <w:spacing w:val="-2"/>
          <w:lang w:eastAsia="zh-CN"/>
        </w:rPr>
        <w:t>采取更为系统的方式，遵循基于结果的管理总原则</w:t>
      </w:r>
      <w:r>
        <w:rPr>
          <w:rFonts w:hint="eastAsia"/>
          <w:spacing w:val="-2"/>
          <w:lang w:eastAsia="zh-CN"/>
        </w:rPr>
        <w:t>，</w:t>
      </w:r>
      <w:r w:rsidRPr="00546268">
        <w:rPr>
          <w:rFonts w:hint="eastAsia"/>
          <w:spacing w:val="-2"/>
          <w:lang w:eastAsia="zh-CN"/>
        </w:rPr>
        <w:t>并确保</w:t>
      </w:r>
      <w:r>
        <w:rPr>
          <w:rFonts w:hint="eastAsia"/>
          <w:spacing w:val="-2"/>
          <w:lang w:eastAsia="zh-CN"/>
        </w:rPr>
        <w:t>《</w:t>
      </w:r>
      <w:r w:rsidRPr="00546268">
        <w:rPr>
          <w:rFonts w:hint="eastAsia"/>
          <w:spacing w:val="-2"/>
          <w:lang w:eastAsia="zh-CN"/>
        </w:rPr>
        <w:t>战略规划</w:t>
      </w:r>
      <w:r>
        <w:rPr>
          <w:rFonts w:hint="eastAsia"/>
          <w:spacing w:val="-2"/>
          <w:lang w:eastAsia="zh-CN"/>
        </w:rPr>
        <w:t>》</w:t>
      </w:r>
      <w:r w:rsidRPr="00546268">
        <w:rPr>
          <w:rFonts w:hint="eastAsia"/>
          <w:spacing w:val="-2"/>
          <w:lang w:eastAsia="zh-CN"/>
        </w:rPr>
        <w:t>在战略目标与重点</w:t>
      </w:r>
      <w:r>
        <w:rPr>
          <w:rFonts w:hint="eastAsia"/>
          <w:spacing w:val="-2"/>
          <w:lang w:eastAsia="zh-CN"/>
        </w:rPr>
        <w:t>工作</w:t>
      </w:r>
      <w:r w:rsidRPr="00546268">
        <w:rPr>
          <w:rFonts w:hint="eastAsia"/>
          <w:spacing w:val="-2"/>
          <w:lang w:eastAsia="zh-CN"/>
        </w:rPr>
        <w:t>、</w:t>
      </w:r>
      <w:r>
        <w:rPr>
          <w:rFonts w:hint="eastAsia"/>
          <w:spacing w:val="-2"/>
          <w:lang w:eastAsia="zh-CN"/>
        </w:rPr>
        <w:t>《</w:t>
      </w:r>
      <w:r w:rsidRPr="00546268">
        <w:rPr>
          <w:rFonts w:hint="eastAsia"/>
          <w:spacing w:val="-2"/>
          <w:lang w:eastAsia="zh-CN"/>
        </w:rPr>
        <w:t>财务规划</w:t>
      </w:r>
      <w:r>
        <w:rPr>
          <w:rFonts w:hint="eastAsia"/>
          <w:spacing w:val="-2"/>
          <w:lang w:eastAsia="zh-CN"/>
        </w:rPr>
        <w:t>》</w:t>
      </w:r>
      <w:r w:rsidRPr="00546268">
        <w:rPr>
          <w:rFonts w:hint="eastAsia"/>
          <w:spacing w:val="-2"/>
          <w:lang w:eastAsia="zh-CN"/>
        </w:rPr>
        <w:t>和</w:t>
      </w:r>
      <w:r>
        <w:rPr>
          <w:rFonts w:hint="eastAsia"/>
          <w:spacing w:val="-2"/>
          <w:lang w:eastAsia="zh-CN"/>
        </w:rPr>
        <w:t>《</w:t>
      </w:r>
      <w:r w:rsidRPr="00546268">
        <w:rPr>
          <w:rFonts w:hint="eastAsia"/>
          <w:spacing w:val="-2"/>
          <w:lang w:eastAsia="zh-CN"/>
        </w:rPr>
        <w:t>运作规划</w:t>
      </w:r>
      <w:r>
        <w:rPr>
          <w:rFonts w:hint="eastAsia"/>
          <w:spacing w:val="-2"/>
          <w:lang w:eastAsia="zh-CN"/>
        </w:rPr>
        <w:t>》</w:t>
      </w:r>
      <w:r w:rsidRPr="00546268">
        <w:rPr>
          <w:rFonts w:hint="eastAsia"/>
          <w:spacing w:val="-2"/>
          <w:lang w:eastAsia="zh-CN"/>
        </w:rPr>
        <w:t>之间建立明确的对应关系</w:t>
      </w:r>
      <w:r w:rsidRPr="00546268">
        <w:rPr>
          <w:rFonts w:hint="eastAsia"/>
          <w:spacing w:val="-2"/>
          <w:lang w:eastAsia="zh-CN"/>
        </w:rPr>
        <w:t>/</w:t>
      </w:r>
      <w:r>
        <w:rPr>
          <w:rFonts w:hint="eastAsia"/>
          <w:spacing w:val="-2"/>
          <w:lang w:eastAsia="zh-CN"/>
        </w:rPr>
        <w:t>联系</w:t>
      </w:r>
      <w:r w:rsidRPr="00546268">
        <w:rPr>
          <w:rFonts w:hint="eastAsia"/>
          <w:spacing w:val="-2"/>
          <w:lang w:eastAsia="zh-CN"/>
        </w:rPr>
        <w:t>，</w:t>
      </w:r>
      <w:r>
        <w:rPr>
          <w:rFonts w:hint="eastAsia"/>
          <w:spacing w:val="-2"/>
          <w:lang w:eastAsia="zh-CN"/>
        </w:rPr>
        <w:t>同时</w:t>
      </w:r>
      <w:r w:rsidRPr="00546268">
        <w:rPr>
          <w:rFonts w:hint="eastAsia"/>
          <w:spacing w:val="-2"/>
          <w:lang w:eastAsia="zh-CN"/>
        </w:rPr>
        <w:t>对</w:t>
      </w:r>
      <w:r>
        <w:rPr>
          <w:rFonts w:hint="eastAsia"/>
          <w:spacing w:val="-2"/>
          <w:lang w:eastAsia="zh-CN"/>
        </w:rPr>
        <w:t>其目标、</w:t>
      </w:r>
      <w:r w:rsidRPr="00546268">
        <w:rPr>
          <w:rFonts w:hint="eastAsia"/>
          <w:spacing w:val="-2"/>
          <w:lang w:eastAsia="zh-CN"/>
        </w:rPr>
        <w:t>每个主题重点及</w:t>
      </w:r>
      <w:r>
        <w:rPr>
          <w:rFonts w:hint="eastAsia"/>
          <w:spacing w:val="-2"/>
          <w:lang w:eastAsia="zh-CN"/>
        </w:rPr>
        <w:t>实现</w:t>
      </w:r>
      <w:r w:rsidRPr="00546268">
        <w:rPr>
          <w:rFonts w:hint="eastAsia"/>
          <w:spacing w:val="-2"/>
          <w:lang w:eastAsia="zh-CN"/>
        </w:rPr>
        <w:t>方式</w:t>
      </w:r>
      <w:r>
        <w:rPr>
          <w:rFonts w:hint="eastAsia"/>
          <w:spacing w:val="-2"/>
          <w:lang w:eastAsia="zh-CN"/>
        </w:rPr>
        <w:t>制定清晰愿景。</w:t>
      </w:r>
      <w:r w:rsidRPr="00546268">
        <w:rPr>
          <w:rFonts w:hint="eastAsia"/>
          <w:spacing w:val="-2"/>
          <w:lang w:eastAsia="zh-CN"/>
        </w:rPr>
        <w:t>愿景应与使命相</w:t>
      </w:r>
      <w:r>
        <w:rPr>
          <w:rFonts w:hint="eastAsia"/>
          <w:spacing w:val="-2"/>
          <w:lang w:eastAsia="zh-CN"/>
        </w:rPr>
        <w:t>匹配；</w:t>
      </w:r>
      <w:r w:rsidRPr="00546268">
        <w:rPr>
          <w:rFonts w:hint="eastAsia"/>
          <w:spacing w:val="-2"/>
          <w:lang w:eastAsia="zh-CN"/>
        </w:rPr>
        <w:t>使命</w:t>
      </w:r>
      <w:r>
        <w:rPr>
          <w:rFonts w:hint="eastAsia"/>
          <w:spacing w:val="-2"/>
          <w:lang w:eastAsia="zh-CN"/>
        </w:rPr>
        <w:t>与总体</w:t>
      </w:r>
      <w:r w:rsidRPr="00546268">
        <w:rPr>
          <w:rFonts w:hint="eastAsia"/>
          <w:spacing w:val="-2"/>
          <w:lang w:eastAsia="zh-CN"/>
        </w:rPr>
        <w:t>目标</w:t>
      </w:r>
      <w:r>
        <w:rPr>
          <w:rFonts w:hint="eastAsia"/>
          <w:spacing w:val="-2"/>
          <w:lang w:eastAsia="zh-CN"/>
        </w:rPr>
        <w:t>相匹配；</w:t>
      </w:r>
      <w:r w:rsidRPr="00546268">
        <w:rPr>
          <w:rFonts w:hint="eastAsia"/>
          <w:spacing w:val="-2"/>
          <w:lang w:eastAsia="zh-CN"/>
        </w:rPr>
        <w:t>总体目标</w:t>
      </w:r>
      <w:r>
        <w:rPr>
          <w:rFonts w:hint="eastAsia"/>
          <w:spacing w:val="-2"/>
          <w:lang w:eastAsia="zh-CN"/>
        </w:rPr>
        <w:t>与</w:t>
      </w:r>
      <w:r w:rsidRPr="00546268">
        <w:rPr>
          <w:rFonts w:hint="eastAsia"/>
          <w:spacing w:val="-2"/>
          <w:lang w:eastAsia="zh-CN"/>
        </w:rPr>
        <w:t>主题重点、主题重点</w:t>
      </w:r>
      <w:r>
        <w:rPr>
          <w:rFonts w:hint="eastAsia"/>
          <w:spacing w:val="-2"/>
          <w:lang w:eastAsia="zh-CN"/>
        </w:rPr>
        <w:t>与</w:t>
      </w:r>
      <w:r w:rsidRPr="00546268">
        <w:rPr>
          <w:rFonts w:hint="eastAsia"/>
          <w:spacing w:val="-2"/>
          <w:lang w:eastAsia="zh-CN"/>
        </w:rPr>
        <w:t>成果</w:t>
      </w:r>
      <w:r>
        <w:rPr>
          <w:rFonts w:hint="eastAsia"/>
          <w:spacing w:val="-2"/>
          <w:lang w:eastAsia="zh-CN"/>
        </w:rPr>
        <w:t>相匹配；</w:t>
      </w:r>
      <w:r w:rsidRPr="00546268">
        <w:rPr>
          <w:rFonts w:hint="eastAsia"/>
          <w:spacing w:val="-2"/>
          <w:lang w:eastAsia="zh-CN"/>
        </w:rPr>
        <w:t>以及</w:t>
      </w:r>
      <w:r>
        <w:rPr>
          <w:rFonts w:hint="eastAsia"/>
          <w:spacing w:val="-2"/>
          <w:lang w:eastAsia="zh-CN"/>
        </w:rPr>
        <w:t>各项</w:t>
      </w:r>
      <w:r w:rsidRPr="00546268">
        <w:rPr>
          <w:rFonts w:hint="eastAsia"/>
          <w:spacing w:val="-2"/>
          <w:lang w:eastAsia="zh-CN"/>
        </w:rPr>
        <w:t>指标</w:t>
      </w:r>
      <w:r>
        <w:rPr>
          <w:rFonts w:hint="eastAsia"/>
          <w:spacing w:val="-2"/>
          <w:lang w:eastAsia="zh-CN"/>
        </w:rPr>
        <w:t>与</w:t>
      </w:r>
      <w:r w:rsidRPr="00546268">
        <w:rPr>
          <w:rFonts w:hint="eastAsia"/>
          <w:spacing w:val="-2"/>
          <w:lang w:eastAsia="zh-CN"/>
        </w:rPr>
        <w:t>每个具体</w:t>
      </w:r>
      <w:r>
        <w:rPr>
          <w:rFonts w:hint="eastAsia"/>
          <w:spacing w:val="-2"/>
          <w:lang w:eastAsia="zh-CN"/>
        </w:rPr>
        <w:t>成</w:t>
      </w:r>
      <w:r w:rsidRPr="00546268">
        <w:rPr>
          <w:rFonts w:hint="eastAsia"/>
          <w:spacing w:val="-2"/>
          <w:lang w:eastAsia="zh-CN"/>
        </w:rPr>
        <w:t>果</w:t>
      </w:r>
      <w:r>
        <w:rPr>
          <w:rFonts w:hint="eastAsia"/>
          <w:spacing w:val="-2"/>
          <w:lang w:eastAsia="zh-CN"/>
        </w:rPr>
        <w:t>相匹配</w:t>
      </w:r>
      <w:r w:rsidRPr="00546268">
        <w:rPr>
          <w:rFonts w:hint="eastAsia"/>
          <w:spacing w:val="-2"/>
          <w:lang w:eastAsia="zh-CN"/>
        </w:rPr>
        <w:t>。</w:t>
      </w:r>
      <w:r w:rsidRPr="00344040">
        <w:rPr>
          <w:spacing w:val="-2"/>
          <w:lang w:eastAsia="zh-CN"/>
        </w:rPr>
        <w:t xml:space="preserve"> </w:t>
      </w:r>
    </w:p>
    <w:p w14:paraId="6DD0AB33" w14:textId="77777777" w:rsidR="00743DB7" w:rsidRPr="002F242C" w:rsidRDefault="00743DB7" w:rsidP="00743DB7">
      <w:pPr>
        <w:pStyle w:val="enumlev1"/>
        <w:spacing w:before="60"/>
        <w:jc w:val="both"/>
        <w:rPr>
          <w:lang w:eastAsia="zh-CN"/>
        </w:rPr>
      </w:pPr>
      <w:r w:rsidRPr="002F242C">
        <w:rPr>
          <w:lang w:eastAsia="zh-CN"/>
        </w:rPr>
        <w:t>–</w:t>
      </w:r>
      <w:r w:rsidRPr="002F242C">
        <w:rPr>
          <w:lang w:eastAsia="zh-CN"/>
        </w:rPr>
        <w:tab/>
      </w:r>
      <w:r w:rsidRPr="00546268">
        <w:rPr>
          <w:rFonts w:hint="eastAsia"/>
          <w:lang w:eastAsia="zh-CN"/>
        </w:rPr>
        <w:t>所有总体目标、重点</w:t>
      </w:r>
      <w:r>
        <w:rPr>
          <w:rFonts w:hint="eastAsia"/>
          <w:lang w:eastAsia="zh-CN"/>
        </w:rPr>
        <w:t>工作</w:t>
      </w:r>
      <w:r w:rsidRPr="00546268">
        <w:rPr>
          <w:rFonts w:hint="eastAsia"/>
          <w:lang w:eastAsia="zh-CN"/>
        </w:rPr>
        <w:t>、成果和指标均应考虑到</w:t>
      </w:r>
      <w:r>
        <w:rPr>
          <w:rFonts w:hint="eastAsia"/>
          <w:lang w:eastAsia="zh-CN"/>
        </w:rPr>
        <w:t>《</w:t>
      </w:r>
      <w:r w:rsidRPr="00546268">
        <w:rPr>
          <w:rFonts w:hint="eastAsia"/>
          <w:lang w:eastAsia="zh-CN"/>
        </w:rPr>
        <w:t>战略规划</w:t>
      </w:r>
      <w:r>
        <w:rPr>
          <w:rFonts w:hint="eastAsia"/>
          <w:lang w:eastAsia="zh-CN"/>
        </w:rPr>
        <w:t>》</w:t>
      </w:r>
      <w:r w:rsidRPr="00546268">
        <w:rPr>
          <w:rFonts w:hint="eastAsia"/>
          <w:lang w:eastAsia="zh-CN"/>
        </w:rPr>
        <w:t>是作为行政</w:t>
      </w:r>
      <w:r>
        <w:rPr>
          <w:rFonts w:hint="eastAsia"/>
          <w:lang w:eastAsia="zh-CN"/>
        </w:rPr>
        <w:t>管理机</w:t>
      </w:r>
      <w:r w:rsidRPr="00546268">
        <w:rPr>
          <w:rFonts w:hint="eastAsia"/>
          <w:lang w:eastAsia="zh-CN"/>
        </w:rPr>
        <w:t>构的国际电联</w:t>
      </w:r>
      <w:r>
        <w:rPr>
          <w:rFonts w:hint="eastAsia"/>
          <w:lang w:eastAsia="zh-CN"/>
        </w:rPr>
        <w:t>的</w:t>
      </w:r>
      <w:r w:rsidRPr="00546268">
        <w:rPr>
          <w:rFonts w:hint="eastAsia"/>
          <w:lang w:eastAsia="zh-CN"/>
        </w:rPr>
        <w:t>一项规划，并应相应地反映国际电联如何通过其活动向成员国和部门成员（如适用）提供支持。</w:t>
      </w:r>
    </w:p>
    <w:p w14:paraId="7944BFE8" w14:textId="77777777" w:rsidR="00743DB7" w:rsidRPr="002F242C" w:rsidRDefault="00743DB7" w:rsidP="00743DB7">
      <w:pPr>
        <w:pStyle w:val="enumlev1"/>
        <w:spacing w:before="60"/>
        <w:jc w:val="both"/>
        <w:rPr>
          <w:lang w:eastAsia="zh-CN"/>
        </w:rPr>
      </w:pPr>
      <w:r w:rsidRPr="002F242C">
        <w:rPr>
          <w:lang w:eastAsia="zh-CN"/>
        </w:rPr>
        <w:t>–</w:t>
      </w:r>
      <w:r w:rsidRPr="002F242C">
        <w:rPr>
          <w:lang w:eastAsia="zh-CN"/>
        </w:rPr>
        <w:tab/>
      </w:r>
      <w:r>
        <w:rPr>
          <w:rFonts w:hint="eastAsia"/>
          <w:lang w:eastAsia="zh-CN"/>
        </w:rPr>
        <w:t>虽然</w:t>
      </w:r>
      <w:hyperlink r:id="rId16" w:history="1">
        <w:r w:rsidRPr="003438F0">
          <w:rPr>
            <w:rStyle w:val="Hyperlink"/>
            <w:rFonts w:eastAsia="SimSun"/>
            <w:lang w:eastAsia="zh-CN"/>
          </w:rPr>
          <w:t>CWG-SFP-4/2</w:t>
        </w:r>
      </w:hyperlink>
      <w:r>
        <w:rPr>
          <w:rFonts w:hint="eastAsia"/>
          <w:lang w:eastAsia="zh-CN"/>
        </w:rPr>
        <w:t>号</w:t>
      </w:r>
      <w:r w:rsidRPr="00546268">
        <w:rPr>
          <w:rFonts w:hint="eastAsia"/>
          <w:lang w:eastAsia="zh-CN"/>
        </w:rPr>
        <w:t>文件中介绍的</w:t>
      </w:r>
      <w:r>
        <w:rPr>
          <w:rFonts w:hint="eastAsia"/>
          <w:lang w:eastAsia="zh-CN"/>
        </w:rPr>
        <w:t>《</w:t>
      </w:r>
      <w:r w:rsidRPr="00546268">
        <w:rPr>
          <w:rFonts w:hint="eastAsia"/>
          <w:lang w:eastAsia="zh-CN"/>
        </w:rPr>
        <w:t>战略规划</w:t>
      </w:r>
      <w:r>
        <w:rPr>
          <w:rFonts w:hint="eastAsia"/>
          <w:lang w:eastAsia="zh-CN"/>
        </w:rPr>
        <w:t>》</w:t>
      </w:r>
      <w:r w:rsidRPr="00546268">
        <w:rPr>
          <w:rFonts w:hint="eastAsia"/>
          <w:lang w:eastAsia="zh-CN"/>
        </w:rPr>
        <w:t>草案的结构</w:t>
      </w:r>
      <w:r>
        <w:rPr>
          <w:rFonts w:hint="eastAsia"/>
          <w:lang w:eastAsia="zh-CN"/>
        </w:rPr>
        <w:t>符合</w:t>
      </w:r>
      <w:r w:rsidRPr="00546268">
        <w:rPr>
          <w:rFonts w:hint="eastAsia"/>
          <w:lang w:eastAsia="zh-CN"/>
        </w:rPr>
        <w:t>普遍接受的定义，</w:t>
      </w:r>
      <w:r>
        <w:rPr>
          <w:rFonts w:hint="eastAsia"/>
          <w:lang w:eastAsia="zh-CN"/>
        </w:rPr>
        <w:t>但</w:t>
      </w:r>
      <w:r w:rsidRPr="00546268">
        <w:rPr>
          <w:rFonts w:hint="eastAsia"/>
          <w:lang w:eastAsia="zh-CN"/>
        </w:rPr>
        <w:t>有必要</w:t>
      </w:r>
      <w:r>
        <w:rPr>
          <w:rFonts w:hint="eastAsia"/>
          <w:lang w:eastAsia="zh-CN"/>
        </w:rPr>
        <w:t>对案文进行更新，</w:t>
      </w:r>
      <w:r w:rsidRPr="00546268">
        <w:rPr>
          <w:rFonts w:hint="eastAsia"/>
          <w:lang w:eastAsia="zh-CN"/>
        </w:rPr>
        <w:t>明确制定具体和可衡量的目标</w:t>
      </w:r>
      <w:r>
        <w:rPr>
          <w:rFonts w:hint="eastAsia"/>
          <w:lang w:eastAsia="zh-CN"/>
        </w:rPr>
        <w:t>与</w:t>
      </w:r>
      <w:r w:rsidRPr="00546268">
        <w:rPr>
          <w:rFonts w:hint="eastAsia"/>
          <w:lang w:eastAsia="zh-CN"/>
        </w:rPr>
        <w:t>主题重点</w:t>
      </w:r>
      <w:r>
        <w:rPr>
          <w:rFonts w:hint="eastAsia"/>
          <w:lang w:eastAsia="zh-CN"/>
        </w:rPr>
        <w:t>，</w:t>
      </w:r>
      <w:r w:rsidRPr="00546268">
        <w:rPr>
          <w:rFonts w:hint="eastAsia"/>
          <w:lang w:eastAsia="zh-CN"/>
        </w:rPr>
        <w:t>确定符合</w:t>
      </w:r>
      <w:r>
        <w:rPr>
          <w:rFonts w:hint="eastAsia"/>
          <w:lang w:eastAsia="zh-CN"/>
        </w:rPr>
        <w:t>本</w:t>
      </w:r>
      <w:r w:rsidRPr="00546268">
        <w:rPr>
          <w:rFonts w:hint="eastAsia"/>
          <w:lang w:eastAsia="zh-CN"/>
        </w:rPr>
        <w:t>组织职责和行政单位职能的现实指标（使用国际电联框架内</w:t>
      </w:r>
      <w:r>
        <w:rPr>
          <w:rFonts w:hint="eastAsia"/>
          <w:lang w:eastAsia="zh-CN"/>
        </w:rPr>
        <w:t>的</w:t>
      </w:r>
      <w:r w:rsidRPr="00546268">
        <w:rPr>
          <w:rFonts w:hint="eastAsia"/>
          <w:lang w:eastAsia="zh-CN"/>
        </w:rPr>
        <w:t>已有指标，以及联合国系统其他组织的</w:t>
      </w:r>
      <w:r>
        <w:rPr>
          <w:rFonts w:hint="eastAsia"/>
          <w:lang w:eastAsia="zh-CN"/>
        </w:rPr>
        <w:t>已有指标</w:t>
      </w:r>
      <w:r w:rsidRPr="00546268">
        <w:rPr>
          <w:rFonts w:hint="eastAsia"/>
          <w:lang w:eastAsia="zh-CN"/>
        </w:rPr>
        <w:t>）。</w:t>
      </w:r>
      <w:r>
        <w:rPr>
          <w:rFonts w:hint="eastAsia"/>
          <w:lang w:eastAsia="zh-CN"/>
        </w:rPr>
        <w:t>《</w:t>
      </w:r>
      <w:r w:rsidRPr="00546268">
        <w:rPr>
          <w:rFonts w:hint="eastAsia"/>
          <w:lang w:eastAsia="zh-CN"/>
        </w:rPr>
        <w:t>战略规划</w:t>
      </w:r>
      <w:r>
        <w:rPr>
          <w:rFonts w:hint="eastAsia"/>
          <w:lang w:eastAsia="zh-CN"/>
        </w:rPr>
        <w:t>》</w:t>
      </w:r>
      <w:r w:rsidRPr="00546268">
        <w:rPr>
          <w:rFonts w:hint="eastAsia"/>
          <w:lang w:eastAsia="zh-CN"/>
        </w:rPr>
        <w:t>中的</w:t>
      </w:r>
      <w:r>
        <w:rPr>
          <w:rFonts w:hint="eastAsia"/>
          <w:lang w:eastAsia="zh-CN"/>
        </w:rPr>
        <w:t>总体</w:t>
      </w:r>
      <w:r w:rsidRPr="00546268">
        <w:rPr>
          <w:rFonts w:hint="eastAsia"/>
          <w:lang w:eastAsia="zh-CN"/>
        </w:rPr>
        <w:t>目标、重点</w:t>
      </w:r>
      <w:r>
        <w:rPr>
          <w:rFonts w:hint="eastAsia"/>
          <w:lang w:eastAsia="zh-CN"/>
        </w:rPr>
        <w:t>工作</w:t>
      </w:r>
      <w:r w:rsidRPr="00546268">
        <w:rPr>
          <w:rFonts w:hint="eastAsia"/>
          <w:lang w:eastAsia="zh-CN"/>
        </w:rPr>
        <w:t>和成果应</w:t>
      </w:r>
      <w:r>
        <w:rPr>
          <w:rFonts w:hint="eastAsia"/>
          <w:lang w:eastAsia="zh-CN"/>
        </w:rPr>
        <w:t>能够在</w:t>
      </w:r>
      <w:r w:rsidRPr="00546268">
        <w:rPr>
          <w:rFonts w:hint="eastAsia"/>
          <w:lang w:eastAsia="zh-CN"/>
        </w:rPr>
        <w:t>同一时期的</w:t>
      </w:r>
      <w:r>
        <w:rPr>
          <w:rFonts w:hint="eastAsia"/>
          <w:lang w:eastAsia="zh-CN"/>
        </w:rPr>
        <w:t>《</w:t>
      </w:r>
      <w:r w:rsidRPr="00546268">
        <w:rPr>
          <w:rFonts w:hint="eastAsia"/>
          <w:lang w:eastAsia="zh-CN"/>
        </w:rPr>
        <w:t>财务规划</w:t>
      </w:r>
      <w:r>
        <w:rPr>
          <w:rFonts w:hint="eastAsia"/>
          <w:lang w:eastAsia="zh-CN"/>
        </w:rPr>
        <w:t>》中得到</w:t>
      </w:r>
      <w:r w:rsidRPr="00546268">
        <w:rPr>
          <w:rFonts w:hint="eastAsia"/>
          <w:lang w:eastAsia="zh-CN"/>
        </w:rPr>
        <w:t>评估。</w:t>
      </w:r>
    </w:p>
    <w:p w14:paraId="5D831533" w14:textId="77777777" w:rsidR="00743DB7" w:rsidRPr="002F242C" w:rsidRDefault="00743DB7" w:rsidP="00743DB7">
      <w:pPr>
        <w:pStyle w:val="enumlev1"/>
        <w:spacing w:before="60"/>
        <w:jc w:val="both"/>
        <w:rPr>
          <w:lang w:eastAsia="zh-CN"/>
        </w:rPr>
      </w:pPr>
      <w:r w:rsidRPr="002F242C">
        <w:rPr>
          <w:lang w:eastAsia="zh-CN"/>
        </w:rPr>
        <w:t>–</w:t>
      </w:r>
      <w:r w:rsidRPr="002F242C">
        <w:rPr>
          <w:lang w:eastAsia="zh-CN"/>
        </w:rPr>
        <w:tab/>
      </w:r>
      <w:r w:rsidRPr="00546268">
        <w:rPr>
          <w:rFonts w:hint="eastAsia"/>
          <w:lang w:eastAsia="zh-CN"/>
        </w:rPr>
        <w:t>总体目标、重点工作和成果应与可用的人力、财务和技术资源相</w:t>
      </w:r>
      <w:r>
        <w:rPr>
          <w:rFonts w:hint="eastAsia"/>
          <w:lang w:eastAsia="zh-CN"/>
        </w:rPr>
        <w:t>一致</w:t>
      </w:r>
      <w:r w:rsidRPr="00546268">
        <w:rPr>
          <w:rFonts w:hint="eastAsia"/>
          <w:lang w:eastAsia="zh-CN"/>
        </w:rPr>
        <w:t>，并对</w:t>
      </w:r>
      <w:r>
        <w:rPr>
          <w:rFonts w:hint="eastAsia"/>
          <w:lang w:eastAsia="zh-CN"/>
        </w:rPr>
        <w:t>这</w:t>
      </w:r>
      <w:r w:rsidRPr="00546268">
        <w:rPr>
          <w:rFonts w:hint="eastAsia"/>
          <w:lang w:eastAsia="zh-CN"/>
        </w:rPr>
        <w:t>四年期的实施能力做出</w:t>
      </w:r>
      <w:r>
        <w:rPr>
          <w:rFonts w:hint="eastAsia"/>
          <w:lang w:eastAsia="zh-CN"/>
        </w:rPr>
        <w:t>实际</w:t>
      </w:r>
      <w:r w:rsidRPr="00546268">
        <w:rPr>
          <w:rFonts w:hint="eastAsia"/>
          <w:lang w:eastAsia="zh-CN"/>
        </w:rPr>
        <w:t>评估。它们还应反映国际电联的现有结构及其职责范围，以便在</w:t>
      </w:r>
      <w:r>
        <w:rPr>
          <w:rFonts w:hint="eastAsia"/>
          <w:lang w:eastAsia="zh-CN"/>
        </w:rPr>
        <w:t>实际</w:t>
      </w:r>
      <w:r w:rsidRPr="00546268">
        <w:rPr>
          <w:rFonts w:hint="eastAsia"/>
          <w:lang w:eastAsia="zh-CN"/>
        </w:rPr>
        <w:t>分配给国际电联三个局和总秘书处的财务资源和其他资源</w:t>
      </w:r>
      <w:r>
        <w:rPr>
          <w:rFonts w:hint="eastAsia"/>
          <w:lang w:eastAsia="zh-CN"/>
        </w:rPr>
        <w:t>之间、《</w:t>
      </w:r>
      <w:r w:rsidRPr="00546268">
        <w:rPr>
          <w:rFonts w:hint="eastAsia"/>
          <w:lang w:eastAsia="zh-CN"/>
        </w:rPr>
        <w:t>战略规划</w:t>
      </w:r>
      <w:r>
        <w:rPr>
          <w:rFonts w:hint="eastAsia"/>
          <w:lang w:eastAsia="zh-CN"/>
        </w:rPr>
        <w:t>》</w:t>
      </w:r>
      <w:r w:rsidRPr="00546268">
        <w:rPr>
          <w:rFonts w:hint="eastAsia"/>
          <w:lang w:eastAsia="zh-CN"/>
        </w:rPr>
        <w:t>中制定的</w:t>
      </w:r>
      <w:r>
        <w:rPr>
          <w:rFonts w:hint="eastAsia"/>
          <w:lang w:eastAsia="zh-CN"/>
        </w:rPr>
        <w:t>总体</w:t>
      </w:r>
      <w:r w:rsidRPr="00546268">
        <w:rPr>
          <w:rFonts w:hint="eastAsia"/>
          <w:lang w:eastAsia="zh-CN"/>
        </w:rPr>
        <w:t>目标和主题重点之间建立清晰、合乎逻辑和有意义的关系。应避免本组织根据其职责和相关资源实际开展的活动与</w:t>
      </w:r>
      <w:r>
        <w:rPr>
          <w:rFonts w:hint="eastAsia"/>
          <w:lang w:eastAsia="zh-CN"/>
        </w:rPr>
        <w:t>《</w:t>
      </w:r>
      <w:r w:rsidRPr="00546268">
        <w:rPr>
          <w:rFonts w:hint="eastAsia"/>
          <w:lang w:eastAsia="zh-CN"/>
        </w:rPr>
        <w:t>战略规划</w:t>
      </w:r>
      <w:r>
        <w:rPr>
          <w:rFonts w:hint="eastAsia"/>
          <w:lang w:eastAsia="zh-CN"/>
        </w:rPr>
        <w:t>》</w:t>
      </w:r>
      <w:r w:rsidRPr="00546268">
        <w:rPr>
          <w:rFonts w:hint="eastAsia"/>
          <w:lang w:eastAsia="zh-CN"/>
        </w:rPr>
        <w:t>的重点</w:t>
      </w:r>
      <w:r>
        <w:rPr>
          <w:rFonts w:hint="eastAsia"/>
          <w:lang w:eastAsia="zh-CN"/>
        </w:rPr>
        <w:t>工作出现</w:t>
      </w:r>
      <w:r w:rsidRPr="00546268">
        <w:rPr>
          <w:rFonts w:hint="eastAsia"/>
          <w:lang w:eastAsia="zh-CN"/>
        </w:rPr>
        <w:t>严重</w:t>
      </w:r>
      <w:r>
        <w:rPr>
          <w:rFonts w:hint="eastAsia"/>
          <w:lang w:eastAsia="zh-CN"/>
        </w:rPr>
        <w:t>失衡</w:t>
      </w:r>
      <w:r w:rsidRPr="00546268">
        <w:rPr>
          <w:rFonts w:hint="eastAsia"/>
          <w:lang w:eastAsia="zh-CN"/>
        </w:rPr>
        <w:t>。反之，则意味着某些核心活动和重要工作领域仍然不属于本组织的官方和预算相关优先事项，从而使其资金面临风险。《战略规划》和《财务规划》之间需要</w:t>
      </w:r>
      <w:r>
        <w:rPr>
          <w:rFonts w:hint="eastAsia"/>
          <w:lang w:eastAsia="zh-CN"/>
        </w:rPr>
        <w:t>建立</w:t>
      </w:r>
      <w:r w:rsidRPr="00546268">
        <w:rPr>
          <w:rFonts w:hint="eastAsia"/>
          <w:lang w:eastAsia="zh-CN"/>
        </w:rPr>
        <w:t>明确</w:t>
      </w:r>
      <w:r>
        <w:rPr>
          <w:rFonts w:hint="eastAsia"/>
          <w:lang w:eastAsia="zh-CN"/>
        </w:rPr>
        <w:t>的</w:t>
      </w:r>
      <w:r w:rsidRPr="00546268">
        <w:rPr>
          <w:rFonts w:hint="eastAsia"/>
          <w:lang w:eastAsia="zh-CN"/>
        </w:rPr>
        <w:t>联</w:t>
      </w:r>
      <w:r>
        <w:rPr>
          <w:rFonts w:hint="eastAsia"/>
          <w:lang w:eastAsia="zh-CN"/>
        </w:rPr>
        <w:t>系，这</w:t>
      </w:r>
      <w:r w:rsidRPr="00546268">
        <w:rPr>
          <w:rFonts w:hint="eastAsia"/>
          <w:lang w:eastAsia="zh-CN"/>
        </w:rPr>
        <w:t>意味着有必要按相应比例将国际电联现有资源重新用于现行《战略规划》中</w:t>
      </w:r>
      <w:r>
        <w:rPr>
          <w:rFonts w:hint="eastAsia"/>
          <w:lang w:eastAsia="zh-CN"/>
        </w:rPr>
        <w:t>被</w:t>
      </w:r>
      <w:r w:rsidRPr="00546268">
        <w:rPr>
          <w:rFonts w:hint="eastAsia"/>
          <w:lang w:eastAsia="zh-CN"/>
        </w:rPr>
        <w:t>确定为</w:t>
      </w:r>
      <w:r>
        <w:rPr>
          <w:rFonts w:hint="eastAsia"/>
          <w:lang w:eastAsia="zh-CN"/>
        </w:rPr>
        <w:t>重点工作的</w:t>
      </w:r>
      <w:r w:rsidRPr="00546268">
        <w:rPr>
          <w:rFonts w:hint="eastAsia"/>
          <w:lang w:eastAsia="zh-CN"/>
        </w:rPr>
        <w:t>活动。</w:t>
      </w:r>
    </w:p>
    <w:p w14:paraId="08D1315A" w14:textId="77777777" w:rsidR="00743DB7" w:rsidRPr="002F242C" w:rsidRDefault="00743DB7" w:rsidP="00743DB7">
      <w:pPr>
        <w:pStyle w:val="enumlev1"/>
        <w:spacing w:before="60"/>
        <w:jc w:val="both"/>
        <w:rPr>
          <w:lang w:eastAsia="zh-CN"/>
        </w:rPr>
      </w:pPr>
      <w:r w:rsidRPr="002F242C">
        <w:rPr>
          <w:lang w:eastAsia="zh-CN"/>
        </w:rPr>
        <w:t>–</w:t>
      </w:r>
      <w:r w:rsidRPr="002F242C">
        <w:rPr>
          <w:lang w:eastAsia="zh-CN"/>
        </w:rPr>
        <w:tab/>
      </w:r>
      <w:r>
        <w:rPr>
          <w:rFonts w:hint="eastAsia"/>
          <w:lang w:eastAsia="zh-CN"/>
        </w:rPr>
        <w:t>亦有</w:t>
      </w:r>
      <w:r w:rsidRPr="00546268">
        <w:rPr>
          <w:rFonts w:hint="eastAsia"/>
          <w:lang w:eastAsia="zh-CN"/>
        </w:rPr>
        <w:t>必要重新编写关于推动因素的案文，以</w:t>
      </w:r>
      <w:r>
        <w:rPr>
          <w:rFonts w:hint="eastAsia"/>
          <w:lang w:eastAsia="zh-CN"/>
        </w:rPr>
        <w:t>体现“</w:t>
      </w:r>
      <w:r w:rsidRPr="00546268">
        <w:rPr>
          <w:rFonts w:hint="eastAsia"/>
          <w:lang w:eastAsia="zh-CN"/>
        </w:rPr>
        <w:t>术语表</w:t>
      </w:r>
      <w:r>
        <w:rPr>
          <w:rFonts w:hint="eastAsia"/>
          <w:lang w:eastAsia="zh-CN"/>
        </w:rPr>
        <w:t>”</w:t>
      </w:r>
      <w:r w:rsidRPr="00546268">
        <w:rPr>
          <w:rFonts w:hint="eastAsia"/>
          <w:lang w:eastAsia="zh-CN"/>
        </w:rPr>
        <w:t>对推动因素的定义，</w:t>
      </w:r>
      <w:r>
        <w:rPr>
          <w:rFonts w:hint="eastAsia"/>
          <w:lang w:eastAsia="zh-CN"/>
        </w:rPr>
        <w:t>表明这些是本</w:t>
      </w:r>
      <w:r w:rsidRPr="00546268">
        <w:rPr>
          <w:rFonts w:hint="eastAsia"/>
          <w:lang w:eastAsia="zh-CN"/>
        </w:rPr>
        <w:t>组织</w:t>
      </w:r>
      <w:r>
        <w:rPr>
          <w:rFonts w:hint="eastAsia"/>
          <w:lang w:eastAsia="zh-CN"/>
        </w:rPr>
        <w:t>的</w:t>
      </w:r>
      <w:r w:rsidRPr="00546268">
        <w:rPr>
          <w:rFonts w:hint="eastAsia"/>
          <w:lang w:eastAsia="zh-CN"/>
        </w:rPr>
        <w:t>可用资产</w:t>
      </w:r>
      <w:r>
        <w:rPr>
          <w:rFonts w:hint="eastAsia"/>
          <w:lang w:eastAsia="zh-CN"/>
        </w:rPr>
        <w:t>，是</w:t>
      </w:r>
      <w:r w:rsidRPr="00546268">
        <w:rPr>
          <w:rFonts w:hint="eastAsia"/>
          <w:lang w:eastAsia="zh-CN"/>
        </w:rPr>
        <w:t>成功实施总体目标和重点工作</w:t>
      </w:r>
      <w:r>
        <w:rPr>
          <w:rFonts w:hint="eastAsia"/>
          <w:lang w:eastAsia="zh-CN"/>
        </w:rPr>
        <w:t>的</w:t>
      </w:r>
      <w:r w:rsidRPr="00546268">
        <w:rPr>
          <w:rFonts w:hint="eastAsia"/>
          <w:lang w:eastAsia="zh-CN"/>
        </w:rPr>
        <w:t>基础。因此，</w:t>
      </w:r>
      <w:r w:rsidRPr="006254C7">
        <w:rPr>
          <w:rFonts w:hint="eastAsia"/>
          <w:lang w:eastAsia="zh-CN"/>
        </w:rPr>
        <w:t>阐述的重点不应在于如何</w:t>
      </w:r>
      <w:r>
        <w:rPr>
          <w:rFonts w:hint="eastAsia"/>
          <w:lang w:eastAsia="zh-CN"/>
        </w:rPr>
        <w:t>获得</w:t>
      </w:r>
      <w:r w:rsidRPr="006254C7">
        <w:rPr>
          <w:rFonts w:hint="eastAsia"/>
          <w:lang w:eastAsia="zh-CN"/>
        </w:rPr>
        <w:t>这些因素，而在于它们如何支持</w:t>
      </w:r>
      <w:r>
        <w:rPr>
          <w:rFonts w:hint="eastAsia"/>
          <w:lang w:eastAsia="zh-CN"/>
        </w:rPr>
        <w:t>《战略规划》</w:t>
      </w:r>
      <w:r w:rsidRPr="006254C7">
        <w:rPr>
          <w:rFonts w:hint="eastAsia"/>
          <w:lang w:eastAsia="zh-CN"/>
        </w:rPr>
        <w:t>的实施</w:t>
      </w:r>
      <w:r w:rsidRPr="00546268">
        <w:rPr>
          <w:rFonts w:hint="eastAsia"/>
          <w:lang w:eastAsia="zh-CN"/>
        </w:rPr>
        <w:t>。</w:t>
      </w:r>
      <w:r>
        <w:rPr>
          <w:rFonts w:hint="eastAsia"/>
          <w:lang w:eastAsia="zh-CN"/>
        </w:rPr>
        <w:t>这一点</w:t>
      </w:r>
      <w:r w:rsidRPr="00546268">
        <w:rPr>
          <w:rFonts w:hint="eastAsia"/>
          <w:lang w:eastAsia="zh-CN"/>
        </w:rPr>
        <w:t>同样适用于组织的</w:t>
      </w:r>
      <w:r>
        <w:rPr>
          <w:rFonts w:hint="eastAsia"/>
          <w:lang w:eastAsia="zh-CN"/>
        </w:rPr>
        <w:t>“</w:t>
      </w:r>
      <w:r w:rsidRPr="00546268">
        <w:rPr>
          <w:rFonts w:hint="eastAsia"/>
          <w:lang w:eastAsia="zh-CN"/>
        </w:rPr>
        <w:t>产品和服务</w:t>
      </w:r>
      <w:r>
        <w:rPr>
          <w:rFonts w:hint="eastAsia"/>
          <w:lang w:eastAsia="zh-CN"/>
        </w:rPr>
        <w:t>”</w:t>
      </w:r>
      <w:r w:rsidRPr="00546268">
        <w:rPr>
          <w:rFonts w:hint="eastAsia"/>
          <w:lang w:eastAsia="zh-CN"/>
        </w:rPr>
        <w:t>部分，它应包括国际电</w:t>
      </w:r>
      <w:r w:rsidRPr="00546268">
        <w:rPr>
          <w:rFonts w:hint="eastAsia"/>
          <w:lang w:eastAsia="zh-CN"/>
        </w:rPr>
        <w:lastRenderedPageBreak/>
        <w:t>联作为一个行政管理组织在</w:t>
      </w:r>
      <w:r>
        <w:rPr>
          <w:rFonts w:hint="eastAsia"/>
          <w:lang w:eastAsia="zh-CN"/>
        </w:rPr>
        <w:t>《规划》</w:t>
      </w:r>
      <w:r w:rsidRPr="00546268">
        <w:rPr>
          <w:rFonts w:hint="eastAsia"/>
          <w:lang w:eastAsia="zh-CN"/>
        </w:rPr>
        <w:t>的相关四年期内</w:t>
      </w:r>
      <w:r>
        <w:rPr>
          <w:rFonts w:hint="eastAsia"/>
          <w:lang w:eastAsia="zh-CN"/>
        </w:rPr>
        <w:t>，</w:t>
      </w:r>
      <w:r w:rsidRPr="00546268">
        <w:rPr>
          <w:rFonts w:hint="eastAsia"/>
          <w:lang w:eastAsia="zh-CN"/>
        </w:rPr>
        <w:t>作为</w:t>
      </w:r>
      <w:r>
        <w:rPr>
          <w:rFonts w:hint="eastAsia"/>
          <w:lang w:eastAsia="zh-CN"/>
        </w:rPr>
        <w:t>《</w:t>
      </w:r>
      <w:r w:rsidRPr="00546268">
        <w:rPr>
          <w:rFonts w:hint="eastAsia"/>
          <w:lang w:eastAsia="zh-CN"/>
        </w:rPr>
        <w:t>规划</w:t>
      </w:r>
      <w:r>
        <w:rPr>
          <w:rFonts w:hint="eastAsia"/>
          <w:lang w:eastAsia="zh-CN"/>
        </w:rPr>
        <w:t>》</w:t>
      </w:r>
      <w:r w:rsidRPr="00546268">
        <w:rPr>
          <w:rFonts w:hint="eastAsia"/>
          <w:lang w:eastAsia="zh-CN"/>
        </w:rPr>
        <w:t>实施的一部分</w:t>
      </w:r>
      <w:r>
        <w:rPr>
          <w:rFonts w:hint="eastAsia"/>
          <w:lang w:eastAsia="zh-CN"/>
        </w:rPr>
        <w:t>而</w:t>
      </w:r>
      <w:r w:rsidRPr="00546268">
        <w:rPr>
          <w:rFonts w:hint="eastAsia"/>
          <w:lang w:eastAsia="zh-CN"/>
        </w:rPr>
        <w:t>开展和将继续开展的活动，</w:t>
      </w:r>
      <w:r>
        <w:rPr>
          <w:rFonts w:hint="eastAsia"/>
          <w:lang w:eastAsia="zh-CN"/>
        </w:rPr>
        <w:t>并</w:t>
      </w:r>
      <w:r w:rsidRPr="00546268">
        <w:rPr>
          <w:rFonts w:hint="eastAsia"/>
          <w:lang w:eastAsia="zh-CN"/>
        </w:rPr>
        <w:t>与总体目标和重点</w:t>
      </w:r>
      <w:r>
        <w:rPr>
          <w:rFonts w:hint="eastAsia"/>
          <w:lang w:eastAsia="zh-CN"/>
        </w:rPr>
        <w:t>工作</w:t>
      </w:r>
      <w:r w:rsidRPr="00546268">
        <w:rPr>
          <w:rFonts w:hint="eastAsia"/>
          <w:lang w:eastAsia="zh-CN"/>
        </w:rPr>
        <w:t>直接相关。</w:t>
      </w:r>
    </w:p>
    <w:p w14:paraId="5C5F0BC8" w14:textId="35C76FA3" w:rsidR="00743DB7" w:rsidRPr="002F242C" w:rsidRDefault="00743DB7" w:rsidP="00743DB7">
      <w:pPr>
        <w:pStyle w:val="enumlev1"/>
        <w:spacing w:before="60"/>
        <w:rPr>
          <w:lang w:eastAsia="zh-CN"/>
        </w:rPr>
      </w:pPr>
      <w:r w:rsidRPr="002F242C">
        <w:rPr>
          <w:lang w:eastAsia="zh-CN"/>
        </w:rPr>
        <w:t>–</w:t>
      </w:r>
      <w:r w:rsidRPr="002F242C">
        <w:rPr>
          <w:lang w:eastAsia="zh-CN"/>
        </w:rPr>
        <w:tab/>
      </w:r>
      <w:r>
        <w:rPr>
          <w:rFonts w:hint="eastAsia"/>
          <w:lang w:eastAsia="zh-CN"/>
        </w:rPr>
        <w:t>拟议</w:t>
      </w:r>
      <w:r w:rsidRPr="00546268">
        <w:rPr>
          <w:rFonts w:hint="eastAsia"/>
          <w:lang w:eastAsia="zh-CN"/>
        </w:rPr>
        <w:t>指标应反映</w:t>
      </w:r>
      <w:hyperlink r:id="rId17" w:history="1">
        <w:r w:rsidRPr="003438F0">
          <w:rPr>
            <w:rStyle w:val="Hyperlink"/>
            <w:rFonts w:eastAsia="SimSun"/>
            <w:lang w:eastAsia="zh-CN"/>
          </w:rPr>
          <w:t>CWG-SFP-3/7</w:t>
        </w:r>
      </w:hyperlink>
      <w:r w:rsidRPr="00546268">
        <w:rPr>
          <w:rFonts w:hint="eastAsia"/>
          <w:lang w:eastAsia="zh-CN"/>
        </w:rPr>
        <w:t>号文件</w:t>
      </w:r>
      <w:r>
        <w:rPr>
          <w:rFonts w:hint="eastAsia"/>
          <w:lang w:eastAsia="zh-CN"/>
        </w:rPr>
        <w:t>，</w:t>
      </w:r>
      <w:r w:rsidRPr="00546268">
        <w:rPr>
          <w:rFonts w:hint="eastAsia"/>
          <w:lang w:eastAsia="zh-CN"/>
        </w:rPr>
        <w:t>特别</w:t>
      </w:r>
      <w:r>
        <w:rPr>
          <w:rFonts w:hint="eastAsia"/>
          <w:lang w:eastAsia="zh-CN"/>
        </w:rPr>
        <w:t>是</w:t>
      </w:r>
      <w:r w:rsidRPr="00546268">
        <w:rPr>
          <w:rFonts w:hint="eastAsia"/>
          <w:lang w:eastAsia="zh-CN"/>
        </w:rPr>
        <w:t>：</w:t>
      </w:r>
    </w:p>
    <w:p w14:paraId="4553D970" w14:textId="77777777" w:rsidR="00743DB7" w:rsidRPr="002F242C" w:rsidRDefault="00743DB7" w:rsidP="00743DB7">
      <w:pPr>
        <w:pStyle w:val="enumlev2"/>
        <w:spacing w:before="60"/>
        <w:jc w:val="both"/>
        <w:rPr>
          <w:lang w:eastAsia="zh-CN"/>
        </w:rPr>
      </w:pPr>
      <w:r>
        <w:rPr>
          <w:lang w:eastAsia="zh-CN"/>
        </w:rPr>
        <w:t>•</w:t>
      </w:r>
      <w:r w:rsidRPr="002F242C">
        <w:rPr>
          <w:lang w:eastAsia="zh-CN"/>
        </w:rPr>
        <w:tab/>
      </w:r>
      <w:r w:rsidRPr="00546268">
        <w:rPr>
          <w:rFonts w:hint="eastAsia"/>
          <w:lang w:eastAsia="zh-CN"/>
        </w:rPr>
        <w:t>影响指标应</w:t>
      </w:r>
      <w:r>
        <w:rPr>
          <w:rFonts w:hint="eastAsia"/>
          <w:lang w:eastAsia="zh-CN"/>
        </w:rPr>
        <w:t>重点关注</w:t>
      </w:r>
      <w:r w:rsidRPr="00546268">
        <w:rPr>
          <w:rFonts w:hint="eastAsia"/>
          <w:lang w:eastAsia="zh-CN"/>
        </w:rPr>
        <w:t>国际电联的工作和影响</w:t>
      </w:r>
      <w:r>
        <w:rPr>
          <w:rFonts w:hint="eastAsia"/>
          <w:lang w:eastAsia="zh-CN"/>
        </w:rPr>
        <w:t>最终</w:t>
      </w:r>
      <w:r w:rsidRPr="00546268">
        <w:rPr>
          <w:rFonts w:hint="eastAsia"/>
          <w:lang w:eastAsia="zh-CN"/>
        </w:rPr>
        <w:t>给人们生活</w:t>
      </w:r>
      <w:r>
        <w:rPr>
          <w:rFonts w:hint="eastAsia"/>
          <w:lang w:eastAsia="zh-CN"/>
        </w:rPr>
        <w:t>带来</w:t>
      </w:r>
      <w:r w:rsidRPr="00546268">
        <w:rPr>
          <w:rFonts w:hint="eastAsia"/>
          <w:lang w:eastAsia="zh-CN"/>
        </w:rPr>
        <w:t>的改变</w:t>
      </w:r>
      <w:r>
        <w:rPr>
          <w:rFonts w:hint="eastAsia"/>
          <w:lang w:eastAsia="zh-CN"/>
        </w:rPr>
        <w:t>；</w:t>
      </w:r>
    </w:p>
    <w:p w14:paraId="3CC9791A" w14:textId="3F128260" w:rsidR="00743DB7" w:rsidRPr="002F242C" w:rsidRDefault="00743DB7" w:rsidP="00743DB7">
      <w:pPr>
        <w:pStyle w:val="enumlev2"/>
        <w:spacing w:before="60"/>
        <w:jc w:val="both"/>
        <w:rPr>
          <w:lang w:eastAsia="zh-CN"/>
        </w:rPr>
      </w:pPr>
      <w:r>
        <w:rPr>
          <w:lang w:eastAsia="zh-CN"/>
        </w:rPr>
        <w:t>•</w:t>
      </w:r>
      <w:r w:rsidRPr="002F242C">
        <w:rPr>
          <w:lang w:eastAsia="zh-CN"/>
        </w:rPr>
        <w:tab/>
      </w:r>
      <w:r w:rsidRPr="00546268">
        <w:rPr>
          <w:rFonts w:hint="eastAsia"/>
          <w:lang w:eastAsia="zh-CN"/>
        </w:rPr>
        <w:t>成果指标适于衡量成员在机构和行为</w:t>
      </w:r>
      <w:r>
        <w:rPr>
          <w:rFonts w:hint="eastAsia"/>
          <w:lang w:eastAsia="zh-CN"/>
        </w:rPr>
        <w:t>能力</w:t>
      </w:r>
      <w:r w:rsidRPr="00546268">
        <w:rPr>
          <w:rFonts w:hint="eastAsia"/>
          <w:lang w:eastAsia="zh-CN"/>
        </w:rPr>
        <w:t>方面的变化，这些变化也是国际电联</w:t>
      </w:r>
      <w:r>
        <w:rPr>
          <w:rFonts w:hint="eastAsia"/>
          <w:lang w:eastAsia="zh-CN"/>
        </w:rPr>
        <w:t>的</w:t>
      </w:r>
      <w:r w:rsidRPr="00546268">
        <w:rPr>
          <w:rFonts w:hint="eastAsia"/>
          <w:lang w:eastAsia="zh-CN"/>
        </w:rPr>
        <w:t>工作和影响</w:t>
      </w:r>
      <w:r>
        <w:rPr>
          <w:rFonts w:hint="eastAsia"/>
          <w:lang w:eastAsia="zh-CN"/>
        </w:rPr>
        <w:t>产生</w:t>
      </w:r>
      <w:r w:rsidRPr="00546268">
        <w:rPr>
          <w:rFonts w:hint="eastAsia"/>
          <w:lang w:eastAsia="zh-CN"/>
        </w:rPr>
        <w:t>的最终结果。</w:t>
      </w:r>
    </w:p>
    <w:p w14:paraId="1837A500" w14:textId="77777777" w:rsidR="00743DB7" w:rsidRDefault="00743DB7" w:rsidP="00743DB7">
      <w:pPr>
        <w:pStyle w:val="enumlev1"/>
        <w:spacing w:before="60"/>
        <w:jc w:val="both"/>
        <w:rPr>
          <w:lang w:val="es-ES" w:eastAsia="zh-CN"/>
        </w:rPr>
      </w:pPr>
      <w:r w:rsidRPr="002F242C">
        <w:rPr>
          <w:lang w:eastAsia="zh-CN"/>
        </w:rPr>
        <w:t>–</w:t>
      </w:r>
      <w:r w:rsidRPr="002F242C">
        <w:rPr>
          <w:lang w:eastAsia="zh-CN"/>
        </w:rPr>
        <w:tab/>
      </w:r>
      <w:r w:rsidRPr="00546268">
        <w:rPr>
          <w:rFonts w:hint="eastAsia"/>
          <w:lang w:eastAsia="zh-CN"/>
        </w:rPr>
        <w:t>这些指标应已</w:t>
      </w:r>
      <w:r>
        <w:rPr>
          <w:rFonts w:hint="eastAsia"/>
          <w:lang w:eastAsia="zh-CN"/>
        </w:rPr>
        <w:t>存在于</w:t>
      </w:r>
      <w:r w:rsidRPr="00546268">
        <w:rPr>
          <w:rFonts w:hint="eastAsia"/>
          <w:lang w:eastAsia="zh-CN"/>
        </w:rPr>
        <w:t>国际电联或联合国系统其他组织中，且不应要求国际电联额外的财务或人力资源来获取、评估或应用相关数据。</w:t>
      </w:r>
    </w:p>
    <w:p w14:paraId="180798D0" w14:textId="77777777" w:rsidR="00632998" w:rsidRPr="00632998" w:rsidRDefault="00632998" w:rsidP="00743DB7">
      <w:pPr>
        <w:pStyle w:val="enumlev1"/>
        <w:spacing w:before="60"/>
        <w:jc w:val="both"/>
        <w:rPr>
          <w:lang w:val="es-ES" w:eastAsia="zh-CN"/>
        </w:rPr>
      </w:pPr>
    </w:p>
    <w:p w14:paraId="29C1C093" w14:textId="77777777" w:rsidR="00743DB7" w:rsidRPr="002F242C" w:rsidRDefault="00743DB7" w:rsidP="00743DB7">
      <w:pPr>
        <w:spacing w:before="0"/>
        <w:jc w:val="center"/>
      </w:pPr>
      <w:r w:rsidRPr="002F242C">
        <w:t>______________</w:t>
      </w:r>
    </w:p>
    <w:sectPr w:rsidR="00743DB7" w:rsidRPr="002F242C" w:rsidSect="00E24D59">
      <w:footerReference w:type="default" r:id="rId18"/>
      <w:headerReference w:type="first" r:id="rId19"/>
      <w:footerReference w:type="first" r:id="rId20"/>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D550D" w14:textId="77777777" w:rsidR="00445E49" w:rsidRDefault="00445E49">
      <w:r>
        <w:separator/>
      </w:r>
    </w:p>
  </w:endnote>
  <w:endnote w:type="continuationSeparator" w:id="0">
    <w:p w14:paraId="0BF4889D" w14:textId="77777777" w:rsidR="00445E49" w:rsidRDefault="00445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5002EFF" w:usb1="C200ACFF"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13406" w:rsidRPr="00A13406" w14:paraId="4A131A82" w14:textId="77777777" w:rsidTr="00E31DCE">
      <w:trPr>
        <w:jc w:val="center"/>
      </w:trPr>
      <w:tc>
        <w:tcPr>
          <w:tcW w:w="1803" w:type="dxa"/>
          <w:vAlign w:val="center"/>
        </w:tcPr>
        <w:p w14:paraId="1D74BEF0" w14:textId="6D0D93E1" w:rsidR="00E24D59" w:rsidRPr="00A13406" w:rsidRDefault="00C127AE" w:rsidP="00E24D59">
          <w:pPr>
            <w:pStyle w:val="Header"/>
            <w:jc w:val="left"/>
            <w:rPr>
              <w:noProof/>
              <w:color w:val="808080" w:themeColor="background1" w:themeShade="80"/>
            </w:rPr>
          </w:pPr>
          <w:r>
            <w:rPr>
              <w:noProof/>
              <w:color w:val="808080" w:themeColor="background1" w:themeShade="80"/>
            </w:rPr>
            <w:t>2600</w:t>
          </w:r>
          <w:r w:rsidR="00DF1257">
            <w:rPr>
              <w:noProof/>
              <w:color w:val="808080" w:themeColor="background1" w:themeShade="80"/>
            </w:rPr>
            <w:t>9</w:t>
          </w:r>
          <w:r w:rsidR="00743DB7">
            <w:rPr>
              <w:noProof/>
              <w:color w:val="808080" w:themeColor="background1" w:themeShade="80"/>
            </w:rPr>
            <w:t>15</w:t>
          </w:r>
        </w:p>
      </w:tc>
      <w:tc>
        <w:tcPr>
          <w:tcW w:w="8261" w:type="dxa"/>
        </w:tcPr>
        <w:p w14:paraId="22CDBE88" w14:textId="3841DAD1" w:rsidR="00E24D59" w:rsidRPr="00A13406" w:rsidRDefault="00E24D59" w:rsidP="00983878">
          <w:pPr>
            <w:pStyle w:val="Header"/>
            <w:tabs>
              <w:tab w:val="left" w:pos="6731"/>
              <w:tab w:val="right" w:pos="8505"/>
              <w:tab w:val="right" w:pos="9639"/>
            </w:tabs>
            <w:jc w:val="left"/>
            <w:rPr>
              <w:rFonts w:ascii="Arial" w:hAnsi="Arial" w:cs="Arial"/>
              <w:b/>
              <w:bCs/>
              <w:color w:val="808080" w:themeColor="background1" w:themeShade="80"/>
              <w:szCs w:val="18"/>
            </w:rPr>
          </w:pPr>
          <w:r w:rsidRPr="00A13406">
            <w:rPr>
              <w:bCs/>
              <w:color w:val="808080" w:themeColor="background1" w:themeShade="80"/>
            </w:rPr>
            <w:tab/>
          </w:r>
          <w:proofErr w:type="spellStart"/>
          <w:r w:rsidRPr="00A13406">
            <w:rPr>
              <w:bCs/>
              <w:color w:val="808080" w:themeColor="background1" w:themeShade="80"/>
            </w:rPr>
            <w:t>C2</w:t>
          </w:r>
          <w:r w:rsidR="00D87C3A">
            <w:rPr>
              <w:bCs/>
              <w:color w:val="808080" w:themeColor="background1" w:themeShade="80"/>
            </w:rPr>
            <w:t>6</w:t>
          </w:r>
          <w:proofErr w:type="spellEnd"/>
          <w:r w:rsidRPr="00A13406">
            <w:rPr>
              <w:bCs/>
              <w:color w:val="808080" w:themeColor="background1" w:themeShade="80"/>
            </w:rPr>
            <w:t>/</w:t>
          </w:r>
          <w:r w:rsidR="00743DB7">
            <w:rPr>
              <w:bCs/>
              <w:color w:val="808080" w:themeColor="background1" w:themeShade="80"/>
            </w:rPr>
            <w:t>83</w:t>
          </w:r>
          <w:r w:rsidRPr="00A13406">
            <w:rPr>
              <w:bCs/>
              <w:color w:val="808080" w:themeColor="background1" w:themeShade="80"/>
            </w:rPr>
            <w:t>-C</w:t>
          </w:r>
          <w:r w:rsidRPr="00A13406">
            <w:rPr>
              <w:bCs/>
              <w:color w:val="808080" w:themeColor="background1" w:themeShade="80"/>
            </w:rPr>
            <w:tab/>
          </w:r>
          <w:r w:rsidRPr="00A13406">
            <w:rPr>
              <w:color w:val="808080" w:themeColor="background1" w:themeShade="80"/>
            </w:rPr>
            <w:fldChar w:fldCharType="begin"/>
          </w:r>
          <w:r w:rsidRPr="00A13406">
            <w:rPr>
              <w:color w:val="808080" w:themeColor="background1" w:themeShade="80"/>
            </w:rPr>
            <w:instrText>PAGE</w:instrText>
          </w:r>
          <w:r w:rsidRPr="00A13406">
            <w:rPr>
              <w:color w:val="808080" w:themeColor="background1" w:themeShade="80"/>
            </w:rPr>
            <w:fldChar w:fldCharType="separate"/>
          </w:r>
          <w:r w:rsidRPr="00A13406">
            <w:rPr>
              <w:color w:val="808080" w:themeColor="background1" w:themeShade="80"/>
            </w:rPr>
            <w:t>1</w:t>
          </w:r>
          <w:r w:rsidRPr="00A13406">
            <w:rPr>
              <w:noProof/>
              <w:color w:val="808080" w:themeColor="background1" w:themeShade="80"/>
            </w:rPr>
            <w:fldChar w:fldCharType="end"/>
          </w:r>
        </w:p>
      </w:tc>
    </w:tr>
  </w:tbl>
  <w:p w14:paraId="59ECC26B" w14:textId="77777777" w:rsidR="00B40A53" w:rsidRPr="00E24D59" w:rsidRDefault="00B40A53" w:rsidP="00E24D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13406" w:rsidRPr="00A13406" w14:paraId="01CB0F89" w14:textId="77777777" w:rsidTr="00E31DCE">
      <w:trPr>
        <w:jc w:val="center"/>
      </w:trPr>
      <w:tc>
        <w:tcPr>
          <w:tcW w:w="1803" w:type="dxa"/>
          <w:vAlign w:val="center"/>
        </w:tcPr>
        <w:p w14:paraId="36696192" w14:textId="77777777" w:rsidR="00E24D59" w:rsidRPr="00E34C96" w:rsidRDefault="00D87C3A" w:rsidP="00E24D59">
          <w:pPr>
            <w:pStyle w:val="Header"/>
            <w:jc w:val="left"/>
            <w:rPr>
              <w:noProof/>
            </w:rPr>
          </w:pPr>
          <w:hyperlink r:id="rId1" w:anchor="/zh" w:history="1">
            <w:r>
              <w:rPr>
                <w:rStyle w:val="Hyperlink"/>
              </w:rPr>
              <w:t>council.itu.int/2026</w:t>
            </w:r>
          </w:hyperlink>
        </w:p>
      </w:tc>
      <w:tc>
        <w:tcPr>
          <w:tcW w:w="8261" w:type="dxa"/>
        </w:tcPr>
        <w:p w14:paraId="03D0F170" w14:textId="58DF2397" w:rsidR="00E24D59" w:rsidRPr="00A13406" w:rsidRDefault="00E24D59" w:rsidP="00983878">
          <w:pPr>
            <w:pStyle w:val="Header"/>
            <w:tabs>
              <w:tab w:val="left" w:pos="6731"/>
              <w:tab w:val="right" w:pos="8505"/>
              <w:tab w:val="right" w:pos="9639"/>
            </w:tabs>
            <w:jc w:val="left"/>
            <w:rPr>
              <w:rFonts w:ascii="Arial" w:hAnsi="Arial" w:cs="Arial"/>
              <w:b/>
              <w:bCs/>
              <w:color w:val="808080" w:themeColor="background1" w:themeShade="80"/>
              <w:szCs w:val="18"/>
            </w:rPr>
          </w:pPr>
          <w:r w:rsidRPr="003F086E">
            <w:rPr>
              <w:bCs/>
              <w:color w:val="808080" w:themeColor="background1" w:themeShade="80"/>
            </w:rPr>
            <w:tab/>
          </w:r>
          <w:proofErr w:type="spellStart"/>
          <w:r w:rsidRPr="003F086E">
            <w:rPr>
              <w:bCs/>
              <w:color w:val="808080" w:themeColor="background1" w:themeShade="80"/>
            </w:rPr>
            <w:t>C2</w:t>
          </w:r>
          <w:r w:rsidR="00D87C3A">
            <w:rPr>
              <w:bCs/>
              <w:color w:val="808080" w:themeColor="background1" w:themeShade="80"/>
            </w:rPr>
            <w:t>6</w:t>
          </w:r>
          <w:proofErr w:type="spellEnd"/>
          <w:r w:rsidRPr="003F086E">
            <w:rPr>
              <w:bCs/>
              <w:color w:val="808080" w:themeColor="background1" w:themeShade="80"/>
            </w:rPr>
            <w:t>/</w:t>
          </w:r>
          <w:r w:rsidR="00743DB7">
            <w:rPr>
              <w:bCs/>
              <w:color w:val="808080" w:themeColor="background1" w:themeShade="80"/>
            </w:rPr>
            <w:t>83</w:t>
          </w:r>
          <w:r w:rsidRPr="003F086E">
            <w:rPr>
              <w:bCs/>
              <w:color w:val="808080" w:themeColor="background1" w:themeShade="80"/>
            </w:rPr>
            <w:t>-C</w:t>
          </w:r>
          <w:r w:rsidRPr="003F086E">
            <w:rPr>
              <w:bCs/>
              <w:color w:val="808080" w:themeColor="background1" w:themeShade="80"/>
            </w:rPr>
            <w:tab/>
          </w:r>
          <w:r w:rsidRPr="003F086E">
            <w:rPr>
              <w:color w:val="808080" w:themeColor="background1" w:themeShade="80"/>
            </w:rPr>
            <w:fldChar w:fldCharType="begin"/>
          </w:r>
          <w:r w:rsidRPr="003F086E">
            <w:rPr>
              <w:color w:val="808080" w:themeColor="background1" w:themeShade="80"/>
            </w:rPr>
            <w:instrText>PAGE</w:instrText>
          </w:r>
          <w:r w:rsidRPr="003F086E">
            <w:rPr>
              <w:color w:val="808080" w:themeColor="background1" w:themeShade="80"/>
            </w:rPr>
            <w:fldChar w:fldCharType="separate"/>
          </w:r>
          <w:r w:rsidRPr="003F086E">
            <w:rPr>
              <w:color w:val="808080" w:themeColor="background1" w:themeShade="80"/>
            </w:rPr>
            <w:t>1</w:t>
          </w:r>
          <w:r w:rsidRPr="003F086E">
            <w:rPr>
              <w:noProof/>
              <w:color w:val="808080" w:themeColor="background1" w:themeShade="80"/>
            </w:rPr>
            <w:fldChar w:fldCharType="end"/>
          </w:r>
        </w:p>
      </w:tc>
    </w:tr>
  </w:tbl>
  <w:p w14:paraId="661FB6EF" w14:textId="77777777" w:rsidR="00AC516F" w:rsidRPr="00E24D59" w:rsidRDefault="00AC516F" w:rsidP="00E24D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002FF" w14:textId="77777777" w:rsidR="00445E49" w:rsidRDefault="00445E49">
      <w:r>
        <w:t>____________________</w:t>
      </w:r>
    </w:p>
  </w:footnote>
  <w:footnote w:type="continuationSeparator" w:id="0">
    <w:p w14:paraId="077F58C3" w14:textId="77777777" w:rsidR="00445E49" w:rsidRDefault="00445E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5C100" w14:textId="77777777" w:rsidR="00E24D59" w:rsidRPr="00602842" w:rsidRDefault="00602842" w:rsidP="00602842">
    <w:pPr>
      <w:pStyle w:val="Header"/>
    </w:pPr>
    <w:r>
      <w:rPr>
        <w:noProof/>
      </w:rPr>
      <w:drawing>
        <wp:inline distT="0" distB="0" distL="0" distR="0" wp14:anchorId="28C50EA7" wp14:editId="7195875E">
          <wp:extent cx="5760085" cy="840740"/>
          <wp:effectExtent l="0" t="0" r="0" b="0"/>
          <wp:docPr id="9142992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299275" name="Picture 914299275"/>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D601260"/>
    <w:multiLevelType w:val="hybridMultilevel"/>
    <w:tmpl w:val="2F16BCD2"/>
    <w:lvl w:ilvl="0" w:tplc="4B2AE274">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C2259D3"/>
    <w:multiLevelType w:val="hybridMultilevel"/>
    <w:tmpl w:val="BC5801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2A6943"/>
    <w:multiLevelType w:val="hybridMultilevel"/>
    <w:tmpl w:val="976EDD48"/>
    <w:lvl w:ilvl="0" w:tplc="C52CC33A">
      <w:start w:val="1"/>
      <w:numFmt w:val="lowerLetter"/>
      <w:lvlText w:val="%1)"/>
      <w:lvlJc w:val="left"/>
      <w:pPr>
        <w:tabs>
          <w:tab w:val="num" w:pos="1080"/>
        </w:tabs>
        <w:ind w:left="1080" w:hanging="360"/>
      </w:pPr>
      <w:rPr>
        <w:rFonts w:hint="default"/>
        <w:i/>
        <w:iCs/>
      </w:rPr>
    </w:lvl>
    <w:lvl w:ilvl="1" w:tplc="2780B492">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682D5FB3"/>
    <w:multiLevelType w:val="hybridMultilevel"/>
    <w:tmpl w:val="A4A8388A"/>
    <w:lvl w:ilvl="0" w:tplc="E5547088">
      <w:start w:val="1"/>
      <w:numFmt w:val="decimal"/>
      <w:lvlText w:val="%1"/>
      <w:lvlJc w:val="left"/>
      <w:pPr>
        <w:ind w:left="1155" w:hanging="7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10A50AC"/>
    <w:multiLevelType w:val="hybridMultilevel"/>
    <w:tmpl w:val="8E68B27E"/>
    <w:lvl w:ilvl="0" w:tplc="5FC48090">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43F5F9E"/>
    <w:multiLevelType w:val="hybridMultilevel"/>
    <w:tmpl w:val="80DC1616"/>
    <w:lvl w:ilvl="0" w:tplc="D26E735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79449368">
    <w:abstractNumId w:val="0"/>
  </w:num>
  <w:num w:numId="2" w16cid:durableId="501241818">
    <w:abstractNumId w:val="2"/>
  </w:num>
  <w:num w:numId="3" w16cid:durableId="371539808">
    <w:abstractNumId w:val="3"/>
  </w:num>
  <w:num w:numId="4" w16cid:durableId="1525828948">
    <w:abstractNumId w:val="4"/>
  </w:num>
  <w:num w:numId="5" w16cid:durableId="2033219779">
    <w:abstractNumId w:val="6"/>
  </w:num>
  <w:num w:numId="6" w16cid:durableId="349645790">
    <w:abstractNumId w:val="5"/>
  </w:num>
  <w:num w:numId="7" w16cid:durableId="14515864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9A5"/>
    <w:rsid w:val="00001B77"/>
    <w:rsid w:val="0000517A"/>
    <w:rsid w:val="0000538F"/>
    <w:rsid w:val="00031E72"/>
    <w:rsid w:val="000404D2"/>
    <w:rsid w:val="000445DC"/>
    <w:rsid w:val="00064124"/>
    <w:rsid w:val="000646BD"/>
    <w:rsid w:val="000853C0"/>
    <w:rsid w:val="00093DD9"/>
    <w:rsid w:val="0009409E"/>
    <w:rsid w:val="000A1C21"/>
    <w:rsid w:val="000C0BC5"/>
    <w:rsid w:val="000C60BE"/>
    <w:rsid w:val="000D15EA"/>
    <w:rsid w:val="000D61FE"/>
    <w:rsid w:val="000D7012"/>
    <w:rsid w:val="00100D84"/>
    <w:rsid w:val="00124C9D"/>
    <w:rsid w:val="001305DE"/>
    <w:rsid w:val="0015333E"/>
    <w:rsid w:val="00157773"/>
    <w:rsid w:val="0017287B"/>
    <w:rsid w:val="0018251A"/>
    <w:rsid w:val="00190272"/>
    <w:rsid w:val="00193244"/>
    <w:rsid w:val="00195C6C"/>
    <w:rsid w:val="00195FED"/>
    <w:rsid w:val="001A4BD6"/>
    <w:rsid w:val="001B6E2B"/>
    <w:rsid w:val="001D5A18"/>
    <w:rsid w:val="00215132"/>
    <w:rsid w:val="00220C45"/>
    <w:rsid w:val="00224449"/>
    <w:rsid w:val="002764AD"/>
    <w:rsid w:val="00277DEA"/>
    <w:rsid w:val="00280EB8"/>
    <w:rsid w:val="002916B4"/>
    <w:rsid w:val="002A1D39"/>
    <w:rsid w:val="002A6670"/>
    <w:rsid w:val="002B77A3"/>
    <w:rsid w:val="002C3F32"/>
    <w:rsid w:val="00303502"/>
    <w:rsid w:val="00325C25"/>
    <w:rsid w:val="00372C8F"/>
    <w:rsid w:val="00380ECE"/>
    <w:rsid w:val="00393DDF"/>
    <w:rsid w:val="00397F55"/>
    <w:rsid w:val="003B4454"/>
    <w:rsid w:val="003C1BD8"/>
    <w:rsid w:val="003C2E37"/>
    <w:rsid w:val="003E20AE"/>
    <w:rsid w:val="003F086E"/>
    <w:rsid w:val="003F1415"/>
    <w:rsid w:val="003F252F"/>
    <w:rsid w:val="0040144C"/>
    <w:rsid w:val="00403EB7"/>
    <w:rsid w:val="00404FAC"/>
    <w:rsid w:val="004109A5"/>
    <w:rsid w:val="004178E6"/>
    <w:rsid w:val="00430BF0"/>
    <w:rsid w:val="00445E49"/>
    <w:rsid w:val="00454AF4"/>
    <w:rsid w:val="00465C35"/>
    <w:rsid w:val="004672E6"/>
    <w:rsid w:val="00474ED1"/>
    <w:rsid w:val="00476588"/>
    <w:rsid w:val="00477D57"/>
    <w:rsid w:val="00491BA9"/>
    <w:rsid w:val="00493085"/>
    <w:rsid w:val="004A36EC"/>
    <w:rsid w:val="004D163F"/>
    <w:rsid w:val="004E2B4D"/>
    <w:rsid w:val="004E4BFF"/>
    <w:rsid w:val="004F2598"/>
    <w:rsid w:val="005017CF"/>
    <w:rsid w:val="005403F7"/>
    <w:rsid w:val="00540632"/>
    <w:rsid w:val="00541CF4"/>
    <w:rsid w:val="005451E8"/>
    <w:rsid w:val="005507F2"/>
    <w:rsid w:val="00551CB5"/>
    <w:rsid w:val="00555C29"/>
    <w:rsid w:val="005759CC"/>
    <w:rsid w:val="00576C08"/>
    <w:rsid w:val="00594451"/>
    <w:rsid w:val="005A72E1"/>
    <w:rsid w:val="005C6632"/>
    <w:rsid w:val="005D1C9E"/>
    <w:rsid w:val="005E4EE8"/>
    <w:rsid w:val="00602842"/>
    <w:rsid w:val="00630DD5"/>
    <w:rsid w:val="00632998"/>
    <w:rsid w:val="00637584"/>
    <w:rsid w:val="00654257"/>
    <w:rsid w:val="0065435A"/>
    <w:rsid w:val="00670D8A"/>
    <w:rsid w:val="00682E97"/>
    <w:rsid w:val="006976F0"/>
    <w:rsid w:val="006A2DD3"/>
    <w:rsid w:val="006A5113"/>
    <w:rsid w:val="006A5AF8"/>
    <w:rsid w:val="006C36CD"/>
    <w:rsid w:val="00700D1F"/>
    <w:rsid w:val="007205CB"/>
    <w:rsid w:val="0072138B"/>
    <w:rsid w:val="00726073"/>
    <w:rsid w:val="00734FE8"/>
    <w:rsid w:val="007360CE"/>
    <w:rsid w:val="00743DB7"/>
    <w:rsid w:val="0077110E"/>
    <w:rsid w:val="00772315"/>
    <w:rsid w:val="00775157"/>
    <w:rsid w:val="007813AE"/>
    <w:rsid w:val="007846F6"/>
    <w:rsid w:val="007A37DB"/>
    <w:rsid w:val="007E189D"/>
    <w:rsid w:val="007F0210"/>
    <w:rsid w:val="00804CE8"/>
    <w:rsid w:val="00806E3F"/>
    <w:rsid w:val="00811259"/>
    <w:rsid w:val="00813AA2"/>
    <w:rsid w:val="008173A3"/>
    <w:rsid w:val="008418F5"/>
    <w:rsid w:val="0084546D"/>
    <w:rsid w:val="0086059C"/>
    <w:rsid w:val="00864589"/>
    <w:rsid w:val="00874C82"/>
    <w:rsid w:val="00890AFB"/>
    <w:rsid w:val="00890FC4"/>
    <w:rsid w:val="00895905"/>
    <w:rsid w:val="008D40AB"/>
    <w:rsid w:val="008E1DFD"/>
    <w:rsid w:val="008F64AD"/>
    <w:rsid w:val="00911230"/>
    <w:rsid w:val="00911867"/>
    <w:rsid w:val="009164A9"/>
    <w:rsid w:val="009258CB"/>
    <w:rsid w:val="0093362E"/>
    <w:rsid w:val="00944563"/>
    <w:rsid w:val="009470DE"/>
    <w:rsid w:val="00953160"/>
    <w:rsid w:val="009625D8"/>
    <w:rsid w:val="00962E9E"/>
    <w:rsid w:val="00972E7A"/>
    <w:rsid w:val="00983878"/>
    <w:rsid w:val="0098459B"/>
    <w:rsid w:val="00986943"/>
    <w:rsid w:val="00997185"/>
    <w:rsid w:val="009A3456"/>
    <w:rsid w:val="009A76A8"/>
    <w:rsid w:val="009B1114"/>
    <w:rsid w:val="009C2458"/>
    <w:rsid w:val="009C4A7B"/>
    <w:rsid w:val="009C6123"/>
    <w:rsid w:val="009F1E3E"/>
    <w:rsid w:val="00A01F4F"/>
    <w:rsid w:val="00A109AF"/>
    <w:rsid w:val="00A1213C"/>
    <w:rsid w:val="00A13406"/>
    <w:rsid w:val="00A272FF"/>
    <w:rsid w:val="00A5354B"/>
    <w:rsid w:val="00A71B57"/>
    <w:rsid w:val="00AA2E08"/>
    <w:rsid w:val="00AB42C1"/>
    <w:rsid w:val="00AC516F"/>
    <w:rsid w:val="00AE195F"/>
    <w:rsid w:val="00AE2926"/>
    <w:rsid w:val="00B0184B"/>
    <w:rsid w:val="00B035CD"/>
    <w:rsid w:val="00B0769D"/>
    <w:rsid w:val="00B217F8"/>
    <w:rsid w:val="00B326AA"/>
    <w:rsid w:val="00B332EA"/>
    <w:rsid w:val="00B40A53"/>
    <w:rsid w:val="00B45365"/>
    <w:rsid w:val="00B46A65"/>
    <w:rsid w:val="00B60184"/>
    <w:rsid w:val="00B62D20"/>
    <w:rsid w:val="00B81E75"/>
    <w:rsid w:val="00B91673"/>
    <w:rsid w:val="00B93453"/>
    <w:rsid w:val="00B9445B"/>
    <w:rsid w:val="00BC2E3B"/>
    <w:rsid w:val="00BD0954"/>
    <w:rsid w:val="00BD1A5A"/>
    <w:rsid w:val="00BD5B00"/>
    <w:rsid w:val="00BD7A9B"/>
    <w:rsid w:val="00BD7BE1"/>
    <w:rsid w:val="00BE5D7C"/>
    <w:rsid w:val="00BF3F8B"/>
    <w:rsid w:val="00BF416B"/>
    <w:rsid w:val="00C0775D"/>
    <w:rsid w:val="00C127AE"/>
    <w:rsid w:val="00C15E1C"/>
    <w:rsid w:val="00C205F9"/>
    <w:rsid w:val="00C24DAC"/>
    <w:rsid w:val="00C45EB2"/>
    <w:rsid w:val="00C51CE0"/>
    <w:rsid w:val="00C63BAC"/>
    <w:rsid w:val="00C64E4E"/>
    <w:rsid w:val="00C66E64"/>
    <w:rsid w:val="00C7504E"/>
    <w:rsid w:val="00C761A0"/>
    <w:rsid w:val="00C77FB8"/>
    <w:rsid w:val="00C854E8"/>
    <w:rsid w:val="00C85F7E"/>
    <w:rsid w:val="00C90D53"/>
    <w:rsid w:val="00C912CE"/>
    <w:rsid w:val="00CA0B2E"/>
    <w:rsid w:val="00CA260A"/>
    <w:rsid w:val="00CA6EF7"/>
    <w:rsid w:val="00CC266D"/>
    <w:rsid w:val="00CD47F0"/>
    <w:rsid w:val="00CD5566"/>
    <w:rsid w:val="00CD64D7"/>
    <w:rsid w:val="00CE6F22"/>
    <w:rsid w:val="00CF41F6"/>
    <w:rsid w:val="00CF7D3E"/>
    <w:rsid w:val="00D0269B"/>
    <w:rsid w:val="00D02B4E"/>
    <w:rsid w:val="00D21F11"/>
    <w:rsid w:val="00D36817"/>
    <w:rsid w:val="00D416DA"/>
    <w:rsid w:val="00D453EE"/>
    <w:rsid w:val="00D5666C"/>
    <w:rsid w:val="00D64CDC"/>
    <w:rsid w:val="00D666BC"/>
    <w:rsid w:val="00D773A8"/>
    <w:rsid w:val="00D83542"/>
    <w:rsid w:val="00D87C3A"/>
    <w:rsid w:val="00D92F45"/>
    <w:rsid w:val="00D94637"/>
    <w:rsid w:val="00D9725C"/>
    <w:rsid w:val="00DA0E66"/>
    <w:rsid w:val="00DA2D30"/>
    <w:rsid w:val="00DA7006"/>
    <w:rsid w:val="00DA722E"/>
    <w:rsid w:val="00DB2988"/>
    <w:rsid w:val="00DB3621"/>
    <w:rsid w:val="00DC6427"/>
    <w:rsid w:val="00DD62F5"/>
    <w:rsid w:val="00DD66A1"/>
    <w:rsid w:val="00DE196D"/>
    <w:rsid w:val="00DF1257"/>
    <w:rsid w:val="00DF6B49"/>
    <w:rsid w:val="00E067C5"/>
    <w:rsid w:val="00E24D59"/>
    <w:rsid w:val="00E265BF"/>
    <w:rsid w:val="00E323D0"/>
    <w:rsid w:val="00E34C96"/>
    <w:rsid w:val="00E378D8"/>
    <w:rsid w:val="00E43A12"/>
    <w:rsid w:val="00E53A5A"/>
    <w:rsid w:val="00E60ECF"/>
    <w:rsid w:val="00E656EC"/>
    <w:rsid w:val="00E67C67"/>
    <w:rsid w:val="00E77476"/>
    <w:rsid w:val="00E8228B"/>
    <w:rsid w:val="00E9332E"/>
    <w:rsid w:val="00EA33B9"/>
    <w:rsid w:val="00EE5706"/>
    <w:rsid w:val="00EF373D"/>
    <w:rsid w:val="00F051C3"/>
    <w:rsid w:val="00F07053"/>
    <w:rsid w:val="00F11595"/>
    <w:rsid w:val="00F13BC9"/>
    <w:rsid w:val="00F254AC"/>
    <w:rsid w:val="00F357B2"/>
    <w:rsid w:val="00F36556"/>
    <w:rsid w:val="00F57247"/>
    <w:rsid w:val="00F60EDE"/>
    <w:rsid w:val="00F63FCE"/>
    <w:rsid w:val="00F6736A"/>
    <w:rsid w:val="00F705DF"/>
    <w:rsid w:val="00F70622"/>
    <w:rsid w:val="00F85624"/>
    <w:rsid w:val="00F87C05"/>
    <w:rsid w:val="00F93191"/>
    <w:rsid w:val="00F93A17"/>
    <w:rsid w:val="00F942D3"/>
    <w:rsid w:val="00FA2AF6"/>
    <w:rsid w:val="00FB073D"/>
    <w:rsid w:val="00FB771F"/>
    <w:rsid w:val="00FC21C4"/>
    <w:rsid w:val="00FC538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FF7C5E"/>
  <w15:docId w15:val="{B1CC1209-690F-49FC-8FC0-FE8FB2502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163F"/>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link w:val="Heading1Char"/>
    <w:qFormat/>
    <w:rsid w:val="006C36CD"/>
    <w:pPr>
      <w:keepNext/>
      <w:keepLines/>
      <w:spacing w:before="480"/>
      <w:ind w:left="794" w:hanging="794"/>
      <w:outlineLvl w:val="0"/>
    </w:pPr>
    <w:rPr>
      <w:b/>
      <w:sz w:val="28"/>
    </w:rPr>
  </w:style>
  <w:style w:type="paragraph" w:styleId="Heading2">
    <w:name w:val="heading 2"/>
    <w:basedOn w:val="Heading1"/>
    <w:next w:val="Normal"/>
    <w:link w:val="Heading2Char"/>
    <w:qFormat/>
    <w:rsid w:val="006C36CD"/>
    <w:pPr>
      <w:spacing w:before="320"/>
      <w:outlineLvl w:val="1"/>
    </w:pPr>
    <w:rPr>
      <w:sz w:val="24"/>
    </w:rPr>
  </w:style>
  <w:style w:type="paragraph" w:styleId="Heading3">
    <w:name w:val="heading 3"/>
    <w:basedOn w:val="Heading1"/>
    <w:next w:val="Normal"/>
    <w:qFormat/>
    <w:rsid w:val="004D163F"/>
    <w:pPr>
      <w:spacing w:before="200"/>
      <w:ind w:left="0" w:firstLine="0"/>
      <w:outlineLvl w:val="2"/>
    </w:pPr>
    <w:rPr>
      <w:i/>
      <w:sz w:val="24"/>
    </w:rPr>
  </w:style>
  <w:style w:type="paragraph" w:styleId="Heading4">
    <w:name w:val="heading 4"/>
    <w:basedOn w:val="Heading3"/>
    <w:next w:val="Normal"/>
    <w:qFormat/>
    <w:rsid w:val="006C36CD"/>
    <w:pPr>
      <w:tabs>
        <w:tab w:val="clear" w:pos="794"/>
        <w:tab w:val="clear" w:pos="1191"/>
        <w:tab w:val="clear" w:pos="1588"/>
        <w:tab w:val="clear" w:pos="1985"/>
      </w:tabs>
      <w:outlineLvl w:val="3"/>
    </w:pPr>
    <w:rPr>
      <w:b w:val="0"/>
    </w:rPr>
  </w:style>
  <w:style w:type="paragraph" w:styleId="Heading5">
    <w:name w:val="heading 5"/>
    <w:basedOn w:val="Heading4"/>
    <w:next w:val="Normal"/>
    <w:qFormat/>
    <w:rsid w:val="006C36CD"/>
    <w:pPr>
      <w:outlineLvl w:val="4"/>
    </w:pPr>
  </w:style>
  <w:style w:type="paragraph" w:styleId="Heading6">
    <w:name w:val="heading 6"/>
    <w:basedOn w:val="Heading4"/>
    <w:next w:val="Normal"/>
    <w:qFormat/>
    <w:rsid w:val="006C36CD"/>
    <w:pPr>
      <w:outlineLvl w:val="5"/>
    </w:pPr>
  </w:style>
  <w:style w:type="paragraph" w:styleId="Heading7">
    <w:name w:val="heading 7"/>
    <w:basedOn w:val="Heading6"/>
    <w:next w:val="Normal"/>
    <w:qFormat/>
    <w:rsid w:val="006C36CD"/>
    <w:pPr>
      <w:outlineLvl w:val="6"/>
    </w:pPr>
  </w:style>
  <w:style w:type="paragraph" w:styleId="Heading8">
    <w:name w:val="heading 8"/>
    <w:basedOn w:val="Heading6"/>
    <w:next w:val="Normal"/>
    <w:qFormat/>
    <w:rsid w:val="006C36CD"/>
    <w:pPr>
      <w:outlineLvl w:val="7"/>
    </w:pPr>
  </w:style>
  <w:style w:type="paragraph" w:styleId="Heading9">
    <w:name w:val="heading 9"/>
    <w:basedOn w:val="Heading6"/>
    <w:next w:val="Normal"/>
    <w:qFormat/>
    <w:rsid w:val="006C36C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C24DAC"/>
  </w:style>
  <w:style w:type="paragraph" w:styleId="TOC4">
    <w:name w:val="toc 4"/>
    <w:basedOn w:val="TOC1"/>
    <w:next w:val="Normal"/>
    <w:rsid w:val="00C24DAC"/>
  </w:style>
  <w:style w:type="paragraph" w:styleId="TOC3">
    <w:name w:val="toc 3"/>
    <w:basedOn w:val="TOC1"/>
    <w:next w:val="Normal"/>
    <w:rsid w:val="00C24DAC"/>
  </w:style>
  <w:style w:type="paragraph" w:styleId="TOC2">
    <w:name w:val="toc 2"/>
    <w:basedOn w:val="TOC1"/>
    <w:next w:val="Normal"/>
    <w:rsid w:val="00C24DAC"/>
    <w:pPr>
      <w:spacing w:before="160"/>
    </w:pPr>
  </w:style>
  <w:style w:type="paragraph" w:styleId="TOC1">
    <w:name w:val="toc 1"/>
    <w:basedOn w:val="Normal"/>
    <w:rsid w:val="00C24DAC"/>
    <w:pPr>
      <w:tabs>
        <w:tab w:val="clear" w:pos="794"/>
        <w:tab w:val="clear" w:pos="1191"/>
        <w:tab w:val="clear" w:pos="1588"/>
        <w:tab w:val="clear" w:pos="1985"/>
        <w:tab w:val="left" w:pos="964"/>
        <w:tab w:val="left" w:leader="dot" w:pos="7938"/>
        <w:tab w:val="right" w:pos="9072"/>
      </w:tabs>
      <w:spacing w:before="200"/>
      <w:ind w:left="964" w:hanging="964"/>
    </w:pPr>
    <w:rPr>
      <w:rFonts w:eastAsia="Times New Roman"/>
      <w:lang w:val="fr-FR"/>
    </w:rPr>
  </w:style>
  <w:style w:type="paragraph" w:styleId="TOC7">
    <w:name w:val="toc 7"/>
    <w:basedOn w:val="TOC6"/>
    <w:next w:val="Normal"/>
    <w:rsid w:val="00C24DAC"/>
  </w:style>
  <w:style w:type="paragraph" w:styleId="TOC6">
    <w:name w:val="toc 6"/>
    <w:basedOn w:val="TOC5"/>
    <w:next w:val="Normal"/>
    <w:rsid w:val="00C24DAC"/>
  </w:style>
  <w:style w:type="paragraph" w:styleId="TOC5">
    <w:name w:val="toc 5"/>
    <w:basedOn w:val="TOC4"/>
    <w:next w:val="Normal"/>
    <w:rsid w:val="00C24DAC"/>
    <w:rPr>
      <w:lang w:val="fr-CH"/>
    </w:rPr>
  </w:style>
  <w:style w:type="paragraph" w:styleId="Index7">
    <w:name w:val="index 7"/>
    <w:basedOn w:val="Normal"/>
    <w:next w:val="Normal"/>
    <w:semiHidden/>
    <w:rsid w:val="006C36CD"/>
    <w:pPr>
      <w:ind w:left="1698"/>
    </w:pPr>
  </w:style>
  <w:style w:type="paragraph" w:styleId="Index6">
    <w:name w:val="index 6"/>
    <w:basedOn w:val="Normal"/>
    <w:next w:val="Normal"/>
    <w:semiHidden/>
    <w:rsid w:val="006C36CD"/>
    <w:pPr>
      <w:ind w:left="1415"/>
    </w:pPr>
  </w:style>
  <w:style w:type="paragraph" w:styleId="Index5">
    <w:name w:val="index 5"/>
    <w:basedOn w:val="Normal"/>
    <w:next w:val="Normal"/>
    <w:semiHidden/>
    <w:rsid w:val="006C36CD"/>
    <w:pPr>
      <w:ind w:left="1132"/>
    </w:pPr>
  </w:style>
  <w:style w:type="paragraph" w:styleId="Index4">
    <w:name w:val="index 4"/>
    <w:basedOn w:val="Normal"/>
    <w:next w:val="Normal"/>
    <w:semiHidden/>
    <w:rsid w:val="006C36CD"/>
    <w:pPr>
      <w:ind w:left="849"/>
    </w:pPr>
  </w:style>
  <w:style w:type="paragraph" w:styleId="Index3">
    <w:name w:val="index 3"/>
    <w:basedOn w:val="Normal"/>
    <w:next w:val="Normal"/>
    <w:semiHidden/>
    <w:rsid w:val="006C36CD"/>
    <w:pPr>
      <w:ind w:left="566"/>
    </w:pPr>
  </w:style>
  <w:style w:type="paragraph" w:styleId="Index2">
    <w:name w:val="index 2"/>
    <w:basedOn w:val="Normal"/>
    <w:next w:val="Normal"/>
    <w:semiHidden/>
    <w:rsid w:val="006C36CD"/>
    <w:pPr>
      <w:ind w:left="283"/>
    </w:pPr>
  </w:style>
  <w:style w:type="paragraph" w:styleId="Index1">
    <w:name w:val="index 1"/>
    <w:basedOn w:val="Normal"/>
    <w:next w:val="Normal"/>
    <w:semiHidden/>
    <w:rsid w:val="006C36CD"/>
  </w:style>
  <w:style w:type="character" w:styleId="LineNumber">
    <w:name w:val="line number"/>
    <w:basedOn w:val="DefaultParagraphFont"/>
    <w:rsid w:val="006C36CD"/>
  </w:style>
  <w:style w:type="paragraph" w:styleId="IndexHeading">
    <w:name w:val="index heading"/>
    <w:basedOn w:val="Normal"/>
    <w:next w:val="Index1"/>
    <w:semiHidden/>
    <w:rsid w:val="006C36CD"/>
  </w:style>
  <w:style w:type="paragraph" w:styleId="Footer">
    <w:name w:val="footer"/>
    <w:basedOn w:val="Normal"/>
    <w:link w:val="FooterChar"/>
    <w:rsid w:val="006C36CD"/>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link w:val="HeaderChar"/>
    <w:uiPriority w:val="99"/>
    <w:rsid w:val="006C36CD"/>
    <w:pPr>
      <w:tabs>
        <w:tab w:val="clear" w:pos="794"/>
        <w:tab w:val="clear" w:pos="1191"/>
        <w:tab w:val="clear" w:pos="1588"/>
        <w:tab w:val="clear" w:pos="1985"/>
      </w:tabs>
      <w:spacing w:before="0"/>
      <w:jc w:val="center"/>
    </w:pPr>
    <w:rPr>
      <w:sz w:val="18"/>
      <w:lang w:val="fr-FR"/>
    </w:rPr>
  </w:style>
  <w:style w:type="character" w:styleId="FootnoteReference">
    <w:name w:val="footnote reference"/>
    <w:basedOn w:val="DefaultParagraphFont"/>
    <w:semiHidden/>
    <w:rsid w:val="006C36CD"/>
    <w:rPr>
      <w:position w:val="6"/>
      <w:sz w:val="18"/>
    </w:rPr>
  </w:style>
  <w:style w:type="paragraph" w:styleId="FootnoteText">
    <w:name w:val="footnote text"/>
    <w:basedOn w:val="Normal"/>
    <w:link w:val="FootnoteTextChar"/>
    <w:semiHidden/>
    <w:rsid w:val="006C36CD"/>
    <w:pPr>
      <w:keepLines/>
      <w:tabs>
        <w:tab w:val="left" w:pos="255"/>
      </w:tabs>
      <w:ind w:left="255" w:hanging="255"/>
    </w:pPr>
  </w:style>
  <w:style w:type="paragraph" w:styleId="NormalIndent">
    <w:name w:val="Normal Indent"/>
    <w:basedOn w:val="Normal"/>
    <w:rsid w:val="006C36CD"/>
    <w:pPr>
      <w:ind w:left="794"/>
    </w:pPr>
  </w:style>
  <w:style w:type="paragraph" w:customStyle="1" w:styleId="enumlev1">
    <w:name w:val="enumlev1"/>
    <w:basedOn w:val="Normal"/>
    <w:qFormat/>
    <w:rsid w:val="006C36CD"/>
    <w:pPr>
      <w:tabs>
        <w:tab w:val="left" w:pos="2608"/>
        <w:tab w:val="left" w:pos="3345"/>
      </w:tabs>
      <w:spacing w:before="80"/>
      <w:ind w:left="794" w:hanging="794"/>
    </w:pPr>
  </w:style>
  <w:style w:type="paragraph" w:customStyle="1" w:styleId="enumlev2">
    <w:name w:val="enumlev2"/>
    <w:basedOn w:val="enumlev1"/>
    <w:rsid w:val="006C36CD"/>
    <w:pPr>
      <w:ind w:left="1191" w:hanging="397"/>
    </w:pPr>
  </w:style>
  <w:style w:type="paragraph" w:customStyle="1" w:styleId="enumlev3">
    <w:name w:val="enumlev3"/>
    <w:basedOn w:val="enumlev2"/>
    <w:rsid w:val="006C36CD"/>
    <w:pPr>
      <w:ind w:left="1588"/>
    </w:pPr>
  </w:style>
  <w:style w:type="paragraph" w:customStyle="1" w:styleId="Normalaftertitle">
    <w:name w:val="Normal after title"/>
    <w:basedOn w:val="Normal"/>
    <w:next w:val="Normal"/>
    <w:link w:val="NormalaftertitleChar"/>
    <w:rsid w:val="006C36CD"/>
    <w:pPr>
      <w:spacing w:before="320"/>
    </w:pPr>
  </w:style>
  <w:style w:type="paragraph" w:customStyle="1" w:styleId="Equation">
    <w:name w:val="Equation"/>
    <w:basedOn w:val="Normal"/>
    <w:rsid w:val="006C36CD"/>
    <w:pPr>
      <w:tabs>
        <w:tab w:val="clear" w:pos="1191"/>
        <w:tab w:val="clear" w:pos="1588"/>
        <w:tab w:val="clear" w:pos="1985"/>
        <w:tab w:val="center" w:pos="4820"/>
        <w:tab w:val="right" w:pos="9639"/>
      </w:tabs>
    </w:pPr>
  </w:style>
  <w:style w:type="paragraph" w:customStyle="1" w:styleId="Head">
    <w:name w:val="Head"/>
    <w:basedOn w:val="Normal"/>
    <w:rsid w:val="006C36CD"/>
    <w:pPr>
      <w:tabs>
        <w:tab w:val="left" w:pos="6663"/>
      </w:tabs>
      <w:overflowPunct/>
      <w:autoSpaceDE/>
      <w:autoSpaceDN/>
      <w:adjustRightInd/>
      <w:spacing w:before="0"/>
      <w:textAlignment w:val="auto"/>
    </w:pPr>
  </w:style>
  <w:style w:type="paragraph" w:customStyle="1" w:styleId="toc0">
    <w:name w:val="toc 0"/>
    <w:basedOn w:val="Normal"/>
    <w:next w:val="TOC1"/>
    <w:rsid w:val="00C24DAC"/>
    <w:pPr>
      <w:tabs>
        <w:tab w:val="clear" w:pos="794"/>
        <w:tab w:val="clear" w:pos="1191"/>
        <w:tab w:val="clear" w:pos="1588"/>
        <w:tab w:val="clear" w:pos="1985"/>
        <w:tab w:val="right" w:pos="9781"/>
      </w:tabs>
    </w:pPr>
    <w:rPr>
      <w:rFonts w:eastAsia="Times New Roman"/>
      <w:b/>
      <w:lang w:val="fr-FR"/>
    </w:rPr>
  </w:style>
  <w:style w:type="paragraph" w:styleId="List">
    <w:name w:val="List"/>
    <w:basedOn w:val="Normal"/>
    <w:rsid w:val="006C36CD"/>
    <w:pPr>
      <w:tabs>
        <w:tab w:val="clear" w:pos="794"/>
        <w:tab w:val="clear" w:pos="1191"/>
        <w:tab w:val="clear" w:pos="1588"/>
        <w:tab w:val="clear" w:pos="1985"/>
        <w:tab w:val="left" w:pos="1701"/>
        <w:tab w:val="left" w:pos="2127"/>
      </w:tabs>
      <w:ind w:left="2127" w:hanging="2127"/>
    </w:pPr>
  </w:style>
  <w:style w:type="paragraph" w:customStyle="1" w:styleId="Part">
    <w:name w:val="Part"/>
    <w:basedOn w:val="Normal"/>
    <w:rsid w:val="006C36CD"/>
    <w:pPr>
      <w:tabs>
        <w:tab w:val="clear" w:pos="794"/>
        <w:tab w:val="clear" w:pos="1191"/>
        <w:tab w:val="clear" w:pos="1588"/>
        <w:tab w:val="clear" w:pos="1985"/>
        <w:tab w:val="left" w:pos="1276"/>
        <w:tab w:val="left" w:pos="1701"/>
      </w:tabs>
      <w:spacing w:before="199"/>
      <w:ind w:left="1701" w:hanging="1701"/>
    </w:pPr>
    <w:rPr>
      <w:caps/>
    </w:rPr>
  </w:style>
  <w:style w:type="paragraph" w:customStyle="1" w:styleId="Source">
    <w:name w:val="Source"/>
    <w:basedOn w:val="Normal"/>
    <w:next w:val="Normal"/>
    <w:rsid w:val="00C24DAC"/>
    <w:pPr>
      <w:framePr w:hSpace="181" w:wrap="around" w:vAnchor="page" w:hAnchor="page" w:x="1589" w:y="2314"/>
      <w:spacing w:before="840"/>
    </w:pPr>
    <w:rPr>
      <w:rFonts w:cstheme="minorHAnsi"/>
      <w:b/>
      <w:sz w:val="34"/>
      <w:szCs w:val="34"/>
      <w:lang w:val="ru-RU" w:eastAsia="zh-CN"/>
    </w:rPr>
  </w:style>
  <w:style w:type="paragraph" w:customStyle="1" w:styleId="meeting">
    <w:name w:val="meeting"/>
    <w:basedOn w:val="Head"/>
    <w:next w:val="Head"/>
    <w:rsid w:val="006C36CD"/>
    <w:pPr>
      <w:tabs>
        <w:tab w:val="left" w:pos="7371"/>
      </w:tabs>
      <w:spacing w:after="567"/>
    </w:pPr>
  </w:style>
  <w:style w:type="paragraph" w:customStyle="1" w:styleId="Subject">
    <w:name w:val="Subject"/>
    <w:basedOn w:val="Normal"/>
    <w:next w:val="Source"/>
    <w:rsid w:val="006C36CD"/>
    <w:pPr>
      <w:tabs>
        <w:tab w:val="clear" w:pos="794"/>
        <w:tab w:val="clear" w:pos="1191"/>
        <w:tab w:val="clear" w:pos="1588"/>
        <w:tab w:val="clear" w:pos="1985"/>
        <w:tab w:val="left" w:pos="1134"/>
      </w:tabs>
      <w:spacing w:before="0"/>
      <w:ind w:left="1134" w:hanging="1134"/>
    </w:pPr>
  </w:style>
  <w:style w:type="paragraph" w:customStyle="1" w:styleId="Object">
    <w:name w:val="Object"/>
    <w:basedOn w:val="Subject"/>
    <w:next w:val="Subject"/>
    <w:rsid w:val="006C36CD"/>
  </w:style>
  <w:style w:type="paragraph" w:customStyle="1" w:styleId="Data">
    <w:name w:val="Data"/>
    <w:basedOn w:val="Subject"/>
    <w:next w:val="Subject"/>
    <w:rsid w:val="006C36CD"/>
  </w:style>
  <w:style w:type="paragraph" w:customStyle="1" w:styleId="Reasons">
    <w:name w:val="Reasons"/>
    <w:basedOn w:val="Normal"/>
    <w:qFormat/>
    <w:rsid w:val="006C36CD"/>
    <w:pPr>
      <w:tabs>
        <w:tab w:val="clear" w:pos="794"/>
        <w:tab w:val="clear" w:pos="1191"/>
        <w:tab w:val="clear" w:pos="1588"/>
        <w:tab w:val="clear" w:pos="1985"/>
        <w:tab w:val="left" w:pos="567"/>
        <w:tab w:val="left" w:pos="1134"/>
        <w:tab w:val="left" w:pos="1701"/>
        <w:tab w:val="left" w:pos="2268"/>
        <w:tab w:val="left" w:pos="2835"/>
      </w:tabs>
    </w:pPr>
  </w:style>
  <w:style w:type="character" w:styleId="Hyperlink">
    <w:name w:val="Hyperlink"/>
    <w:basedOn w:val="DefaultParagraphFont"/>
    <w:rsid w:val="00E34C96"/>
    <w:rPr>
      <w:rFonts w:eastAsia="Times New Roman"/>
      <w:noProof/>
      <w:color w:val="4F81BD" w:themeColor="accent1"/>
    </w:rPr>
  </w:style>
  <w:style w:type="paragraph" w:customStyle="1" w:styleId="FirstFooter">
    <w:name w:val="FirstFooter"/>
    <w:basedOn w:val="Footer"/>
    <w:rsid w:val="006C36CD"/>
    <w:pPr>
      <w:tabs>
        <w:tab w:val="clear" w:pos="5954"/>
        <w:tab w:val="clear" w:pos="9639"/>
      </w:tabs>
      <w:overflowPunct/>
      <w:autoSpaceDE/>
      <w:autoSpaceDN/>
      <w:adjustRightInd/>
      <w:spacing w:before="40"/>
      <w:textAlignment w:val="auto"/>
    </w:pPr>
    <w:rPr>
      <w:caps w:val="0"/>
      <w:noProof w:val="0"/>
    </w:rPr>
  </w:style>
  <w:style w:type="paragraph" w:customStyle="1" w:styleId="Note">
    <w:name w:val="Note"/>
    <w:basedOn w:val="Normal"/>
    <w:rsid w:val="006C36CD"/>
    <w:pPr>
      <w:tabs>
        <w:tab w:val="clear" w:pos="794"/>
        <w:tab w:val="clear" w:pos="1191"/>
        <w:tab w:val="clear" w:pos="1588"/>
        <w:tab w:val="clear" w:pos="1985"/>
      </w:tabs>
      <w:spacing w:before="80"/>
    </w:pPr>
  </w:style>
  <w:style w:type="paragraph" w:styleId="TOC9">
    <w:name w:val="toc 9"/>
    <w:basedOn w:val="Normal"/>
    <w:next w:val="Normal"/>
    <w:rsid w:val="00C24DAC"/>
    <w:pPr>
      <w:tabs>
        <w:tab w:val="clear" w:pos="794"/>
        <w:tab w:val="clear" w:pos="1191"/>
        <w:tab w:val="clear" w:pos="1588"/>
        <w:tab w:val="clear" w:pos="1985"/>
        <w:tab w:val="right" w:leader="dot" w:pos="9645"/>
      </w:tabs>
      <w:ind w:left="1920"/>
    </w:pPr>
    <w:rPr>
      <w:rFonts w:eastAsia="Times New Roman"/>
      <w:lang w:val="fr-FR"/>
    </w:rPr>
  </w:style>
  <w:style w:type="paragraph" w:customStyle="1" w:styleId="Headingb">
    <w:name w:val="Heading_b"/>
    <w:basedOn w:val="Heading3"/>
    <w:next w:val="Normal"/>
    <w:rsid w:val="009A3456"/>
    <w:pPr>
      <w:tabs>
        <w:tab w:val="clear" w:pos="1191"/>
        <w:tab w:val="clear" w:pos="1588"/>
        <w:tab w:val="clear" w:pos="1985"/>
        <w:tab w:val="left" w:pos="2127"/>
        <w:tab w:val="left" w:pos="2410"/>
        <w:tab w:val="left" w:pos="2921"/>
        <w:tab w:val="left" w:pos="3261"/>
      </w:tabs>
      <w:overflowPunct/>
      <w:autoSpaceDE/>
      <w:autoSpaceDN/>
      <w:adjustRightInd/>
      <w:spacing w:before="160"/>
      <w:textAlignment w:val="auto"/>
      <w:outlineLvl w:val="9"/>
    </w:pPr>
    <w:rPr>
      <w:i w:val="0"/>
    </w:rPr>
  </w:style>
  <w:style w:type="character" w:styleId="FollowedHyperlink">
    <w:name w:val="FollowedHyperlink"/>
    <w:basedOn w:val="DefaultParagraphFont"/>
    <w:rsid w:val="004D163F"/>
    <w:rPr>
      <w:rFonts w:ascii="Calibri" w:hAnsi="Calibri"/>
      <w:color w:val="800080"/>
      <w:u w:val="single"/>
    </w:rPr>
  </w:style>
  <w:style w:type="paragraph" w:customStyle="1" w:styleId="Title1">
    <w:name w:val="Title 1"/>
    <w:basedOn w:val="Source"/>
    <w:next w:val="Title2"/>
    <w:rsid w:val="006C36CD"/>
    <w:pPr>
      <w:framePr w:wrap="around"/>
      <w:tabs>
        <w:tab w:val="clear" w:pos="794"/>
        <w:tab w:val="clear" w:pos="1191"/>
        <w:tab w:val="clear" w:pos="1588"/>
        <w:tab w:val="clear" w:pos="1985"/>
        <w:tab w:val="left" w:pos="567"/>
        <w:tab w:val="left" w:pos="1134"/>
        <w:tab w:val="left" w:pos="1701"/>
        <w:tab w:val="left" w:pos="2268"/>
        <w:tab w:val="left" w:pos="2835"/>
      </w:tabs>
      <w:spacing w:before="240"/>
    </w:pPr>
    <w:rPr>
      <w:b w:val="0"/>
      <w:caps/>
    </w:rPr>
  </w:style>
  <w:style w:type="paragraph" w:customStyle="1" w:styleId="Title2">
    <w:name w:val="Title 2"/>
    <w:basedOn w:val="Source"/>
    <w:next w:val="Title3"/>
    <w:rsid w:val="006C36CD"/>
    <w:pPr>
      <w:framePr w:wrap="around"/>
      <w:tabs>
        <w:tab w:val="clear" w:pos="794"/>
        <w:tab w:val="clear" w:pos="1191"/>
        <w:tab w:val="clear" w:pos="1588"/>
        <w:tab w:val="clear" w:pos="1985"/>
      </w:tabs>
      <w:overflowPunct/>
      <w:autoSpaceDE/>
      <w:autoSpaceDN/>
      <w:adjustRightInd/>
      <w:textAlignment w:val="auto"/>
    </w:pPr>
    <w:rPr>
      <w:b w:val="0"/>
      <w:caps/>
    </w:rPr>
  </w:style>
  <w:style w:type="paragraph" w:customStyle="1" w:styleId="Title3">
    <w:name w:val="Title 3"/>
    <w:basedOn w:val="Title2"/>
    <w:next w:val="Title4"/>
    <w:rsid w:val="006C36CD"/>
    <w:pPr>
      <w:framePr w:wrap="around"/>
      <w:spacing w:before="240"/>
    </w:pPr>
    <w:rPr>
      <w:caps w:val="0"/>
    </w:rPr>
  </w:style>
  <w:style w:type="paragraph" w:customStyle="1" w:styleId="Title4">
    <w:name w:val="Title 4"/>
    <w:basedOn w:val="Title3"/>
    <w:next w:val="Heading1"/>
    <w:rsid w:val="006C36CD"/>
    <w:pPr>
      <w:framePr w:wrap="around"/>
    </w:pPr>
    <w:rPr>
      <w:b/>
    </w:rPr>
  </w:style>
  <w:style w:type="paragraph" w:customStyle="1" w:styleId="dnum">
    <w:name w:val="dnum"/>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date">
    <w:name w:val="ddate"/>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orlang">
    <w:name w:val="dorlang"/>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AnnexNo">
    <w:name w:val="Annex_No"/>
    <w:basedOn w:val="Normal"/>
    <w:next w:val="Annextitle"/>
    <w:rsid w:val="006C36CD"/>
    <w:pPr>
      <w:keepNext/>
      <w:keepLines/>
      <w:spacing w:before="480" w:after="80"/>
      <w:jc w:val="center"/>
    </w:pPr>
    <w:rPr>
      <w:caps/>
      <w:sz w:val="28"/>
    </w:rPr>
  </w:style>
  <w:style w:type="paragraph" w:customStyle="1" w:styleId="Annextitle">
    <w:name w:val="Annex_title"/>
    <w:basedOn w:val="Normal"/>
    <w:next w:val="Annexref"/>
    <w:link w:val="AnnextitleChar"/>
    <w:rsid w:val="006C36CD"/>
    <w:pPr>
      <w:keepNext/>
      <w:keepLines/>
      <w:spacing w:before="240" w:after="280"/>
      <w:jc w:val="center"/>
    </w:pPr>
    <w:rPr>
      <w:rFonts w:ascii="Times New Roman Bold" w:hAnsi="Times New Roman Bold"/>
      <w:b/>
      <w:sz w:val="28"/>
    </w:rPr>
  </w:style>
  <w:style w:type="paragraph" w:customStyle="1" w:styleId="Annexref">
    <w:name w:val="Annex_ref"/>
    <w:basedOn w:val="Normal"/>
    <w:next w:val="Normalaftertitle"/>
    <w:rsid w:val="006C36CD"/>
    <w:pPr>
      <w:keepNext/>
      <w:keepLines/>
      <w:spacing w:after="280"/>
      <w:jc w:val="center"/>
    </w:pPr>
  </w:style>
  <w:style w:type="paragraph" w:customStyle="1" w:styleId="AppendixNo">
    <w:name w:val="Appendix_No"/>
    <w:basedOn w:val="AnnexNo"/>
    <w:next w:val="Appendixtitle"/>
    <w:rsid w:val="006C36CD"/>
  </w:style>
  <w:style w:type="paragraph" w:customStyle="1" w:styleId="Appendixtitle">
    <w:name w:val="Appendix_title"/>
    <w:basedOn w:val="Annextitle"/>
    <w:next w:val="Appendixref"/>
    <w:rsid w:val="006C36CD"/>
  </w:style>
  <w:style w:type="paragraph" w:customStyle="1" w:styleId="Appendixref">
    <w:name w:val="Appendix_ref"/>
    <w:basedOn w:val="Annexref"/>
    <w:next w:val="Normalaftertitle"/>
    <w:rsid w:val="006C36CD"/>
  </w:style>
  <w:style w:type="paragraph" w:customStyle="1" w:styleId="Call">
    <w:name w:val="Call"/>
    <w:basedOn w:val="Normal"/>
    <w:next w:val="Normal"/>
    <w:link w:val="CallChar"/>
    <w:rsid w:val="004D163F"/>
    <w:pPr>
      <w:keepNext/>
      <w:keepLines/>
      <w:spacing w:before="160"/>
      <w:ind w:left="794"/>
    </w:pPr>
    <w:rPr>
      <w:rFonts w:ascii="STKaiti" w:hAnsi="STKaiti"/>
    </w:rPr>
  </w:style>
  <w:style w:type="character" w:styleId="EndnoteReference">
    <w:name w:val="endnote reference"/>
    <w:basedOn w:val="DefaultParagraphFont"/>
    <w:semiHidden/>
    <w:rsid w:val="006C36CD"/>
    <w:rPr>
      <w:vertAlign w:val="superscript"/>
    </w:rPr>
  </w:style>
  <w:style w:type="paragraph" w:customStyle="1" w:styleId="Equationlegend">
    <w:name w:val="Equation_legend"/>
    <w:basedOn w:val="Normal"/>
    <w:rsid w:val="006C36CD"/>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Figure">
    <w:name w:val="Figure"/>
    <w:basedOn w:val="Normal"/>
    <w:next w:val="Normal"/>
    <w:rsid w:val="009A3456"/>
    <w:pPr>
      <w:spacing w:after="240"/>
      <w:jc w:val="center"/>
    </w:pPr>
  </w:style>
  <w:style w:type="paragraph" w:customStyle="1" w:styleId="Figuretitle">
    <w:name w:val="Figure_title"/>
    <w:basedOn w:val="Tabletitle"/>
    <w:next w:val="Normal"/>
    <w:rsid w:val="009A3456"/>
    <w:pPr>
      <w:keepLines/>
      <w:spacing w:before="240"/>
    </w:pPr>
    <w:rPr>
      <w:rFonts w:ascii="Calibri" w:hAnsi="Calibri"/>
    </w:rPr>
  </w:style>
  <w:style w:type="paragraph" w:customStyle="1" w:styleId="Tabletitle">
    <w:name w:val="Table_title"/>
    <w:basedOn w:val="TableNo"/>
    <w:next w:val="Tabletext"/>
    <w:rsid w:val="006C36CD"/>
    <w:pPr>
      <w:spacing w:before="0"/>
    </w:pPr>
    <w:rPr>
      <w:rFonts w:ascii="Times New Roman Bold" w:hAnsi="Times New Roman Bold"/>
      <w:b/>
      <w:caps w:val="0"/>
    </w:rPr>
  </w:style>
  <w:style w:type="paragraph" w:customStyle="1" w:styleId="TableNo">
    <w:name w:val="Table_No"/>
    <w:basedOn w:val="Normal"/>
    <w:next w:val="Tabletitle"/>
    <w:rsid w:val="006C36CD"/>
    <w:pPr>
      <w:keepNext/>
      <w:spacing w:before="360" w:after="120"/>
      <w:jc w:val="center"/>
    </w:pPr>
    <w:rPr>
      <w:caps/>
    </w:rPr>
  </w:style>
  <w:style w:type="paragraph" w:customStyle="1" w:styleId="Tabletext">
    <w:name w:val="Table_text"/>
    <w:basedOn w:val="Normal"/>
    <w:rsid w:val="006C36C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legend">
    <w:name w:val="Figure_legend"/>
    <w:basedOn w:val="Normal"/>
    <w:rsid w:val="009A3456"/>
    <w:pPr>
      <w:tabs>
        <w:tab w:val="clear" w:pos="794"/>
        <w:tab w:val="clear" w:pos="1191"/>
        <w:tab w:val="clear" w:pos="1588"/>
        <w:tab w:val="clear" w:pos="1985"/>
      </w:tabs>
      <w:spacing w:before="20" w:after="240"/>
    </w:pPr>
    <w:rPr>
      <w:sz w:val="18"/>
    </w:rPr>
  </w:style>
  <w:style w:type="paragraph" w:customStyle="1" w:styleId="FigureNo">
    <w:name w:val="Figure_No"/>
    <w:basedOn w:val="Normal"/>
    <w:next w:val="Figuretitle"/>
    <w:rsid w:val="009A3456"/>
    <w:pPr>
      <w:keepNext/>
      <w:keepLines/>
      <w:spacing w:before="480" w:after="120"/>
      <w:jc w:val="center"/>
    </w:pPr>
    <w:rPr>
      <w:caps/>
    </w:rPr>
  </w:style>
  <w:style w:type="paragraph" w:customStyle="1" w:styleId="Figurewithouttitle">
    <w:name w:val="Figure_without_title"/>
    <w:basedOn w:val="Figure"/>
    <w:next w:val="Normal"/>
    <w:rsid w:val="009A3456"/>
    <w:pPr>
      <w:spacing w:before="240"/>
    </w:pPr>
  </w:style>
  <w:style w:type="paragraph" w:customStyle="1" w:styleId="Headingi">
    <w:name w:val="Heading_i"/>
    <w:basedOn w:val="Heading3"/>
    <w:next w:val="Normal"/>
    <w:rsid w:val="009A3456"/>
    <w:pPr>
      <w:spacing w:before="160"/>
    </w:pPr>
    <w:rPr>
      <w:rFonts w:ascii="STKaiti" w:hAnsi="STKaiti"/>
      <w:b w:val="0"/>
    </w:rPr>
  </w:style>
  <w:style w:type="character" w:styleId="PageNumber">
    <w:name w:val="page number"/>
    <w:basedOn w:val="DefaultParagraphFont"/>
    <w:rsid w:val="006C36CD"/>
  </w:style>
  <w:style w:type="paragraph" w:customStyle="1" w:styleId="PartNo">
    <w:name w:val="Part_No"/>
    <w:basedOn w:val="AnnexNo"/>
    <w:next w:val="Parttitle"/>
    <w:rsid w:val="006C36CD"/>
  </w:style>
  <w:style w:type="paragraph" w:customStyle="1" w:styleId="Parttitle">
    <w:name w:val="Part_title"/>
    <w:basedOn w:val="Annextitle"/>
    <w:next w:val="Partref"/>
    <w:rsid w:val="004D163F"/>
    <w:rPr>
      <w:rFonts w:ascii="Calibri" w:hAnsi="Calibri"/>
    </w:rPr>
  </w:style>
  <w:style w:type="paragraph" w:customStyle="1" w:styleId="Partref">
    <w:name w:val="Part_ref"/>
    <w:basedOn w:val="Annexref"/>
    <w:next w:val="Normalaftertitle"/>
    <w:rsid w:val="006C36CD"/>
  </w:style>
  <w:style w:type="paragraph" w:customStyle="1" w:styleId="RecNo">
    <w:name w:val="Rec_No"/>
    <w:basedOn w:val="Normal"/>
    <w:next w:val="Rectitle"/>
    <w:rsid w:val="006C36CD"/>
    <w:pPr>
      <w:keepNext/>
      <w:keepLines/>
      <w:spacing w:before="480"/>
      <w:jc w:val="center"/>
    </w:pPr>
    <w:rPr>
      <w:caps/>
      <w:sz w:val="28"/>
    </w:rPr>
  </w:style>
  <w:style w:type="paragraph" w:customStyle="1" w:styleId="Rectitle">
    <w:name w:val="Rec_title"/>
    <w:basedOn w:val="RecNo"/>
    <w:next w:val="Recref"/>
    <w:rsid w:val="004D163F"/>
    <w:pPr>
      <w:spacing w:before="240"/>
    </w:pPr>
    <w:rPr>
      <w:b/>
      <w:caps w:val="0"/>
    </w:rPr>
  </w:style>
  <w:style w:type="paragraph" w:customStyle="1" w:styleId="Recref">
    <w:name w:val="Rec_ref"/>
    <w:basedOn w:val="Rectitle"/>
    <w:next w:val="Recdate"/>
    <w:rsid w:val="006C36CD"/>
    <w:pPr>
      <w:tabs>
        <w:tab w:val="clear" w:pos="794"/>
        <w:tab w:val="clear" w:pos="1191"/>
        <w:tab w:val="clear" w:pos="1588"/>
        <w:tab w:val="clear" w:pos="1985"/>
      </w:tabs>
      <w:spacing w:before="120"/>
    </w:pPr>
    <w:rPr>
      <w:rFonts w:ascii="Times New Roman" w:hAnsi="Times New Roman"/>
      <w:b w:val="0"/>
      <w:sz w:val="24"/>
    </w:rPr>
  </w:style>
  <w:style w:type="paragraph" w:customStyle="1" w:styleId="Recdate">
    <w:name w:val="Rec_date"/>
    <w:basedOn w:val="Recref"/>
    <w:next w:val="Normalaftertitle"/>
    <w:rsid w:val="006C36CD"/>
    <w:pPr>
      <w:jc w:val="right"/>
    </w:pPr>
    <w:rPr>
      <w:sz w:val="22"/>
    </w:rPr>
  </w:style>
  <w:style w:type="paragraph" w:customStyle="1" w:styleId="Questiondate">
    <w:name w:val="Question_date"/>
    <w:basedOn w:val="Recdate"/>
    <w:next w:val="Normalaftertitle"/>
    <w:rsid w:val="006C36CD"/>
  </w:style>
  <w:style w:type="paragraph" w:customStyle="1" w:styleId="QuestionNo">
    <w:name w:val="Question_No"/>
    <w:basedOn w:val="RecNo"/>
    <w:next w:val="Questiontitle"/>
    <w:rsid w:val="006C36CD"/>
  </w:style>
  <w:style w:type="paragraph" w:customStyle="1" w:styleId="Questionref">
    <w:name w:val="Question_ref"/>
    <w:basedOn w:val="Recref"/>
    <w:next w:val="Questiondate"/>
    <w:rsid w:val="006C36CD"/>
  </w:style>
  <w:style w:type="paragraph" w:customStyle="1" w:styleId="Questiontitle">
    <w:name w:val="Question_title"/>
    <w:basedOn w:val="Rectitle"/>
    <w:next w:val="Questionref"/>
    <w:rsid w:val="006C36CD"/>
  </w:style>
  <w:style w:type="paragraph" w:customStyle="1" w:styleId="Reftext">
    <w:name w:val="Ref_text"/>
    <w:basedOn w:val="Normal"/>
    <w:rsid w:val="006C36CD"/>
    <w:pPr>
      <w:ind w:left="794" w:hanging="794"/>
    </w:pPr>
  </w:style>
  <w:style w:type="paragraph" w:customStyle="1" w:styleId="Reftitle">
    <w:name w:val="Ref_title"/>
    <w:basedOn w:val="Normal"/>
    <w:next w:val="Reftext"/>
    <w:rsid w:val="006C36CD"/>
    <w:pPr>
      <w:spacing w:before="480"/>
      <w:jc w:val="center"/>
    </w:pPr>
    <w:rPr>
      <w:caps/>
    </w:rPr>
  </w:style>
  <w:style w:type="paragraph" w:customStyle="1" w:styleId="Repdate">
    <w:name w:val="Rep_date"/>
    <w:basedOn w:val="Recdate"/>
    <w:next w:val="Normalaftertitle"/>
    <w:rsid w:val="006C36CD"/>
  </w:style>
  <w:style w:type="paragraph" w:customStyle="1" w:styleId="RepNo">
    <w:name w:val="Rep_No"/>
    <w:basedOn w:val="RecNo"/>
    <w:next w:val="Reptitle"/>
    <w:rsid w:val="006C36CD"/>
  </w:style>
  <w:style w:type="paragraph" w:customStyle="1" w:styleId="Reptitle">
    <w:name w:val="Rep_title"/>
    <w:basedOn w:val="Rectitle"/>
    <w:next w:val="Repref"/>
    <w:rsid w:val="006C36CD"/>
  </w:style>
  <w:style w:type="paragraph" w:customStyle="1" w:styleId="Repref">
    <w:name w:val="Rep_ref"/>
    <w:basedOn w:val="Recref"/>
    <w:next w:val="Repdate"/>
    <w:rsid w:val="006C36CD"/>
  </w:style>
  <w:style w:type="paragraph" w:customStyle="1" w:styleId="Resdate">
    <w:name w:val="Res_date"/>
    <w:basedOn w:val="Recdate"/>
    <w:next w:val="Normalaftertitle"/>
    <w:rsid w:val="006C36CD"/>
  </w:style>
  <w:style w:type="paragraph" w:customStyle="1" w:styleId="ResNo">
    <w:name w:val="Res_No"/>
    <w:basedOn w:val="RecNo"/>
    <w:next w:val="Restitle"/>
    <w:rsid w:val="006C36CD"/>
  </w:style>
  <w:style w:type="paragraph" w:customStyle="1" w:styleId="Restitle">
    <w:name w:val="Res_title"/>
    <w:basedOn w:val="Rectitle"/>
    <w:next w:val="Resref"/>
    <w:rsid w:val="006C36CD"/>
  </w:style>
  <w:style w:type="paragraph" w:customStyle="1" w:styleId="Resref">
    <w:name w:val="Res_ref"/>
    <w:basedOn w:val="Recref"/>
    <w:next w:val="Resdate"/>
    <w:rsid w:val="006C36CD"/>
  </w:style>
  <w:style w:type="paragraph" w:customStyle="1" w:styleId="SectionNo">
    <w:name w:val="Section_No"/>
    <w:basedOn w:val="AnnexNo"/>
    <w:next w:val="Sectiontitle"/>
    <w:rsid w:val="006C36CD"/>
  </w:style>
  <w:style w:type="paragraph" w:customStyle="1" w:styleId="Sectiontitle">
    <w:name w:val="Section_title"/>
    <w:basedOn w:val="Normal"/>
    <w:next w:val="Normalaftertitle"/>
    <w:rsid w:val="006C36CD"/>
    <w:rPr>
      <w:sz w:val="28"/>
    </w:rPr>
  </w:style>
  <w:style w:type="paragraph" w:customStyle="1" w:styleId="SpecialFooter">
    <w:name w:val="Special Footer"/>
    <w:basedOn w:val="Footer"/>
    <w:rsid w:val="006C36CD"/>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9A3456"/>
    <w:pPr>
      <w:keepNext/>
      <w:spacing w:before="80" w:after="80"/>
      <w:jc w:val="center"/>
    </w:pPr>
    <w:rPr>
      <w:b/>
    </w:rPr>
  </w:style>
  <w:style w:type="paragraph" w:customStyle="1" w:styleId="Tablelegend">
    <w:name w:val="Table_legend"/>
    <w:basedOn w:val="Tabletext"/>
    <w:rsid w:val="00AA2E08"/>
    <w:pPr>
      <w:tabs>
        <w:tab w:val="clear" w:pos="1134"/>
        <w:tab w:val="clear" w:pos="1418"/>
        <w:tab w:val="clear" w:pos="1701"/>
        <w:tab w:val="clear" w:pos="1985"/>
        <w:tab w:val="clear" w:pos="2268"/>
        <w:tab w:val="clear" w:pos="2552"/>
        <w:tab w:val="clear" w:pos="2835"/>
        <w:tab w:val="clear" w:pos="3119"/>
        <w:tab w:val="clear" w:pos="3402"/>
        <w:tab w:val="clear" w:pos="3686"/>
        <w:tab w:val="clear" w:pos="3969"/>
      </w:tabs>
    </w:pPr>
  </w:style>
  <w:style w:type="paragraph" w:customStyle="1" w:styleId="Tableref">
    <w:name w:val="Table_ref"/>
    <w:basedOn w:val="Normal"/>
    <w:next w:val="Tabletitle"/>
    <w:rsid w:val="006C36CD"/>
    <w:pPr>
      <w:keepNext/>
      <w:spacing w:before="567"/>
      <w:jc w:val="center"/>
    </w:pPr>
  </w:style>
  <w:style w:type="paragraph" w:customStyle="1" w:styleId="Artheading">
    <w:name w:val="Art_heading"/>
    <w:basedOn w:val="Normal"/>
    <w:next w:val="Normalaftertitle"/>
    <w:rsid w:val="006C36CD"/>
    <w:pPr>
      <w:spacing w:before="480"/>
      <w:jc w:val="center"/>
    </w:pPr>
    <w:rPr>
      <w:rFonts w:ascii="Times New Roman Bold" w:hAnsi="Times New Roman Bold"/>
      <w:b/>
      <w:sz w:val="28"/>
    </w:rPr>
  </w:style>
  <w:style w:type="paragraph" w:customStyle="1" w:styleId="ArtNo">
    <w:name w:val="Art_No"/>
    <w:basedOn w:val="Normal"/>
    <w:next w:val="Normal"/>
    <w:rsid w:val="006C36CD"/>
    <w:pPr>
      <w:keepNext/>
      <w:keepLines/>
      <w:spacing w:before="480"/>
      <w:jc w:val="center"/>
    </w:pPr>
    <w:rPr>
      <w:caps/>
      <w:sz w:val="28"/>
    </w:rPr>
  </w:style>
  <w:style w:type="paragraph" w:customStyle="1" w:styleId="Arttitle">
    <w:name w:val="Art_title"/>
    <w:basedOn w:val="Normal"/>
    <w:next w:val="Normalaftertitle"/>
    <w:rsid w:val="006C36CD"/>
    <w:pPr>
      <w:keepNext/>
      <w:keepLines/>
      <w:spacing w:before="240"/>
      <w:jc w:val="center"/>
    </w:pPr>
    <w:rPr>
      <w:b/>
      <w:sz w:val="28"/>
    </w:rPr>
  </w:style>
  <w:style w:type="paragraph" w:customStyle="1" w:styleId="ChapNo">
    <w:name w:val="Chap_No"/>
    <w:basedOn w:val="ArtNo"/>
    <w:next w:val="Chaptitle"/>
    <w:rsid w:val="004D163F"/>
    <w:rPr>
      <w:b/>
    </w:rPr>
  </w:style>
  <w:style w:type="paragraph" w:customStyle="1" w:styleId="Chaptitle">
    <w:name w:val="Chap_title"/>
    <w:basedOn w:val="Arttitle"/>
    <w:next w:val="Normalaftertitle"/>
    <w:rsid w:val="006C36CD"/>
  </w:style>
  <w:style w:type="paragraph" w:styleId="BodyTextIndent3">
    <w:name w:val="Body Text Indent 3"/>
    <w:basedOn w:val="Normal"/>
    <w:link w:val="BodyTextIndent3Char"/>
    <w:rsid w:val="006C36CD"/>
    <w:pPr>
      <w:spacing w:before="0"/>
      <w:ind w:firstLine="601"/>
      <w:textAlignment w:val="auto"/>
    </w:pPr>
    <w:rPr>
      <w:sz w:val="22"/>
      <w:lang w:val="fr-FR" w:eastAsia="zh-CN"/>
    </w:rPr>
  </w:style>
  <w:style w:type="character" w:customStyle="1" w:styleId="Heading1Char">
    <w:name w:val="Heading 1 Char"/>
    <w:basedOn w:val="DefaultParagraphFont"/>
    <w:link w:val="Heading1"/>
    <w:rsid w:val="007A37DB"/>
    <w:rPr>
      <w:rFonts w:ascii="Calibri" w:hAnsi="Calibri"/>
      <w:b/>
      <w:sz w:val="28"/>
      <w:lang w:val="en-GB" w:eastAsia="en-US"/>
    </w:rPr>
  </w:style>
  <w:style w:type="character" w:customStyle="1" w:styleId="Heading2Char">
    <w:name w:val="Heading 2 Char"/>
    <w:basedOn w:val="DefaultParagraphFont"/>
    <w:link w:val="Heading2"/>
    <w:rsid w:val="007A37DB"/>
    <w:rPr>
      <w:rFonts w:ascii="Calibri" w:hAnsi="Calibri"/>
      <w:b/>
      <w:sz w:val="24"/>
      <w:lang w:val="en-GB" w:eastAsia="en-US"/>
    </w:rPr>
  </w:style>
  <w:style w:type="character" w:customStyle="1" w:styleId="FootnoteTextChar">
    <w:name w:val="Footnote Text Char"/>
    <w:basedOn w:val="DefaultParagraphFont"/>
    <w:link w:val="FootnoteText"/>
    <w:semiHidden/>
    <w:rsid w:val="007A37DB"/>
    <w:rPr>
      <w:rFonts w:ascii="Calibri" w:hAnsi="Calibri"/>
      <w:sz w:val="24"/>
      <w:lang w:val="en-GB" w:eastAsia="en-US"/>
    </w:rPr>
  </w:style>
  <w:style w:type="paragraph" w:styleId="ListParagraph">
    <w:name w:val="List Paragraph"/>
    <w:basedOn w:val="Normal"/>
    <w:uiPriority w:val="34"/>
    <w:qFormat/>
    <w:rsid w:val="0000517A"/>
    <w:pPr>
      <w:tabs>
        <w:tab w:val="clear" w:pos="794"/>
        <w:tab w:val="clear" w:pos="1191"/>
        <w:tab w:val="clear" w:pos="1588"/>
        <w:tab w:val="clear" w:pos="1985"/>
        <w:tab w:val="left" w:pos="567"/>
        <w:tab w:val="left" w:pos="1134"/>
        <w:tab w:val="left" w:pos="1701"/>
        <w:tab w:val="left" w:pos="2268"/>
        <w:tab w:val="left" w:pos="2835"/>
      </w:tabs>
      <w:ind w:left="720"/>
      <w:contextualSpacing/>
    </w:pPr>
    <w:rPr>
      <w:rFonts w:eastAsia="Times New Roman"/>
    </w:rPr>
  </w:style>
  <w:style w:type="table" w:styleId="TableGrid">
    <w:name w:val="Table Grid"/>
    <w:basedOn w:val="TableNormal"/>
    <w:uiPriority w:val="39"/>
    <w:rsid w:val="0000517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aftertitleChar">
    <w:name w:val="Normal after title Char"/>
    <w:link w:val="Normalaftertitle"/>
    <w:locked/>
    <w:rsid w:val="00CD5566"/>
    <w:rPr>
      <w:rFonts w:ascii="Calibri" w:hAnsi="Calibri"/>
      <w:sz w:val="24"/>
      <w:lang w:val="en-GB" w:eastAsia="en-US"/>
    </w:rPr>
  </w:style>
  <w:style w:type="character" w:customStyle="1" w:styleId="CallChar">
    <w:name w:val="Call Char"/>
    <w:basedOn w:val="DefaultParagraphFont"/>
    <w:link w:val="Call"/>
    <w:rsid w:val="00CD5566"/>
    <w:rPr>
      <w:rFonts w:ascii="STKaiti" w:hAnsi="STKaiti"/>
      <w:sz w:val="24"/>
      <w:lang w:val="en-GB" w:eastAsia="en-US"/>
    </w:rPr>
  </w:style>
  <w:style w:type="character" w:customStyle="1" w:styleId="AnnextitleChar">
    <w:name w:val="Annex_title Char"/>
    <w:basedOn w:val="DefaultParagraphFont"/>
    <w:link w:val="Annextitle"/>
    <w:locked/>
    <w:rsid w:val="00CD5566"/>
    <w:rPr>
      <w:rFonts w:ascii="Times New Roman Bold" w:hAnsi="Times New Roman Bold"/>
      <w:b/>
      <w:sz w:val="28"/>
      <w:lang w:val="en-GB" w:eastAsia="en-US"/>
    </w:rPr>
  </w:style>
  <w:style w:type="character" w:customStyle="1" w:styleId="FooterChar">
    <w:name w:val="Footer Char"/>
    <w:basedOn w:val="DefaultParagraphFont"/>
    <w:link w:val="Footer"/>
    <w:rsid w:val="000853C0"/>
    <w:rPr>
      <w:rFonts w:ascii="Calibri" w:hAnsi="Calibri"/>
      <w:caps/>
      <w:noProof/>
      <w:sz w:val="16"/>
      <w:lang w:val="fr-FR" w:eastAsia="en-US"/>
    </w:rPr>
  </w:style>
  <w:style w:type="character" w:customStyle="1" w:styleId="BodyTextIndent3Char">
    <w:name w:val="Body Text Indent 3 Char"/>
    <w:basedOn w:val="DefaultParagraphFont"/>
    <w:link w:val="BodyTextIndent3"/>
    <w:rsid w:val="00B40A53"/>
    <w:rPr>
      <w:rFonts w:ascii="Calibri" w:hAnsi="Calibri"/>
      <w:sz w:val="22"/>
      <w:lang w:val="fr-FR"/>
    </w:rPr>
  </w:style>
  <w:style w:type="character" w:customStyle="1" w:styleId="HeaderChar">
    <w:name w:val="Header Char"/>
    <w:basedOn w:val="DefaultParagraphFont"/>
    <w:link w:val="Header"/>
    <w:uiPriority w:val="99"/>
    <w:rsid w:val="00E24D59"/>
    <w:rPr>
      <w:rFonts w:ascii="Calibri" w:hAnsi="Calibri"/>
      <w:sz w:val="18"/>
      <w:lang w:val="fr-FR" w:eastAsia="en-US"/>
    </w:rPr>
  </w:style>
  <w:style w:type="paragraph" w:customStyle="1" w:styleId="Subtitle">
    <w:name w:val="Sub_title"/>
    <w:basedOn w:val="Title1"/>
    <w:qFormat/>
    <w:rsid w:val="00C24DAC"/>
    <w:pPr>
      <w:framePr w:wrap="around"/>
      <w:spacing w:before="120" w:after="160"/>
    </w:pPr>
    <w:rPr>
      <w:caps w:val="0"/>
    </w:rPr>
  </w:style>
  <w:style w:type="character" w:styleId="PlaceholderText">
    <w:name w:val="Placeholder Text"/>
    <w:basedOn w:val="DefaultParagraphFont"/>
    <w:uiPriority w:val="99"/>
    <w:semiHidden/>
    <w:rsid w:val="0072138B"/>
    <w:rPr>
      <w:color w:val="666666"/>
    </w:rPr>
  </w:style>
  <w:style w:type="character" w:styleId="UnresolvedMention">
    <w:name w:val="Unresolved Mention"/>
    <w:basedOn w:val="DefaultParagraphFont"/>
    <w:uiPriority w:val="99"/>
    <w:semiHidden/>
    <w:unhideWhenUsed/>
    <w:rsid w:val="00E34C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70415">
      <w:bodyDiv w:val="1"/>
      <w:marLeft w:val="0"/>
      <w:marRight w:val="0"/>
      <w:marTop w:val="0"/>
      <w:marBottom w:val="0"/>
      <w:divBdr>
        <w:top w:val="none" w:sz="0" w:space="0" w:color="auto"/>
        <w:left w:val="none" w:sz="0" w:space="0" w:color="auto"/>
        <w:bottom w:val="none" w:sz="0" w:space="0" w:color="auto"/>
        <w:right w:val="none" w:sz="0" w:space="0" w:color="auto"/>
      </w:divBdr>
    </w:div>
    <w:div w:id="525020778">
      <w:bodyDiv w:val="1"/>
      <w:marLeft w:val="0"/>
      <w:marRight w:val="0"/>
      <w:marTop w:val="0"/>
      <w:marBottom w:val="0"/>
      <w:divBdr>
        <w:top w:val="none" w:sz="0" w:space="0" w:color="auto"/>
        <w:left w:val="none" w:sz="0" w:space="0" w:color="auto"/>
        <w:bottom w:val="none" w:sz="0" w:space="0" w:color="auto"/>
        <w:right w:val="none" w:sz="0" w:space="0" w:color="auto"/>
      </w:divBdr>
    </w:div>
    <w:div w:id="562839797">
      <w:bodyDiv w:val="1"/>
      <w:marLeft w:val="0"/>
      <w:marRight w:val="0"/>
      <w:marTop w:val="0"/>
      <w:marBottom w:val="0"/>
      <w:divBdr>
        <w:top w:val="none" w:sz="0" w:space="0" w:color="auto"/>
        <w:left w:val="none" w:sz="0" w:space="0" w:color="auto"/>
        <w:bottom w:val="none" w:sz="0" w:space="0" w:color="auto"/>
        <w:right w:val="none" w:sz="0" w:space="0" w:color="auto"/>
      </w:divBdr>
    </w:div>
    <w:div w:id="664942600">
      <w:bodyDiv w:val="1"/>
      <w:marLeft w:val="0"/>
      <w:marRight w:val="0"/>
      <w:marTop w:val="0"/>
      <w:marBottom w:val="0"/>
      <w:divBdr>
        <w:top w:val="none" w:sz="0" w:space="0" w:color="auto"/>
        <w:left w:val="none" w:sz="0" w:space="0" w:color="auto"/>
        <w:bottom w:val="none" w:sz="0" w:space="0" w:color="auto"/>
        <w:right w:val="none" w:sz="0" w:space="0" w:color="auto"/>
      </w:divBdr>
    </w:div>
    <w:div w:id="882450126">
      <w:bodyDiv w:val="1"/>
      <w:marLeft w:val="0"/>
      <w:marRight w:val="0"/>
      <w:marTop w:val="0"/>
      <w:marBottom w:val="0"/>
      <w:divBdr>
        <w:top w:val="none" w:sz="0" w:space="0" w:color="auto"/>
        <w:left w:val="none" w:sz="0" w:space="0" w:color="auto"/>
        <w:bottom w:val="none" w:sz="0" w:space="0" w:color="auto"/>
        <w:right w:val="none" w:sz="0" w:space="0" w:color="auto"/>
      </w:divBdr>
    </w:div>
    <w:div w:id="953485407">
      <w:bodyDiv w:val="1"/>
      <w:marLeft w:val="0"/>
      <w:marRight w:val="0"/>
      <w:marTop w:val="0"/>
      <w:marBottom w:val="0"/>
      <w:divBdr>
        <w:top w:val="none" w:sz="0" w:space="0" w:color="auto"/>
        <w:left w:val="none" w:sz="0" w:space="0" w:color="auto"/>
        <w:bottom w:val="none" w:sz="0" w:space="0" w:color="auto"/>
        <w:right w:val="none" w:sz="0" w:space="0" w:color="auto"/>
      </w:divBdr>
    </w:div>
    <w:div w:id="1285312626">
      <w:bodyDiv w:val="1"/>
      <w:marLeft w:val="0"/>
      <w:marRight w:val="0"/>
      <w:marTop w:val="0"/>
      <w:marBottom w:val="0"/>
      <w:divBdr>
        <w:top w:val="none" w:sz="0" w:space="0" w:color="auto"/>
        <w:left w:val="none" w:sz="0" w:space="0" w:color="auto"/>
        <w:bottom w:val="none" w:sz="0" w:space="0" w:color="auto"/>
        <w:right w:val="none" w:sz="0" w:space="0" w:color="auto"/>
      </w:divBdr>
    </w:div>
    <w:div w:id="1382942653">
      <w:bodyDiv w:val="1"/>
      <w:marLeft w:val="0"/>
      <w:marRight w:val="0"/>
      <w:marTop w:val="0"/>
      <w:marBottom w:val="0"/>
      <w:divBdr>
        <w:top w:val="none" w:sz="0" w:space="0" w:color="auto"/>
        <w:left w:val="none" w:sz="0" w:space="0" w:color="auto"/>
        <w:bottom w:val="none" w:sz="0" w:space="0" w:color="auto"/>
        <w:right w:val="none" w:sz="0" w:space="0" w:color="auto"/>
      </w:divBdr>
    </w:div>
    <w:div w:id="1846823587">
      <w:bodyDiv w:val="1"/>
      <w:marLeft w:val="0"/>
      <w:marRight w:val="0"/>
      <w:marTop w:val="0"/>
      <w:marBottom w:val="0"/>
      <w:divBdr>
        <w:top w:val="none" w:sz="0" w:space="0" w:color="auto"/>
        <w:left w:val="none" w:sz="0" w:space="0" w:color="auto"/>
        <w:bottom w:val="none" w:sz="0" w:space="0" w:color="auto"/>
        <w:right w:val="none" w:sz="0" w:space="0" w:color="auto"/>
      </w:divBdr>
    </w:div>
    <w:div w:id="2022005172">
      <w:bodyDiv w:val="1"/>
      <w:marLeft w:val="0"/>
      <w:marRight w:val="0"/>
      <w:marTop w:val="0"/>
      <w:marBottom w:val="0"/>
      <w:divBdr>
        <w:top w:val="none" w:sz="0" w:space="0" w:color="auto"/>
        <w:left w:val="none" w:sz="0" w:space="0" w:color="auto"/>
        <w:bottom w:val="none" w:sz="0" w:space="0" w:color="auto"/>
        <w:right w:val="none" w:sz="0" w:space="0" w:color="auto"/>
      </w:divBdr>
    </w:div>
    <w:div w:id="210626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en/council/Documents/basic-texts-2023/Constitution-C.pdf" TargetMode="External"/><Relationship Id="rId13" Type="http://schemas.openxmlformats.org/officeDocument/2006/relationships/hyperlink" Target="https://www.itu.int/md/S26-CWGSFP4-C-0002/en"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itu.int/md/S25-CWGSFP3-C-0007/en" TargetMode="External"/><Relationship Id="rId17" Type="http://schemas.openxmlformats.org/officeDocument/2006/relationships/hyperlink" Target="https://www.itu.int/md/S25-CWGSFP3-C-0007/en" TargetMode="External"/><Relationship Id="rId2" Type="http://schemas.openxmlformats.org/officeDocument/2006/relationships/numbering" Target="numbering.xml"/><Relationship Id="rId16" Type="http://schemas.openxmlformats.org/officeDocument/2006/relationships/hyperlink" Target="https://www.itu.int/md/S26-CWGSFP4-C-0002/en"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S25-CWGSFP3-C-0006/en" TargetMode="External"/><Relationship Id="rId5" Type="http://schemas.openxmlformats.org/officeDocument/2006/relationships/webSettings" Target="webSettings.xml"/><Relationship Id="rId15" Type="http://schemas.openxmlformats.org/officeDocument/2006/relationships/hyperlink" Target="https://www.itu.int/md/S25-CWGSFP3-C-0006/en" TargetMode="External"/><Relationship Id="rId10" Type="http://schemas.openxmlformats.org/officeDocument/2006/relationships/hyperlink" Target="https://www.itu.int/en/council/Documents/basic-texts-2023/RES-071-C.pdf"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tu.int/en/council/Documents/basic-texts-2023/Convention-C.pdf" TargetMode="External"/><Relationship Id="rId14" Type="http://schemas.openxmlformats.org/officeDocument/2006/relationships/hyperlink" Target="https://www.itu.int/md/S25-CWGSFP3-C-0006/en"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uyouqi\Desktop\PC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A1DCC2-6DDC-49CF-B01C-00AB9A2F2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PC_Council26.dotx</Template>
  <TotalTime>1</TotalTime>
  <Pages>4</Pages>
  <Words>3165</Words>
  <Characters>914</Characters>
  <Application>Microsoft Office Word</Application>
  <DocSecurity>0</DocSecurity>
  <Lines>26</Lines>
  <Paragraphs>59</Paragraphs>
  <ScaleCrop>false</ScaleCrop>
  <HeadingPairs>
    <vt:vector size="2" baseType="variant">
      <vt:variant>
        <vt:lpstr>Title</vt:lpstr>
      </vt:variant>
      <vt:variant>
        <vt:i4>1</vt:i4>
      </vt:variant>
    </vt:vector>
  </HeadingPairs>
  <TitlesOfParts>
    <vt:vector size="1" baseType="lpstr">
      <vt:lpstr>Draft ITU Strategic Plan for 2028-2031</vt:lpstr>
    </vt:vector>
  </TitlesOfParts>
  <Manager>General Secretariat - Pool</Manager>
  <Company>International Telecommunication Union (ITU)</Company>
  <LinksUpToDate>false</LinksUpToDate>
  <CharactersWithSpaces>4020</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ITU Strategic Plan for 2028-2031</dc:title>
  <dc:subject>ITU Council 2026</dc:subject>
  <cp:keywords>C26; C2026; Council 2026; PP26</cp:keywords>
  <dc:description/>
  <cp:lastPrinted>2015-02-24T13:23:00Z</cp:lastPrinted>
  <dcterms:created xsi:type="dcterms:W3CDTF">2026-04-22T12:01:00Z</dcterms:created>
  <dcterms:modified xsi:type="dcterms:W3CDTF">2026-04-22T12:01:00Z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C05/xx-C</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vt:lpwstr>
  </property>
  <property fmtid="{D5CDD505-2E9C-101B-9397-08002B2CF9AE}" pid="8" name="GrammarlyDocumentId">
    <vt:lpwstr>c6e9fb3b98c60be3ceca001f06bedd27e80c23e89b99aa0a1c899b80b9af3e8b</vt:lpwstr>
  </property>
</Properties>
</file>