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27657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3B37EE7D" w:rsidR="00796BD3" w:rsidRPr="00527657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27657">
              <w:rPr>
                <w:b/>
                <w:lang w:val="ru-RU"/>
              </w:rPr>
              <w:t>Пункт повестки дня:</w:t>
            </w:r>
            <w:r w:rsidR="00632089" w:rsidRPr="00527657">
              <w:rPr>
                <w:b/>
                <w:bCs/>
                <w:color w:val="000000"/>
                <w:lang w:val="ru-RU"/>
              </w:rPr>
              <w:t xml:space="preserve"> </w:t>
            </w:r>
            <w:r w:rsidR="00484261" w:rsidRPr="00527657">
              <w:rPr>
                <w:b/>
                <w:lang w:val="ru-RU"/>
              </w:rPr>
              <w:t>PL 2</w:t>
            </w:r>
          </w:p>
        </w:tc>
        <w:tc>
          <w:tcPr>
            <w:tcW w:w="5245" w:type="dxa"/>
          </w:tcPr>
          <w:p w14:paraId="5BC5C034" w14:textId="41F8B537" w:rsidR="00796BD3" w:rsidRPr="0052765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27657">
              <w:rPr>
                <w:b/>
                <w:lang w:val="ru-RU"/>
              </w:rPr>
              <w:t xml:space="preserve">Документ </w:t>
            </w:r>
            <w:r w:rsidR="00796BD3" w:rsidRPr="00527657">
              <w:rPr>
                <w:b/>
                <w:lang w:val="ru-RU"/>
              </w:rPr>
              <w:t>C2</w:t>
            </w:r>
            <w:r w:rsidR="00BE00DD" w:rsidRPr="00527657">
              <w:rPr>
                <w:b/>
                <w:lang w:val="ru-RU"/>
              </w:rPr>
              <w:t>6</w:t>
            </w:r>
            <w:r w:rsidR="00796BD3" w:rsidRPr="00527657">
              <w:rPr>
                <w:b/>
                <w:lang w:val="ru-RU"/>
              </w:rPr>
              <w:t>/</w:t>
            </w:r>
            <w:r w:rsidR="00484261" w:rsidRPr="00527657">
              <w:rPr>
                <w:b/>
                <w:lang w:val="ru-RU"/>
              </w:rPr>
              <w:t>82</w:t>
            </w:r>
            <w:r w:rsidR="00796BD3" w:rsidRPr="00527657">
              <w:rPr>
                <w:b/>
                <w:lang w:val="ru-RU"/>
              </w:rPr>
              <w:t>-R</w:t>
            </w:r>
          </w:p>
        </w:tc>
      </w:tr>
      <w:tr w:rsidR="00796BD3" w:rsidRPr="00527657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52765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70993E0D" w:rsidR="00796BD3" w:rsidRPr="00527657" w:rsidRDefault="00484261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527657">
              <w:rPr>
                <w:b/>
                <w:lang w:val="ru-RU"/>
              </w:rPr>
              <w:t>14 апреля</w:t>
            </w:r>
            <w:r w:rsidR="00632089" w:rsidRPr="00527657">
              <w:rPr>
                <w:b/>
                <w:lang w:val="ru-RU"/>
              </w:rPr>
              <w:t xml:space="preserve"> 2026 года</w:t>
            </w:r>
          </w:p>
        </w:tc>
      </w:tr>
      <w:tr w:rsidR="00796BD3" w:rsidRPr="00527657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52765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3D338292" w:rsidR="00796BD3" w:rsidRPr="0052765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27657">
              <w:rPr>
                <w:b/>
                <w:lang w:val="ru-RU"/>
              </w:rPr>
              <w:t xml:space="preserve">Оригинал: </w:t>
            </w:r>
            <w:r w:rsidR="00484261" w:rsidRPr="00527657">
              <w:rPr>
                <w:b/>
                <w:lang w:val="ru-RU"/>
              </w:rPr>
              <w:t>китайский</w:t>
            </w:r>
          </w:p>
        </w:tc>
      </w:tr>
      <w:tr w:rsidR="00796BD3" w:rsidRPr="00527657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52765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527657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939D9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1244D1B1" w:rsidR="00796BD3" w:rsidRPr="00527657" w:rsidRDefault="00484261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27657">
              <w:t>Вклад Китайской Народной Республики</w:t>
            </w:r>
            <w:r w:rsidR="005B0932">
              <w:t xml:space="preserve"> и Кубы</w:t>
            </w:r>
          </w:p>
        </w:tc>
      </w:tr>
      <w:tr w:rsidR="00796BD3" w:rsidRPr="00D939D9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21FDD264" w:rsidR="00796BD3" w:rsidRPr="00F94C17" w:rsidRDefault="00484261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F94C17">
              <w:rPr>
                <w:sz w:val="32"/>
              </w:rPr>
              <w:t>РЕКОМЕНДАЦИИ ПО УКРЕПЛЕНИЮ ТРАНСФОРМАЦИИ МСЭ</w:t>
            </w:r>
          </w:p>
        </w:tc>
      </w:tr>
      <w:tr w:rsidR="00796BD3" w:rsidRPr="00D939D9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527657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27657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50A47FF" w14:textId="7D5CDD8C" w:rsidR="00796BD3" w:rsidRPr="00527657" w:rsidRDefault="00484261" w:rsidP="00D17718">
            <w:pPr>
              <w:rPr>
                <w:lang w:val="ru-RU"/>
              </w:rPr>
            </w:pPr>
            <w:r w:rsidRPr="00527657">
              <w:rPr>
                <w:lang w:val="ru-RU"/>
              </w:rPr>
              <w:t>На фоне глубокой реструктуризации в системе Организации Объединенных Наций, ужесточения ограничений в отношении ресурсов и стремительного развития цифровых технологий трансформация играет ключевую роль, позволяя Союзу эффективнее выполнять свой основной мандат. В то же время собственные методы трансформации МСЭ являются источником ценного опыта и моделей, способствующих реформированию системы ООН. В контексте участия МСЭ в инициативе "ООН-80" в настоящем документе систематически анализируется ход предыдущей работы и предлагаются практические рекомендации по активизации усилий по трансформации.</w:t>
            </w:r>
          </w:p>
          <w:p w14:paraId="1678CBF8" w14:textId="77777777" w:rsidR="00796BD3" w:rsidRPr="00527657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27657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2CEB4EBE" w14:textId="1D93A622" w:rsidR="00632089" w:rsidRPr="00527657" w:rsidRDefault="00484261" w:rsidP="00484261">
            <w:pPr>
              <w:rPr>
                <w:lang w:val="ru-RU"/>
              </w:rPr>
            </w:pPr>
            <w:r w:rsidRPr="00527657">
              <w:rPr>
                <w:lang w:val="ru-RU"/>
              </w:rPr>
              <w:t xml:space="preserve">Совету предлагается </w:t>
            </w:r>
            <w:r w:rsidRPr="00527657">
              <w:rPr>
                <w:b/>
                <w:bCs/>
                <w:lang w:val="ru-RU"/>
              </w:rPr>
              <w:t>рассмотреть</w:t>
            </w:r>
            <w:r w:rsidRPr="00527657">
              <w:rPr>
                <w:lang w:val="ru-RU"/>
              </w:rPr>
              <w:t xml:space="preserve"> рекомендации, изложенные в настоящем вкладе, и принять, в зависимости от случая, любые необходимые меры.</w:t>
            </w:r>
          </w:p>
          <w:p w14:paraId="488E3730" w14:textId="0BD24417" w:rsidR="00796BD3" w:rsidRPr="00527657" w:rsidRDefault="00796BD3" w:rsidP="00632089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527657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527657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527657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49A87B72" w14:textId="444C3823" w:rsidR="00484261" w:rsidRPr="00484261" w:rsidRDefault="00484261" w:rsidP="00F94C17">
            <w:pPr>
              <w:rPr>
                <w:i/>
                <w:iCs/>
                <w:lang w:val="ru-RU"/>
              </w:rPr>
            </w:pPr>
            <w:r w:rsidRPr="00484261">
              <w:rPr>
                <w:i/>
                <w:iCs/>
                <w:lang w:val="ru-RU"/>
              </w:rPr>
              <w:t xml:space="preserve">Резолюции Совета: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pub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-</w:instrText>
            </w:r>
            <w:r>
              <w:instrText>CONF</w:instrText>
            </w:r>
            <w:r w:rsidRPr="00D939D9">
              <w:rPr>
                <w:lang w:val="ru-RU"/>
              </w:rPr>
              <w:instrText>-</w:instrText>
            </w:r>
            <w:r>
              <w:instrText>CL</w:instrText>
            </w:r>
            <w:r w:rsidRPr="00D939D9">
              <w:rPr>
                <w:lang w:val="ru-RU"/>
              </w:rPr>
              <w:instrText>-2025"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Резолюции 1412, 1413, 1427 и 1434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>;</w:t>
            </w:r>
          </w:p>
          <w:p w14:paraId="5F949539" w14:textId="4E74B2AE" w:rsidR="00484261" w:rsidRPr="00484261" w:rsidRDefault="00484261" w:rsidP="00F94C17">
            <w:pPr>
              <w:rPr>
                <w:i/>
                <w:iCs/>
                <w:lang w:val="ru-RU"/>
              </w:rPr>
            </w:pPr>
            <w:r w:rsidRPr="00484261">
              <w:rPr>
                <w:i/>
                <w:iCs/>
                <w:lang w:val="ru-RU"/>
              </w:rPr>
              <w:t xml:space="preserve">Документы Совета: Документ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-0061/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C26/61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о вкладе МСЭ в инициативу "ООН-80"; Документы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23-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-0052/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C23/52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23-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-0062/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C23/62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23-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INF</w:instrText>
            </w:r>
            <w:r w:rsidRPr="00D939D9">
              <w:rPr>
                <w:lang w:val="ru-RU"/>
              </w:rPr>
              <w:instrText>-0011/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C23/INF/11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23-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INF</w:instrText>
            </w:r>
            <w:r w:rsidRPr="00D939D9">
              <w:rPr>
                <w:lang w:val="ru-RU"/>
              </w:rPr>
              <w:instrText>-0013/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C23/INF/13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23-</w:instrText>
            </w:r>
            <w:r>
              <w:instrText>CL</w:instrText>
            </w:r>
            <w:r w:rsidRPr="00D939D9">
              <w:rPr>
                <w:lang w:val="ru-RU"/>
              </w:rPr>
              <w:instrText>-230711-</w:instrText>
            </w:r>
            <w:r>
              <w:instrText>DL</w:instrText>
            </w:r>
            <w:r w:rsidRPr="00D939D9">
              <w:rPr>
                <w:lang w:val="ru-RU"/>
              </w:rPr>
              <w:instrText>-0007/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C23/DL/7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23-</w:instrText>
            </w:r>
            <w:r>
              <w:instrText>C</w:instrText>
            </w:r>
            <w:r w:rsidRPr="00D939D9">
              <w:rPr>
                <w:lang w:val="ru-RU"/>
              </w:rPr>
              <w:instrText>23</w:instrText>
            </w:r>
            <w:r>
              <w:instrText>ADD</w:instrText>
            </w:r>
            <w:r w:rsidRPr="00D939D9">
              <w:rPr>
                <w:lang w:val="ru-RU"/>
              </w:rPr>
              <w:instrText>-</w:instrText>
            </w:r>
            <w:r>
              <w:instrText>INF</w:instrText>
            </w:r>
            <w:r w:rsidRPr="00D939D9">
              <w:rPr>
                <w:lang w:val="ru-RU"/>
              </w:rPr>
              <w:instrText>-0001/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C23-ADD/INF/1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о создании Управления по вопросам трансформации и подтверждении его мандатов в 2023 году; Документы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24-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-0019/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C24/19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24-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-0031/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C24/31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24-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-0052/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C24/52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24-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-0073/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C24/73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25-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-0043/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C25/43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25-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-0055/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C25/55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25-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-0066/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C25/66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о работе, связанной с трансформацией, на период 2024</w:t>
            </w:r>
            <w:r w:rsidR="00EF44A1">
              <w:rPr>
                <w:rFonts w:cs="Calibri"/>
                <w:i/>
                <w:iCs/>
                <w:lang w:val="ru-RU"/>
              </w:rPr>
              <w:t>−</w:t>
            </w:r>
            <w:r w:rsidRPr="00484261">
              <w:rPr>
                <w:i/>
                <w:iCs/>
                <w:lang w:val="ru-RU"/>
              </w:rPr>
              <w:t xml:space="preserve">2025 годов; Документы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-0042/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C26/42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-0055/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C26/55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-0062/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C26/62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о ходе работы по трансформации и соответствующих финансовых последствиях на 2026 год; Документ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CL</w:instrText>
            </w:r>
            <w:r w:rsidRPr="00D939D9">
              <w:rPr>
                <w:lang w:val="ru-RU"/>
              </w:rPr>
              <w:instrText>-</w:instrText>
            </w:r>
            <w:r>
              <w:instrText>C</w:instrText>
            </w:r>
            <w:r w:rsidRPr="00D939D9">
              <w:rPr>
                <w:lang w:val="ru-RU"/>
              </w:rPr>
              <w:instrText>-0022/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C26/22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о мнениях и рекомендациях Независимого консультативного комитета по управлению;</w:t>
            </w:r>
          </w:p>
          <w:p w14:paraId="622D94E8" w14:textId="7F20234D" w:rsidR="00484261" w:rsidRPr="00484261" w:rsidRDefault="00484261" w:rsidP="00F94C17">
            <w:pPr>
              <w:rPr>
                <w:i/>
                <w:iCs/>
                <w:lang w:val="ru-RU"/>
              </w:rPr>
            </w:pPr>
            <w:r w:rsidRPr="00484261">
              <w:rPr>
                <w:i/>
                <w:iCs/>
                <w:lang w:val="ru-RU"/>
              </w:rPr>
              <w:t xml:space="preserve">Документы РГС-ФЛР: Документы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24-</w:instrText>
            </w:r>
            <w:r>
              <w:instrText>CWGFHR</w:instrText>
            </w:r>
            <w:r w:rsidRPr="00D939D9">
              <w:rPr>
                <w:lang w:val="ru-RU"/>
              </w:rPr>
              <w:instrText>19-</w:instrText>
            </w:r>
            <w:r>
              <w:instrText>C</w:instrText>
            </w:r>
            <w:r w:rsidRPr="00D939D9">
              <w:rPr>
                <w:lang w:val="ru-RU"/>
              </w:rPr>
              <w:instrText>-0015/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CWG-FHR-19/15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25-</w:instrText>
            </w:r>
            <w:r>
              <w:instrText>CWGFHR</w:instrText>
            </w:r>
            <w:r w:rsidRPr="00D939D9">
              <w:rPr>
                <w:lang w:val="ru-RU"/>
              </w:rPr>
              <w:instrText>21-</w:instrText>
            </w:r>
            <w:r>
              <w:instrText>C</w:instrText>
            </w:r>
            <w:r w:rsidRPr="00D939D9">
              <w:rPr>
                <w:lang w:val="ru-RU"/>
              </w:rPr>
              <w:instrText>-0025/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CWG-FHR-21/25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CWGFHR</w:instrText>
            </w:r>
            <w:r w:rsidRPr="00D939D9">
              <w:rPr>
                <w:lang w:val="ru-RU"/>
              </w:rPr>
              <w:instrText>22-</w:instrText>
            </w:r>
            <w:r>
              <w:instrText>C</w:instrText>
            </w:r>
            <w:r w:rsidRPr="00D939D9">
              <w:rPr>
                <w:lang w:val="ru-RU"/>
              </w:rPr>
              <w:instrText>-0012/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CWG-FHR-22/12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CWGFHR</w:instrText>
            </w:r>
            <w:r w:rsidRPr="00D939D9">
              <w:rPr>
                <w:lang w:val="ru-RU"/>
              </w:rPr>
              <w:instrText>22-</w:instrText>
            </w:r>
            <w:r>
              <w:instrText>C</w:instrText>
            </w:r>
            <w:r w:rsidRPr="00D939D9">
              <w:rPr>
                <w:lang w:val="ru-RU"/>
              </w:rPr>
              <w:instrText>-0014/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CWG</w:t>
            </w:r>
            <w:r w:rsidRPr="00527657">
              <w:rPr>
                <w:rStyle w:val="Hyperlink"/>
                <w:i/>
                <w:iCs/>
                <w:lang w:val="ru-RU"/>
              </w:rPr>
              <w:noBreakHyphen/>
            </w:r>
            <w:r w:rsidRPr="00484261">
              <w:rPr>
                <w:rStyle w:val="Hyperlink"/>
                <w:i/>
                <w:iCs/>
                <w:lang w:val="ru-RU"/>
              </w:rPr>
              <w:t>FHR</w:t>
            </w:r>
            <w:r w:rsidRPr="00527657">
              <w:rPr>
                <w:rStyle w:val="Hyperlink"/>
                <w:i/>
                <w:iCs/>
                <w:lang w:val="ru-RU"/>
              </w:rPr>
              <w:noBreakHyphen/>
            </w:r>
            <w:r w:rsidRPr="00484261">
              <w:rPr>
                <w:rStyle w:val="Hyperlink"/>
                <w:i/>
                <w:iCs/>
                <w:lang w:val="ru-RU"/>
              </w:rPr>
              <w:t>22/14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,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CWGFHR</w:instrText>
            </w:r>
            <w:r w:rsidRPr="00D939D9">
              <w:rPr>
                <w:lang w:val="ru-RU"/>
              </w:rPr>
              <w:instrText>22-</w:instrText>
            </w:r>
            <w:r>
              <w:instrText>C</w:instrText>
            </w:r>
            <w:r w:rsidRPr="00D939D9">
              <w:rPr>
                <w:lang w:val="ru-RU"/>
              </w:rPr>
              <w:instrText>-0015/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CWG-FHR-22/15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D939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939D9">
              <w:rPr>
                <w:lang w:val="ru-RU"/>
              </w:rPr>
              <w:instrText>://</w:instrText>
            </w:r>
            <w:r>
              <w:instrText>www</w:instrText>
            </w:r>
            <w:r w:rsidRPr="00D939D9">
              <w:rPr>
                <w:lang w:val="ru-RU"/>
              </w:rPr>
              <w:instrText>.</w:instrText>
            </w:r>
            <w:r>
              <w:instrText>itu</w:instrText>
            </w:r>
            <w:r w:rsidRPr="00D939D9">
              <w:rPr>
                <w:lang w:val="ru-RU"/>
              </w:rPr>
              <w:instrText>.</w:instrText>
            </w:r>
            <w:r>
              <w:instrText>int</w:instrText>
            </w:r>
            <w:r w:rsidRPr="00D939D9">
              <w:rPr>
                <w:lang w:val="ru-RU"/>
              </w:rPr>
              <w:instrText>/</w:instrText>
            </w:r>
            <w:r>
              <w:instrText>md</w:instrText>
            </w:r>
            <w:r w:rsidRPr="00D939D9">
              <w:rPr>
                <w:lang w:val="ru-RU"/>
              </w:rPr>
              <w:instrText>/</w:instrText>
            </w:r>
            <w:r>
              <w:instrText>S</w:instrText>
            </w:r>
            <w:r w:rsidRPr="00D939D9">
              <w:rPr>
                <w:lang w:val="ru-RU"/>
              </w:rPr>
              <w:instrText>26-</w:instrText>
            </w:r>
            <w:r>
              <w:instrText>CWGFHR</w:instrText>
            </w:r>
            <w:r w:rsidRPr="00D939D9">
              <w:rPr>
                <w:lang w:val="ru-RU"/>
              </w:rPr>
              <w:instrText>22-</w:instrText>
            </w:r>
            <w:r>
              <w:instrText>C</w:instrText>
            </w:r>
            <w:r w:rsidRPr="00D939D9">
              <w:rPr>
                <w:lang w:val="ru-RU"/>
              </w:rPr>
              <w:instrText>-0017/</w:instrText>
            </w:r>
            <w:r>
              <w:instrText>en</w:instrText>
            </w:r>
            <w:r w:rsidRPr="00D939D9">
              <w:rPr>
                <w:lang w:val="ru-RU"/>
              </w:rPr>
              <w:instrText>"</w:instrText>
            </w:r>
            <w:r>
              <w:fldChar w:fldCharType="separate"/>
            </w:r>
            <w:r w:rsidRPr="00484261">
              <w:rPr>
                <w:rStyle w:val="Hyperlink"/>
                <w:i/>
                <w:iCs/>
                <w:lang w:val="ru-RU"/>
              </w:rPr>
              <w:t>CWG-FHR-22/17</w:t>
            </w:r>
            <w:r>
              <w:fldChar w:fldCharType="end"/>
            </w:r>
            <w:r w:rsidRPr="00484261">
              <w:rPr>
                <w:i/>
                <w:iCs/>
                <w:lang w:val="ru-RU"/>
              </w:rPr>
              <w:t>, касающиеся отчетов, которые были представлены РГС-ФЛР Генеральным секретарем;</w:t>
            </w:r>
          </w:p>
          <w:p w14:paraId="6987EC00" w14:textId="77777777" w:rsidR="00796BD3" w:rsidRPr="00527657" w:rsidRDefault="00484261" w:rsidP="00484261">
            <w:pPr>
              <w:spacing w:after="160"/>
              <w:rPr>
                <w:i/>
                <w:iCs/>
                <w:lang w:val="ru-RU"/>
              </w:rPr>
            </w:pPr>
            <w:r w:rsidRPr="00527657">
              <w:rPr>
                <w:i/>
                <w:iCs/>
                <w:lang w:val="ru-RU"/>
              </w:rPr>
              <w:t>Вклад Китая по вопросу о трансформации (</w:t>
            </w:r>
            <w:hyperlink r:id="rId7" w:history="1">
              <w:r w:rsidRPr="00527657">
                <w:rPr>
                  <w:rStyle w:val="Hyperlink"/>
                  <w:i/>
                  <w:iCs/>
                  <w:lang w:val="ru-RU"/>
                </w:rPr>
                <w:t>CWG-FHR-22/30</w:t>
              </w:r>
            </w:hyperlink>
            <w:r w:rsidRPr="00527657">
              <w:rPr>
                <w:i/>
                <w:iCs/>
                <w:lang w:val="ru-RU"/>
              </w:rPr>
              <w:t>)</w:t>
            </w:r>
          </w:p>
        </w:tc>
      </w:tr>
      <w:bookmarkEnd w:id="2"/>
      <w:bookmarkEnd w:id="6"/>
    </w:tbl>
    <w:p w14:paraId="2075259B" w14:textId="77777777" w:rsidR="00796BD3" w:rsidRPr="00527657" w:rsidRDefault="00796BD3" w:rsidP="00796BD3">
      <w:pPr>
        <w:rPr>
          <w:lang w:val="ru-RU"/>
        </w:rPr>
      </w:pPr>
    </w:p>
    <w:p w14:paraId="63AAA8E8" w14:textId="77777777" w:rsidR="00165D06" w:rsidRPr="00527657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527657">
        <w:rPr>
          <w:lang w:val="ru-RU"/>
        </w:rPr>
        <w:br w:type="page"/>
      </w:r>
    </w:p>
    <w:p w14:paraId="57F1B893" w14:textId="6B1E8AB9" w:rsidR="00484261" w:rsidRPr="00527657" w:rsidRDefault="00484261" w:rsidP="00484261">
      <w:pPr>
        <w:pStyle w:val="Heading1"/>
        <w:rPr>
          <w:lang w:val="ru-RU"/>
        </w:rPr>
      </w:pPr>
      <w:r w:rsidRPr="00527657">
        <w:rPr>
          <w:lang w:val="ru-RU"/>
        </w:rPr>
        <w:lastRenderedPageBreak/>
        <w:t>1</w:t>
      </w:r>
      <w:r w:rsidRPr="00527657">
        <w:rPr>
          <w:lang w:val="ru-RU"/>
        </w:rPr>
        <w:tab/>
        <w:t>Базовая информация</w:t>
      </w:r>
    </w:p>
    <w:p w14:paraId="6F42D50A" w14:textId="77777777" w:rsidR="00484261" w:rsidRPr="00484261" w:rsidRDefault="00484261" w:rsidP="00484261">
      <w:pPr>
        <w:rPr>
          <w:lang w:val="ru-RU"/>
        </w:rPr>
      </w:pPr>
      <w:r w:rsidRPr="00484261">
        <w:rPr>
          <w:lang w:val="ru-RU"/>
        </w:rPr>
        <w:t>В 2023 году руководство МСЭ приступило к реализации инициативы по трансформации, в том числе утвердило создание Управления по вопросам трансформации во главе с руководителем уровня D.1 (на ограниченный срок в два года плюс два дополнительных года), предназначенного для повышения организационной эффективности административного управления, в том числе в области людских ресурсов, финансовых ресурсов и информационных услуг (</w:t>
      </w:r>
      <w:hyperlink r:id="rId8" w:history="1">
        <w:r w:rsidRPr="00484261">
          <w:rPr>
            <w:rStyle w:val="Hyperlink"/>
            <w:lang w:val="ru-RU"/>
          </w:rPr>
          <w:t>C23/52</w:t>
        </w:r>
      </w:hyperlink>
      <w:r w:rsidRPr="00484261">
        <w:rPr>
          <w:lang w:val="ru-RU"/>
        </w:rPr>
        <w:t xml:space="preserve">, </w:t>
      </w:r>
      <w:hyperlink r:id="rId9" w:history="1">
        <w:r w:rsidRPr="00484261">
          <w:rPr>
            <w:rStyle w:val="Hyperlink"/>
            <w:lang w:val="ru-RU"/>
          </w:rPr>
          <w:t>C23/DL/7</w:t>
        </w:r>
      </w:hyperlink>
      <w:r w:rsidRPr="00484261">
        <w:rPr>
          <w:lang w:val="ru-RU"/>
        </w:rPr>
        <w:t>). Несколько Государств-Членов, включая Китай, Объединенные Арабские Эмираты, Саудовскую Аравию, Египет, Марокко, Российскую Федерацию и Швейцарию, подготовили вклады и активно представляли замечания.</w:t>
      </w:r>
    </w:p>
    <w:p w14:paraId="71F3CCAD" w14:textId="77777777" w:rsidR="00484261" w:rsidRPr="00484261" w:rsidRDefault="00484261" w:rsidP="00484261">
      <w:pPr>
        <w:rPr>
          <w:lang w:val="ru-RU"/>
        </w:rPr>
      </w:pPr>
      <w:r w:rsidRPr="00484261">
        <w:rPr>
          <w:lang w:val="ru-RU"/>
        </w:rPr>
        <w:t xml:space="preserve">В ответ на отчет, подготовленный Секретариатом, в январе 2026 года Китай представил предложение собранию РГС-ФЛР, в котором был изложен прогресс, достигнутый в ходе трансформации за период с 2023 года (Документ </w:t>
      </w:r>
      <w:r>
        <w:fldChar w:fldCharType="begin"/>
      </w:r>
      <w:r>
        <w:instrText>HYPERLINK</w:instrText>
      </w:r>
      <w:r w:rsidRPr="00D939D9">
        <w:rPr>
          <w:lang w:val="ru-RU"/>
        </w:rPr>
        <w:instrText xml:space="preserve"> "</w:instrText>
      </w:r>
      <w:r>
        <w:instrText>https</w:instrText>
      </w:r>
      <w:r w:rsidRPr="00D939D9">
        <w:rPr>
          <w:lang w:val="ru-RU"/>
        </w:rPr>
        <w:instrText>://</w:instrText>
      </w:r>
      <w:r>
        <w:instrText>www</w:instrText>
      </w:r>
      <w:r w:rsidRPr="00D939D9">
        <w:rPr>
          <w:lang w:val="ru-RU"/>
        </w:rPr>
        <w:instrText>.</w:instrText>
      </w:r>
      <w:r>
        <w:instrText>itu</w:instrText>
      </w:r>
      <w:r w:rsidRPr="00D939D9">
        <w:rPr>
          <w:lang w:val="ru-RU"/>
        </w:rPr>
        <w:instrText>.</w:instrText>
      </w:r>
      <w:r>
        <w:instrText>int</w:instrText>
      </w:r>
      <w:r w:rsidRPr="00D939D9">
        <w:rPr>
          <w:lang w:val="ru-RU"/>
        </w:rPr>
        <w:instrText>/</w:instrText>
      </w:r>
      <w:r>
        <w:instrText>md</w:instrText>
      </w:r>
      <w:r w:rsidRPr="00D939D9">
        <w:rPr>
          <w:lang w:val="ru-RU"/>
        </w:rPr>
        <w:instrText>/</w:instrText>
      </w:r>
      <w:r>
        <w:instrText>S</w:instrText>
      </w:r>
      <w:r w:rsidRPr="00D939D9">
        <w:rPr>
          <w:lang w:val="ru-RU"/>
        </w:rPr>
        <w:instrText>26-</w:instrText>
      </w:r>
      <w:r>
        <w:instrText>CWGFHR</w:instrText>
      </w:r>
      <w:r w:rsidRPr="00D939D9">
        <w:rPr>
          <w:lang w:val="ru-RU"/>
        </w:rPr>
        <w:instrText>22-</w:instrText>
      </w:r>
      <w:r>
        <w:instrText>C</w:instrText>
      </w:r>
      <w:r w:rsidRPr="00D939D9">
        <w:rPr>
          <w:lang w:val="ru-RU"/>
        </w:rPr>
        <w:instrText>-0030/</w:instrText>
      </w:r>
      <w:r>
        <w:instrText>en</w:instrText>
      </w:r>
      <w:r w:rsidRPr="00D939D9">
        <w:rPr>
          <w:lang w:val="ru-RU"/>
        </w:rPr>
        <w:instrText>"</w:instrText>
      </w:r>
      <w:r>
        <w:fldChar w:fldCharType="separate"/>
      </w:r>
      <w:r w:rsidRPr="00484261">
        <w:rPr>
          <w:rStyle w:val="Hyperlink"/>
          <w:lang w:val="ru-RU"/>
        </w:rPr>
        <w:t>CWG-FHR-22/30</w:t>
      </w:r>
      <w:r>
        <w:fldChar w:fldCharType="end"/>
      </w:r>
      <w:r w:rsidRPr="00484261">
        <w:rPr>
          <w:lang w:val="ru-RU"/>
        </w:rPr>
        <w:t>), а также представлены замечания и мнения. Согласно последним отчетам, представленным Секретариатом (</w:t>
      </w:r>
      <w:hyperlink r:id="rId10" w:history="1">
        <w:r w:rsidRPr="00484261">
          <w:rPr>
            <w:rStyle w:val="Hyperlink"/>
            <w:lang w:val="ru-RU"/>
          </w:rPr>
          <w:t>C26/22</w:t>
        </w:r>
      </w:hyperlink>
      <w:r w:rsidRPr="00484261">
        <w:rPr>
          <w:lang w:val="ru-RU"/>
        </w:rPr>
        <w:t xml:space="preserve">, </w:t>
      </w:r>
      <w:hyperlink r:id="rId11" w:history="1">
        <w:r w:rsidRPr="00484261">
          <w:rPr>
            <w:rStyle w:val="Hyperlink"/>
            <w:lang w:val="ru-RU"/>
          </w:rPr>
          <w:t>C26/42</w:t>
        </w:r>
      </w:hyperlink>
      <w:r w:rsidRPr="00484261">
        <w:rPr>
          <w:lang w:val="ru-RU"/>
        </w:rPr>
        <w:t xml:space="preserve">, </w:t>
      </w:r>
      <w:hyperlink r:id="rId12" w:history="1">
        <w:r w:rsidRPr="00484261">
          <w:rPr>
            <w:rStyle w:val="Hyperlink"/>
            <w:lang w:val="ru-RU"/>
          </w:rPr>
          <w:t>C26/55</w:t>
        </w:r>
      </w:hyperlink>
      <w:r w:rsidRPr="00484261">
        <w:rPr>
          <w:lang w:val="ru-RU"/>
        </w:rPr>
        <w:t xml:space="preserve"> и </w:t>
      </w:r>
      <w:hyperlink r:id="rId13" w:history="1">
        <w:r w:rsidRPr="00484261">
          <w:rPr>
            <w:rStyle w:val="Hyperlink"/>
            <w:lang w:val="ru-RU"/>
          </w:rPr>
          <w:t>C26/62</w:t>
        </w:r>
      </w:hyperlink>
      <w:r w:rsidRPr="00484261">
        <w:rPr>
          <w:lang w:val="ru-RU"/>
        </w:rPr>
        <w:t>), в настоящее время состояние процесса трансформации выглядит следующим образом.</w:t>
      </w:r>
    </w:p>
    <w:p w14:paraId="3100065B" w14:textId="7EDD68CD" w:rsidR="00484261" w:rsidRPr="00527657" w:rsidRDefault="00484261" w:rsidP="00527657">
      <w:pPr>
        <w:pStyle w:val="enumlev1"/>
        <w:rPr>
          <w:lang w:val="ru-RU"/>
        </w:rPr>
      </w:pPr>
      <w:r w:rsidRPr="00527657">
        <w:rPr>
          <w:lang w:val="ru-RU"/>
        </w:rPr>
        <w:t>1)</w:t>
      </w:r>
      <w:r w:rsidRPr="00527657">
        <w:rPr>
          <w:lang w:val="ru-RU"/>
        </w:rPr>
        <w:tab/>
        <w:t>Сфера охвата работы: охват трансформации определяется с точки зрения основных составляющих, стратегий, дорожных карт, приоритетных областей и инициатив. По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состоянию на апрель 2026 года основные усилия по трансформации претерпели пять существенных изменений и в настоящее время охватывают пять ключевых аспектов (управление, члены и партнеры, люди и культура, оптимизация ресурсов, а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также системы, процессы и инструменты). Увязка между этими аспектами и двумя основными направлениями деятельности (организационная эффективность и стратегическое взаимодействие) перестала быть актуальной.</w:t>
      </w:r>
    </w:p>
    <w:p w14:paraId="69008E1F" w14:textId="7F098DD9" w:rsidR="00484261" w:rsidRPr="00527657" w:rsidRDefault="00484261" w:rsidP="00527657">
      <w:pPr>
        <w:pStyle w:val="enumlev1"/>
        <w:rPr>
          <w:lang w:val="ru-RU"/>
        </w:rPr>
      </w:pPr>
      <w:r w:rsidRPr="00527657">
        <w:rPr>
          <w:lang w:val="ru-RU"/>
        </w:rPr>
        <w:t>2)</w:t>
      </w:r>
      <w:r w:rsidRPr="00527657">
        <w:rPr>
          <w:lang w:val="ru-RU"/>
        </w:rPr>
        <w:tab/>
        <w:t>Структура команд: по состоянию на апрель 2026 года команды, связанные с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трансформацией, претерпели шесть изменений по сравнению с январем 2023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года, когда высшее руководство дало старт усилиям по трансформации. В июне 2023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года Совет утвердил создание Управления по вопросам трансформации во главе с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руководителем уровня D.1 (на ограниченный срок в два года плюс два дополнительных года). Круг ведения Управления по вопросам трансформации был подтвержден на последующей дополнительной сессии Совета 2023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года (Документ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C23-ADD/INF/1). В настоящее время в МСЭ действуют Группа по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трансформации во главе с Главным сотрудником по вопросам трансформации, Целевая группа по трансформации под председательством руководителя Департамента администрирования и финансов и Комитет по управлению ИКТ под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руководством заместителя Генерального секретаря. Группа по трансформации была "закреплена" за Директором по информационным технологиям (CIO), а также подотчетна руководителю Департамента администрирования и финансов.</w:t>
      </w:r>
    </w:p>
    <w:p w14:paraId="55593CE3" w14:textId="496630B0" w:rsidR="00484261" w:rsidRPr="00527657" w:rsidRDefault="00484261" w:rsidP="00527657">
      <w:pPr>
        <w:pStyle w:val="enumlev1"/>
        <w:rPr>
          <w:lang w:val="ru-RU"/>
        </w:rPr>
      </w:pPr>
      <w:r w:rsidRPr="00527657">
        <w:rPr>
          <w:lang w:val="ru-RU"/>
        </w:rPr>
        <w:t>3)</w:t>
      </w:r>
      <w:r w:rsidRPr="00527657">
        <w:rPr>
          <w:lang w:val="ru-RU"/>
        </w:rPr>
        <w:tab/>
        <w:t>Финансовые последствия: основным источником финансирования инициатив по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трансформации являются регулярные бюджетные ассигнования и сэкономленные средства. Большинство бюджетных потребностей на проведение мероприятий, связанных с трансформацией, сосредоточены на цифровой модернизации офисных систем и программного обеспечения; при этом информация по другим аспектам ограничена. В период с 2023 по 2024 годы из сэкономленных средств сумма в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1,6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млн.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швейцарских франков была использована на инициативы по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трансформации, в том числе 600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000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швейцарских франков были выделены на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проект веб-сайта, а оставшиеся 950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000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 xml:space="preserve">швейцарских франков в течение двух лет были потрачены на персонал Группы по трансформации для поддержки планирования, отчетности, координации и реализации. Согласно Оперативному плану </w:t>
      </w:r>
      <w:proofErr w:type="gramStart"/>
      <w:r w:rsidRPr="00527657">
        <w:rPr>
          <w:lang w:val="ru-RU"/>
        </w:rPr>
        <w:t>на 2026 год</w:t>
      </w:r>
      <w:proofErr w:type="gramEnd"/>
      <w:r w:rsidRPr="00527657">
        <w:rPr>
          <w:lang w:val="ru-RU"/>
        </w:rPr>
        <w:t xml:space="preserve"> департаменты Генерального секретариата затратят около 6,6 </w:t>
      </w:r>
      <w:proofErr w:type="gramStart"/>
      <w:r w:rsidRPr="00527657">
        <w:rPr>
          <w:lang w:val="ru-RU"/>
        </w:rPr>
        <w:t>млн.</w:t>
      </w:r>
      <w:proofErr w:type="gramEnd"/>
      <w:r w:rsidR="00527657" w:rsidRPr="00527657">
        <w:rPr>
          <w:lang w:val="ru-RU"/>
        </w:rPr>
        <w:t> </w:t>
      </w:r>
      <w:r w:rsidRPr="00527657">
        <w:rPr>
          <w:lang w:val="ru-RU"/>
        </w:rPr>
        <w:t xml:space="preserve">швейцарских франков на оплату труда сотрудников, занимающихся </w:t>
      </w:r>
      <w:r w:rsidRPr="00527657">
        <w:rPr>
          <w:lang w:val="ru-RU"/>
        </w:rPr>
        <w:lastRenderedPageBreak/>
        <w:t>деятельностью, которая связана с трансформацией, что составляет около 10,5 процента от общей продолжительности рабочего времени персонала согласно Оперативному плану. На этой сессии Совета Секретариат просит выделить 1,45</w:t>
      </w:r>
      <w:r w:rsidR="00527657" w:rsidRPr="00527657">
        <w:rPr>
          <w:lang w:val="ru-RU"/>
        </w:rPr>
        <w:t> </w:t>
      </w:r>
      <w:proofErr w:type="gramStart"/>
      <w:r w:rsidRPr="00527657">
        <w:rPr>
          <w:lang w:val="ru-RU"/>
        </w:rPr>
        <w:t>млн.</w:t>
      </w:r>
      <w:proofErr w:type="gramEnd"/>
      <w:r w:rsidR="00527657" w:rsidRPr="00527657">
        <w:rPr>
          <w:lang w:val="ru-RU"/>
        </w:rPr>
        <w:t> </w:t>
      </w:r>
      <w:r w:rsidRPr="00527657">
        <w:rPr>
          <w:lang w:val="ru-RU"/>
        </w:rPr>
        <w:t>швейцарских франков на реализацию инициатив по трансформации, в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том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числе на модернизацию основных организационных систем.</w:t>
      </w:r>
    </w:p>
    <w:p w14:paraId="5B81B372" w14:textId="77777777" w:rsidR="00484261" w:rsidRPr="00484261" w:rsidRDefault="00484261" w:rsidP="00484261">
      <w:pPr>
        <w:pStyle w:val="Heading1"/>
        <w:rPr>
          <w:lang w:val="ru-RU"/>
        </w:rPr>
      </w:pPr>
      <w:r w:rsidRPr="00484261">
        <w:rPr>
          <w:lang w:val="ru-RU"/>
        </w:rPr>
        <w:t>2</w:t>
      </w:r>
      <w:r w:rsidRPr="00484261">
        <w:rPr>
          <w:lang w:val="ru-RU"/>
        </w:rPr>
        <w:tab/>
        <w:t>Предложение</w:t>
      </w:r>
    </w:p>
    <w:p w14:paraId="19CDF43C" w14:textId="77777777" w:rsidR="00484261" w:rsidRPr="00484261" w:rsidRDefault="00484261" w:rsidP="00484261">
      <w:pPr>
        <w:rPr>
          <w:lang w:val="ru-RU"/>
        </w:rPr>
      </w:pPr>
      <w:r w:rsidRPr="00484261">
        <w:rPr>
          <w:lang w:val="ru-RU"/>
        </w:rPr>
        <w:t xml:space="preserve">Трансформация играет ключевую роль, давая Союзу возможность лучше выполнять свой основной мандат. В качестве ведущего учреждения по двум флагманским пакетам работ первоочередного значения в рамках инициативы "ООН-80", включая пакет работ "Технологии" (Документ </w:t>
      </w:r>
      <w:hyperlink r:id="rId14" w:history="1">
        <w:r w:rsidRPr="00484261">
          <w:rPr>
            <w:rStyle w:val="Hyperlink"/>
            <w:lang w:val="ru-RU"/>
          </w:rPr>
          <w:t>C26/61</w:t>
        </w:r>
      </w:hyperlink>
      <w:r w:rsidRPr="00484261">
        <w:rPr>
          <w:lang w:val="ru-RU"/>
        </w:rPr>
        <w:t>), МСЭ также играет значительную роль в содействии развитию цифровой инфраструктуры в рамках системы Организации Объединенных Наций. Его собственные усилия по трансформации обеспечат ценный опыт и модель поддержки общей реформы в системе Организации Объединенных Наций.</w:t>
      </w:r>
    </w:p>
    <w:p w14:paraId="0D1F50C8" w14:textId="21197D57" w:rsidR="00484261" w:rsidRPr="00527657" w:rsidRDefault="00484261" w:rsidP="00527657">
      <w:pPr>
        <w:pStyle w:val="enumlev1"/>
        <w:rPr>
          <w:lang w:val="ru-RU"/>
        </w:rPr>
      </w:pPr>
      <w:r w:rsidRPr="00527657">
        <w:rPr>
          <w:lang w:val="ru-RU"/>
        </w:rPr>
        <w:t>1)</w:t>
      </w:r>
      <w:r w:rsidRPr="00527657">
        <w:rPr>
          <w:lang w:val="ru-RU"/>
        </w:rPr>
        <w:tab/>
        <w:t xml:space="preserve">В рамках действующих правил и </w:t>
      </w:r>
      <w:proofErr w:type="spellStart"/>
      <w:r w:rsidRPr="00527657">
        <w:rPr>
          <w:lang w:val="ru-RU"/>
        </w:rPr>
        <w:t>регламентарных</w:t>
      </w:r>
      <w:proofErr w:type="spellEnd"/>
      <w:r w:rsidRPr="00527657">
        <w:rPr>
          <w:lang w:val="ru-RU"/>
        </w:rPr>
        <w:t xml:space="preserve"> положений, включая Устав и Конвенцию Союза, следует предпринять усилия по укреплению стабильности и предсказуемости инициатив в области трансформации. Необходимо повысить уровень согласованности в том, что касается оперативной деятельности, структуры команд и финансового планирования. Это включает в себя повышение прозрачности процессов трансформации, обеспечение измеримых результатов и демонстрацию реальных достижений посредством анализа затрат и выгод с целью оптимизации распределения ресурсов и повышения операционной эффективности. Эти меры позволят всем заинтересованным сторонам осуществлять четкий контроль за ходом преобразований.</w:t>
      </w:r>
    </w:p>
    <w:p w14:paraId="056AB7DD" w14:textId="731E0646" w:rsidR="00484261" w:rsidRPr="00527657" w:rsidRDefault="00484261" w:rsidP="00527657">
      <w:pPr>
        <w:pStyle w:val="enumlev1"/>
        <w:rPr>
          <w:lang w:val="ru-RU"/>
        </w:rPr>
      </w:pPr>
      <w:r w:rsidRPr="00527657">
        <w:rPr>
          <w:lang w:val="ru-RU"/>
        </w:rPr>
        <w:t>2)</w:t>
      </w:r>
      <w:r w:rsidRPr="00527657">
        <w:rPr>
          <w:lang w:val="ru-RU"/>
        </w:rPr>
        <w:tab/>
        <w:t>Следует содействовать прагматичному подходу к решению основных проблем Государств-Членов. На фоне сохраняющихся бюджетных ограничений Союзу следует уделять первоочередное внимание выделению ресурсов на решение ключевых вопросов, неоднократно поднимавшихся Государствами-Членами, повышать финансовую прозрачность в контексте приоритетных вопросов, а также разработать с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учетом потребностей Государств-Членов методику внутренних преобразований, ориентированную на решение проблем и отличающуюся четкими целями и устойчивостью. На будущих очередных сессиях Совету следует представлять отчеты, в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которых основное внимание будет уделяться изложению приоритетов трансформации, распределению ресурсов и ожидаемым результатам.</w:t>
      </w:r>
    </w:p>
    <w:p w14:paraId="295E054F" w14:textId="72088C26" w:rsidR="00C462C5" w:rsidRPr="00527657" w:rsidRDefault="00484261" w:rsidP="00527657">
      <w:pPr>
        <w:pStyle w:val="enumlev1"/>
        <w:rPr>
          <w:lang w:val="ru-RU"/>
        </w:rPr>
      </w:pPr>
      <w:r w:rsidRPr="00527657">
        <w:rPr>
          <w:lang w:val="ru-RU"/>
        </w:rPr>
        <w:t>3)</w:t>
      </w:r>
      <w:r w:rsidRPr="00527657">
        <w:rPr>
          <w:lang w:val="ru-RU"/>
        </w:rPr>
        <w:tab/>
        <w:t>Следует расширять возможности реализации, с тем чтобы ускорить достижение результатов трансформации. Сохраняется значительный разрыв между стратегическим замыслом и фактической реализацией соответствующих мероприятий Союз</w:t>
      </w:r>
      <w:r w:rsidR="004B039A">
        <w:rPr>
          <w:lang w:val="ru-RU"/>
        </w:rPr>
        <w:t>а</w:t>
      </w:r>
      <w:r w:rsidRPr="00527657">
        <w:rPr>
          <w:lang w:val="ru-RU"/>
        </w:rPr>
        <w:t>. Следует определить четкие, поддающиеся измерению и практические поэтапные цели, с тем чтобы ускорить получение непосредственных выгод от усилий по</w:t>
      </w:r>
      <w:r w:rsidR="00527657" w:rsidRPr="00527657">
        <w:rPr>
          <w:lang w:val="ru-RU"/>
        </w:rPr>
        <w:t> </w:t>
      </w:r>
      <w:r w:rsidRPr="00527657">
        <w:rPr>
          <w:lang w:val="ru-RU"/>
        </w:rPr>
        <w:t>трансформации.</w:t>
      </w:r>
    </w:p>
    <w:p w14:paraId="16FE606C" w14:textId="77777777" w:rsidR="00796BD3" w:rsidRPr="00527657" w:rsidRDefault="00C462C5" w:rsidP="004B039A">
      <w:pPr>
        <w:spacing w:before="720"/>
        <w:jc w:val="center"/>
        <w:rPr>
          <w:lang w:val="ru-RU"/>
        </w:rPr>
      </w:pPr>
      <w:r w:rsidRPr="00527657">
        <w:rPr>
          <w:lang w:val="ru-RU"/>
        </w:rPr>
        <w:t>______________</w:t>
      </w:r>
    </w:p>
    <w:sectPr w:rsidR="00796BD3" w:rsidRPr="00527657" w:rsidSect="00796BD3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2AF4" w14:textId="77777777" w:rsidR="000B1258" w:rsidRDefault="000B1258">
      <w:r>
        <w:separator/>
      </w:r>
    </w:p>
  </w:endnote>
  <w:endnote w:type="continuationSeparator" w:id="0">
    <w:p w14:paraId="672CE7FA" w14:textId="77777777" w:rsidR="000B1258" w:rsidRDefault="000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573D70D5" w:rsidR="00672F8A" w:rsidRPr="00F94C17" w:rsidRDefault="00F94C17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2600914</w:t>
          </w:r>
        </w:p>
      </w:tc>
      <w:tc>
        <w:tcPr>
          <w:tcW w:w="8261" w:type="dxa"/>
        </w:tcPr>
        <w:p w14:paraId="29D1FE92" w14:textId="72795F7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484261">
            <w:rPr>
              <w:bCs/>
              <w:lang w:val="ru-RU"/>
            </w:rPr>
            <w:t>82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5341AFA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484261">
            <w:rPr>
              <w:bCs/>
              <w:lang w:val="ru-RU"/>
            </w:rPr>
            <w:t>82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AA22" w14:textId="77777777" w:rsidR="000B1258" w:rsidRDefault="000B1258">
      <w:r>
        <w:t>____________________</w:t>
      </w:r>
    </w:p>
  </w:footnote>
  <w:footnote w:type="continuationSeparator" w:id="0">
    <w:p w14:paraId="43A49A18" w14:textId="77777777" w:rsidR="000B1258" w:rsidRDefault="000B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34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B1258"/>
    <w:rsid w:val="000B2DE7"/>
    <w:rsid w:val="000B4E93"/>
    <w:rsid w:val="000E568E"/>
    <w:rsid w:val="0014229E"/>
    <w:rsid w:val="0014734F"/>
    <w:rsid w:val="0014780D"/>
    <w:rsid w:val="00156890"/>
    <w:rsid w:val="0015710D"/>
    <w:rsid w:val="00163A32"/>
    <w:rsid w:val="00165D06"/>
    <w:rsid w:val="0019215A"/>
    <w:rsid w:val="00192B41"/>
    <w:rsid w:val="001B7B09"/>
    <w:rsid w:val="001D6672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0AC7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42515"/>
    <w:rsid w:val="0045686C"/>
    <w:rsid w:val="00465C35"/>
    <w:rsid w:val="00484261"/>
    <w:rsid w:val="004918C4"/>
    <w:rsid w:val="00497703"/>
    <w:rsid w:val="004A0374"/>
    <w:rsid w:val="004A45B5"/>
    <w:rsid w:val="004B039A"/>
    <w:rsid w:val="004D0129"/>
    <w:rsid w:val="00515795"/>
    <w:rsid w:val="00527657"/>
    <w:rsid w:val="005A64D5"/>
    <w:rsid w:val="005B0932"/>
    <w:rsid w:val="005B3DEC"/>
    <w:rsid w:val="00601994"/>
    <w:rsid w:val="00632089"/>
    <w:rsid w:val="0063628B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51807"/>
    <w:rsid w:val="008B62B4"/>
    <w:rsid w:val="008D2D7B"/>
    <w:rsid w:val="008E0737"/>
    <w:rsid w:val="008F7958"/>
    <w:rsid w:val="008F7C2C"/>
    <w:rsid w:val="00934A2D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83B7B"/>
    <w:rsid w:val="00AE2C85"/>
    <w:rsid w:val="00B0107F"/>
    <w:rsid w:val="00B12A37"/>
    <w:rsid w:val="00B137A8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D5806"/>
    <w:rsid w:val="00CF629C"/>
    <w:rsid w:val="00D17718"/>
    <w:rsid w:val="00D33892"/>
    <w:rsid w:val="00D631AA"/>
    <w:rsid w:val="00D92EEA"/>
    <w:rsid w:val="00D939D9"/>
    <w:rsid w:val="00DA5D4E"/>
    <w:rsid w:val="00DA770A"/>
    <w:rsid w:val="00DD7374"/>
    <w:rsid w:val="00E05752"/>
    <w:rsid w:val="00E176BA"/>
    <w:rsid w:val="00E423EC"/>
    <w:rsid w:val="00E55121"/>
    <w:rsid w:val="00EB4FCB"/>
    <w:rsid w:val="00EC6BC5"/>
    <w:rsid w:val="00EF44A1"/>
    <w:rsid w:val="00F348D0"/>
    <w:rsid w:val="00F35898"/>
    <w:rsid w:val="00F5225B"/>
    <w:rsid w:val="00F94C17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052/en" TargetMode="External"/><Relationship Id="rId13" Type="http://schemas.openxmlformats.org/officeDocument/2006/relationships/hyperlink" Target="https://www.itu.int/md/S26-CL-C-0062/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WGFHR22-C-0030/en" TargetMode="External"/><Relationship Id="rId12" Type="http://schemas.openxmlformats.org/officeDocument/2006/relationships/hyperlink" Target="https://www.itu.int/md/S26-CL-C-0055/e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CL-C-0042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md/S26-CL-C-0022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3-CL-230711-DL-0007/en" TargetMode="External"/><Relationship Id="rId14" Type="http://schemas.openxmlformats.org/officeDocument/2006/relationships/hyperlink" Target="https://www.itu.int/md/S26-CL-C-0061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5</TotalTime>
  <Pages>3</Pages>
  <Words>1247</Words>
  <Characters>8955</Characters>
  <Application>Microsoft Office Word</Application>
  <DocSecurity>0</DocSecurity>
  <Lines>159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10163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GR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2026-04-24T15:10:00Z</dcterms:created>
  <dcterms:modified xsi:type="dcterms:W3CDTF">2026-04-24T15:10:00Z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