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071EF4" w14:paraId="263B18E0" w14:textId="77777777" w:rsidTr="00796BDB">
        <w:trPr>
          <w:cantSplit/>
          <w:trHeight w:val="23"/>
        </w:trPr>
        <w:tc>
          <w:tcPr>
            <w:tcW w:w="3969" w:type="dxa"/>
            <w:vMerge w:val="restart"/>
            <w:tcMar>
              <w:left w:w="0" w:type="dxa"/>
            </w:tcMar>
          </w:tcPr>
          <w:p w14:paraId="7B897F87" w14:textId="31358B8E" w:rsidR="00D72F49" w:rsidRPr="00071EF4" w:rsidRDefault="00D72F49" w:rsidP="00796BDB">
            <w:pPr>
              <w:tabs>
                <w:tab w:val="left" w:pos="851"/>
              </w:tabs>
              <w:spacing w:before="0" w:line="240" w:lineRule="atLeast"/>
              <w:rPr>
                <w:b/>
              </w:rPr>
            </w:pPr>
            <w:r w:rsidRPr="00071EF4">
              <w:rPr>
                <w:b/>
              </w:rPr>
              <w:t>Point de l'ordre du jour:</w:t>
            </w:r>
            <w:r w:rsidR="002C6B80" w:rsidRPr="00071EF4">
              <w:rPr>
                <w:b/>
              </w:rPr>
              <w:t xml:space="preserve"> </w:t>
            </w:r>
            <w:r w:rsidR="002C6B80" w:rsidRPr="00071EF4">
              <w:rPr>
                <w:b/>
                <w:bCs/>
                <w:color w:val="000000"/>
              </w:rPr>
              <w:t>PL</w:t>
            </w:r>
            <w:r w:rsidR="00887D22">
              <w:rPr>
                <w:b/>
                <w:bCs/>
                <w:color w:val="000000"/>
              </w:rPr>
              <w:t>-</w:t>
            </w:r>
            <w:r w:rsidR="002C6B80" w:rsidRPr="00071EF4">
              <w:rPr>
                <w:b/>
                <w:bCs/>
                <w:color w:val="000000"/>
              </w:rPr>
              <w:t>2</w:t>
            </w:r>
          </w:p>
        </w:tc>
        <w:tc>
          <w:tcPr>
            <w:tcW w:w="5245" w:type="dxa"/>
          </w:tcPr>
          <w:p w14:paraId="64EE54E1" w14:textId="46F0A4DA" w:rsidR="00D72F49" w:rsidRPr="00071EF4" w:rsidRDefault="00D72F49" w:rsidP="00796BDB">
            <w:pPr>
              <w:tabs>
                <w:tab w:val="left" w:pos="851"/>
              </w:tabs>
              <w:spacing w:before="0" w:line="240" w:lineRule="atLeast"/>
              <w:jc w:val="right"/>
              <w:rPr>
                <w:b/>
              </w:rPr>
            </w:pPr>
            <w:r w:rsidRPr="00071EF4">
              <w:rPr>
                <w:b/>
              </w:rPr>
              <w:t>Document C2</w:t>
            </w:r>
            <w:r w:rsidR="00E4448E" w:rsidRPr="00071EF4">
              <w:rPr>
                <w:b/>
              </w:rPr>
              <w:t>6</w:t>
            </w:r>
            <w:r w:rsidRPr="00071EF4">
              <w:rPr>
                <w:b/>
              </w:rPr>
              <w:t>/</w:t>
            </w:r>
            <w:r w:rsidR="002C6B80" w:rsidRPr="00071EF4">
              <w:rPr>
                <w:b/>
              </w:rPr>
              <w:t>82</w:t>
            </w:r>
            <w:r w:rsidRPr="00071EF4">
              <w:rPr>
                <w:b/>
              </w:rPr>
              <w:t>-F</w:t>
            </w:r>
          </w:p>
        </w:tc>
      </w:tr>
      <w:tr w:rsidR="00D72F49" w:rsidRPr="00071EF4" w14:paraId="084A106B" w14:textId="77777777" w:rsidTr="00796BDB">
        <w:trPr>
          <w:cantSplit/>
        </w:trPr>
        <w:tc>
          <w:tcPr>
            <w:tcW w:w="3969" w:type="dxa"/>
            <w:vMerge/>
          </w:tcPr>
          <w:p w14:paraId="44361ABF" w14:textId="77777777" w:rsidR="00D72F49" w:rsidRPr="00071EF4" w:rsidRDefault="00D72F49" w:rsidP="00796BDB">
            <w:pPr>
              <w:tabs>
                <w:tab w:val="left" w:pos="851"/>
              </w:tabs>
              <w:spacing w:line="240" w:lineRule="atLeast"/>
              <w:rPr>
                <w:b/>
              </w:rPr>
            </w:pPr>
          </w:p>
        </w:tc>
        <w:tc>
          <w:tcPr>
            <w:tcW w:w="5245" w:type="dxa"/>
          </w:tcPr>
          <w:p w14:paraId="6AACF544" w14:textId="11095611" w:rsidR="00D72F49" w:rsidRPr="00071EF4" w:rsidRDefault="002C6B80" w:rsidP="00796BDB">
            <w:pPr>
              <w:tabs>
                <w:tab w:val="left" w:pos="851"/>
              </w:tabs>
              <w:spacing w:before="0"/>
              <w:jc w:val="right"/>
              <w:rPr>
                <w:b/>
              </w:rPr>
            </w:pPr>
            <w:r w:rsidRPr="00071EF4">
              <w:rPr>
                <w:b/>
              </w:rPr>
              <w:t>14 avril 2026</w:t>
            </w:r>
          </w:p>
        </w:tc>
      </w:tr>
      <w:tr w:rsidR="00D72F49" w:rsidRPr="00071EF4" w14:paraId="36956A7F" w14:textId="77777777" w:rsidTr="00796BDB">
        <w:trPr>
          <w:cantSplit/>
          <w:trHeight w:val="23"/>
        </w:trPr>
        <w:tc>
          <w:tcPr>
            <w:tcW w:w="3969" w:type="dxa"/>
            <w:vMerge/>
          </w:tcPr>
          <w:p w14:paraId="1C647CC4" w14:textId="77777777" w:rsidR="00D72F49" w:rsidRPr="00071EF4" w:rsidRDefault="00D72F49" w:rsidP="00796BDB">
            <w:pPr>
              <w:tabs>
                <w:tab w:val="left" w:pos="851"/>
              </w:tabs>
              <w:spacing w:line="240" w:lineRule="atLeast"/>
              <w:rPr>
                <w:b/>
              </w:rPr>
            </w:pPr>
          </w:p>
        </w:tc>
        <w:tc>
          <w:tcPr>
            <w:tcW w:w="5245" w:type="dxa"/>
          </w:tcPr>
          <w:p w14:paraId="56131EE7" w14:textId="5CA81EB2" w:rsidR="00D72F49" w:rsidRPr="00071EF4" w:rsidRDefault="00D72F49" w:rsidP="00796BDB">
            <w:pPr>
              <w:tabs>
                <w:tab w:val="left" w:pos="851"/>
              </w:tabs>
              <w:spacing w:before="0" w:line="240" w:lineRule="atLeast"/>
              <w:jc w:val="right"/>
              <w:rPr>
                <w:b/>
              </w:rPr>
            </w:pPr>
            <w:r w:rsidRPr="00071EF4">
              <w:rPr>
                <w:b/>
              </w:rPr>
              <w:t xml:space="preserve">Original: </w:t>
            </w:r>
            <w:r w:rsidR="00071EF4" w:rsidRPr="00071EF4">
              <w:rPr>
                <w:b/>
              </w:rPr>
              <w:t>chinois</w:t>
            </w:r>
          </w:p>
        </w:tc>
      </w:tr>
      <w:tr w:rsidR="00D72F49" w:rsidRPr="00071EF4" w14:paraId="27EAE2DC" w14:textId="77777777" w:rsidTr="00796BDB">
        <w:trPr>
          <w:cantSplit/>
          <w:trHeight w:val="23"/>
        </w:trPr>
        <w:tc>
          <w:tcPr>
            <w:tcW w:w="3969" w:type="dxa"/>
          </w:tcPr>
          <w:p w14:paraId="1D23572A" w14:textId="77777777" w:rsidR="00D72F49" w:rsidRPr="00071EF4" w:rsidRDefault="00D72F49" w:rsidP="00796BDB">
            <w:pPr>
              <w:tabs>
                <w:tab w:val="left" w:pos="851"/>
              </w:tabs>
              <w:spacing w:line="240" w:lineRule="atLeast"/>
              <w:rPr>
                <w:b/>
              </w:rPr>
            </w:pPr>
          </w:p>
        </w:tc>
        <w:tc>
          <w:tcPr>
            <w:tcW w:w="5245" w:type="dxa"/>
          </w:tcPr>
          <w:p w14:paraId="6FD3B59B" w14:textId="77777777" w:rsidR="00D72F49" w:rsidRPr="00071EF4" w:rsidRDefault="00D72F49" w:rsidP="00796BDB">
            <w:pPr>
              <w:tabs>
                <w:tab w:val="left" w:pos="851"/>
              </w:tabs>
              <w:spacing w:before="0" w:line="240" w:lineRule="atLeast"/>
              <w:jc w:val="right"/>
              <w:rPr>
                <w:b/>
              </w:rPr>
            </w:pPr>
          </w:p>
        </w:tc>
      </w:tr>
      <w:tr w:rsidR="00D72F49" w:rsidRPr="00071EF4" w14:paraId="26486772" w14:textId="77777777" w:rsidTr="00796BDB">
        <w:trPr>
          <w:cantSplit/>
        </w:trPr>
        <w:tc>
          <w:tcPr>
            <w:tcW w:w="9214" w:type="dxa"/>
            <w:gridSpan w:val="2"/>
            <w:tcMar>
              <w:left w:w="0" w:type="dxa"/>
            </w:tcMar>
          </w:tcPr>
          <w:p w14:paraId="790DECF5" w14:textId="0B67A5B9" w:rsidR="00D72F49" w:rsidRPr="00887D22" w:rsidRDefault="002C6B80" w:rsidP="00796BDB">
            <w:pPr>
              <w:pStyle w:val="Source"/>
              <w:jc w:val="left"/>
              <w:rPr>
                <w:sz w:val="32"/>
                <w:szCs w:val="32"/>
              </w:rPr>
            </w:pPr>
            <w:r w:rsidRPr="00887D22">
              <w:rPr>
                <w:rFonts w:cstheme="minorHAnsi"/>
                <w:bCs/>
                <w:color w:val="000000"/>
                <w:sz w:val="32"/>
                <w:szCs w:val="32"/>
              </w:rPr>
              <w:t xml:space="preserve">Contribution de la Chine (République </w:t>
            </w:r>
            <w:r w:rsidR="00887D22" w:rsidRPr="00887D22">
              <w:rPr>
                <w:rFonts w:cstheme="minorHAnsi"/>
                <w:bCs/>
                <w:color w:val="000000"/>
                <w:sz w:val="32"/>
                <w:szCs w:val="32"/>
              </w:rPr>
              <w:t xml:space="preserve">populaire </w:t>
            </w:r>
            <w:r w:rsidRPr="00887D22">
              <w:rPr>
                <w:rFonts w:cstheme="minorHAnsi"/>
                <w:bCs/>
                <w:color w:val="000000"/>
                <w:sz w:val="32"/>
                <w:szCs w:val="32"/>
              </w:rPr>
              <w:t>de)</w:t>
            </w:r>
            <w:r w:rsidR="00CA7FC3">
              <w:rPr>
                <w:rFonts w:cstheme="minorHAnsi"/>
                <w:bCs/>
                <w:color w:val="000000"/>
                <w:sz w:val="32"/>
                <w:szCs w:val="32"/>
              </w:rPr>
              <w:t xml:space="preserve"> et Cuba</w:t>
            </w:r>
          </w:p>
        </w:tc>
      </w:tr>
      <w:tr w:rsidR="00D72F49" w:rsidRPr="00071EF4" w14:paraId="3E26F165" w14:textId="77777777" w:rsidTr="00796BDB">
        <w:trPr>
          <w:cantSplit/>
        </w:trPr>
        <w:tc>
          <w:tcPr>
            <w:tcW w:w="9214" w:type="dxa"/>
            <w:gridSpan w:val="2"/>
            <w:tcMar>
              <w:left w:w="0" w:type="dxa"/>
            </w:tcMar>
          </w:tcPr>
          <w:p w14:paraId="42B53E61" w14:textId="22F6ED0E" w:rsidR="00D72F49" w:rsidRPr="00071EF4" w:rsidRDefault="00887D22" w:rsidP="00796BDB">
            <w:pPr>
              <w:pStyle w:val="Subtitle"/>
              <w:framePr w:hSpace="0" w:wrap="auto" w:hAnchor="text" w:xAlign="left" w:yAlign="inline"/>
              <w:rPr>
                <w:sz w:val="32"/>
                <w:szCs w:val="32"/>
                <w:lang w:val="fr-FR"/>
              </w:rPr>
            </w:pPr>
            <w:r w:rsidRPr="00071EF4">
              <w:rPr>
                <w:rFonts w:cstheme="minorHAnsi"/>
                <w:sz w:val="32"/>
                <w:szCs w:val="32"/>
                <w:lang w:val="fr-FR"/>
              </w:rPr>
              <w:t>RECOMMANDATIONS SUR LE RENFORCEMENT DE LA TRANSFORMATION DE L'UIT</w:t>
            </w:r>
          </w:p>
        </w:tc>
      </w:tr>
      <w:tr w:rsidR="00D72F49" w:rsidRPr="00071EF4" w14:paraId="0ABEDCA3" w14:textId="77777777" w:rsidTr="00796BDB">
        <w:trPr>
          <w:cantSplit/>
        </w:trPr>
        <w:tc>
          <w:tcPr>
            <w:tcW w:w="9214" w:type="dxa"/>
            <w:gridSpan w:val="2"/>
            <w:tcBorders>
              <w:top w:val="single" w:sz="4" w:space="0" w:color="auto"/>
              <w:bottom w:val="single" w:sz="4" w:space="0" w:color="auto"/>
            </w:tcBorders>
            <w:tcMar>
              <w:left w:w="0" w:type="dxa"/>
            </w:tcMar>
          </w:tcPr>
          <w:p w14:paraId="77078794" w14:textId="77777777" w:rsidR="00D72F49" w:rsidRPr="00071EF4" w:rsidRDefault="00F37FE5" w:rsidP="00796BDB">
            <w:pPr>
              <w:spacing w:before="160"/>
              <w:rPr>
                <w:b/>
                <w:bCs/>
                <w:sz w:val="26"/>
                <w:szCs w:val="26"/>
              </w:rPr>
            </w:pPr>
            <w:r w:rsidRPr="00071EF4">
              <w:rPr>
                <w:b/>
                <w:bCs/>
                <w:sz w:val="26"/>
                <w:szCs w:val="26"/>
              </w:rPr>
              <w:t>Objet</w:t>
            </w:r>
          </w:p>
          <w:p w14:paraId="76E93B70" w14:textId="1066C26A" w:rsidR="00D72F49" w:rsidRPr="00071EF4" w:rsidRDefault="002C6B80" w:rsidP="00887D22">
            <w:pPr>
              <w:jc w:val="both"/>
            </w:pPr>
            <w:r w:rsidRPr="00071EF4">
              <w:t>Dans un contexte de profonde restructuration du système des Nations Unies, de contraintes accrues en matière de ressources et de progrès rapides dans le domaine des technologies numériques, la transformation joue un rôle central pour permettre à l</w:t>
            </w:r>
            <w:r w:rsidR="004F7F4C" w:rsidRPr="00071EF4">
              <w:t>'</w:t>
            </w:r>
            <w:r w:rsidRPr="00071EF4">
              <w:t>Union de mieux s</w:t>
            </w:r>
            <w:r w:rsidR="004F7F4C" w:rsidRPr="00071EF4">
              <w:t>'</w:t>
            </w:r>
            <w:r w:rsidRPr="00071EF4">
              <w:t>acquitter de son mandat fondamental. Par ailleurs, les pratiques de transformation de l</w:t>
            </w:r>
            <w:r w:rsidR="004F7F4C" w:rsidRPr="00071EF4">
              <w:t>'</w:t>
            </w:r>
            <w:r w:rsidRPr="00071EF4">
              <w:t>UIT sont une source d</w:t>
            </w:r>
            <w:r w:rsidR="004F7F4C" w:rsidRPr="00071EF4">
              <w:t>'</w:t>
            </w:r>
            <w:r w:rsidRPr="00071EF4">
              <w:t>expériences et de modèles utiles pour promouvoir la réforme du système des Nations Unies. À la lumière de la participation de l</w:t>
            </w:r>
            <w:r w:rsidR="004F7F4C" w:rsidRPr="00071EF4">
              <w:t>'</w:t>
            </w:r>
            <w:r w:rsidRPr="00071EF4">
              <w:t>UIT à l</w:t>
            </w:r>
            <w:r w:rsidR="004F7F4C" w:rsidRPr="00071EF4">
              <w:t>'</w:t>
            </w:r>
            <w:r w:rsidRPr="00071EF4">
              <w:t>Initiative ONU80, le présent document examine de façon systématique l</w:t>
            </w:r>
            <w:r w:rsidR="004F7F4C" w:rsidRPr="00071EF4">
              <w:t>'</w:t>
            </w:r>
            <w:r w:rsidRPr="00071EF4">
              <w:t>avancement des travaux précédents et propose des recommandations concrètes pour renforcer les efforts de transformation.</w:t>
            </w:r>
          </w:p>
          <w:p w14:paraId="6C9A2F7F" w14:textId="77777777" w:rsidR="00D72F49" w:rsidRPr="00071EF4" w:rsidRDefault="00D72F49" w:rsidP="00796BDB">
            <w:pPr>
              <w:spacing w:before="160"/>
              <w:rPr>
                <w:b/>
                <w:bCs/>
                <w:sz w:val="26"/>
                <w:szCs w:val="26"/>
              </w:rPr>
            </w:pPr>
            <w:r w:rsidRPr="00071EF4">
              <w:rPr>
                <w:b/>
                <w:bCs/>
                <w:sz w:val="26"/>
                <w:szCs w:val="26"/>
              </w:rPr>
              <w:t>Suite à donner par le Conseil</w:t>
            </w:r>
          </w:p>
          <w:p w14:paraId="721D060F" w14:textId="786615E8" w:rsidR="00D72F49" w:rsidRPr="00071EF4" w:rsidRDefault="002C6B80" w:rsidP="00887D22">
            <w:pPr>
              <w:jc w:val="both"/>
            </w:pPr>
            <w:r w:rsidRPr="00071EF4">
              <w:t xml:space="preserve">Le Conseil est invité à </w:t>
            </w:r>
            <w:r w:rsidRPr="00071EF4">
              <w:rPr>
                <w:b/>
                <w:bCs/>
              </w:rPr>
              <w:t xml:space="preserve">examiner </w:t>
            </w:r>
            <w:r w:rsidRPr="00071EF4">
              <w:t>les recommandations figurant dans la présente contribution et à prendre les mesures nécessaires, selon qu'il conviendra.</w:t>
            </w:r>
          </w:p>
          <w:p w14:paraId="46FF16B1" w14:textId="77777777" w:rsidR="00D72F49" w:rsidRPr="00071EF4" w:rsidRDefault="00D72F49" w:rsidP="00796BDB">
            <w:pPr>
              <w:spacing w:before="160"/>
              <w:rPr>
                <w:caps/>
                <w:sz w:val="22"/>
              </w:rPr>
            </w:pPr>
            <w:r w:rsidRPr="00071EF4">
              <w:rPr>
                <w:sz w:val="22"/>
              </w:rPr>
              <w:t>__________________</w:t>
            </w:r>
          </w:p>
          <w:p w14:paraId="43165227" w14:textId="77777777" w:rsidR="00D72F49" w:rsidRPr="00071EF4" w:rsidRDefault="00D72F49" w:rsidP="00796BDB">
            <w:pPr>
              <w:spacing w:before="160"/>
              <w:rPr>
                <w:b/>
                <w:bCs/>
                <w:sz w:val="26"/>
                <w:szCs w:val="26"/>
              </w:rPr>
            </w:pPr>
            <w:r w:rsidRPr="00071EF4">
              <w:rPr>
                <w:b/>
                <w:bCs/>
                <w:sz w:val="26"/>
                <w:szCs w:val="26"/>
              </w:rPr>
              <w:t>Références</w:t>
            </w:r>
          </w:p>
          <w:p w14:paraId="6BF751F8" w14:textId="71D0839B" w:rsidR="002C6B80" w:rsidRPr="00887D22" w:rsidRDefault="002C6B80" w:rsidP="00887D22">
            <w:pPr>
              <w:pStyle w:val="Referencetext"/>
              <w:framePr w:hSpace="0" w:wrap="auto" w:vAnchor="margin" w:hAnchor="text" w:xAlign="left" w:yAlign="inline"/>
              <w:spacing w:after="0"/>
              <w:rPr>
                <w:rFonts w:asciiTheme="minorHAnsi" w:hAnsiTheme="minorHAnsi"/>
              </w:rPr>
            </w:pPr>
            <w:r w:rsidRPr="00887D22">
              <w:t>Résolutions</w:t>
            </w:r>
            <w:r w:rsidR="000B540A" w:rsidRPr="00887D22">
              <w:t xml:space="preserve"> </w:t>
            </w:r>
            <w:r w:rsidRPr="00887D22">
              <w:t>du Conseil</w:t>
            </w:r>
            <w:r w:rsidR="000B540A" w:rsidRPr="00887D22">
              <w:t>:</w:t>
            </w:r>
            <w:r w:rsidRPr="00887D22">
              <w:t xml:space="preserve"> </w:t>
            </w:r>
            <w:hyperlink r:id="rId7" w:history="1">
              <w:r w:rsidRPr="00887D22">
                <w:rPr>
                  <w:rStyle w:val="Hyperlink"/>
                  <w:rFonts w:eastAsia="Times New Roman" w:cs="Times New Roman"/>
                </w:rPr>
                <w:t>Résolutions 1412, 1413, 1418, 1427 et 1434</w:t>
              </w:r>
            </w:hyperlink>
            <w:r w:rsidRPr="00887D22">
              <w:t>;</w:t>
            </w:r>
            <w:hyperlink r:id="rId8" w:history="1"/>
          </w:p>
          <w:p w14:paraId="0A107A14" w14:textId="3BA23935" w:rsidR="002C6B80" w:rsidRPr="00887D22" w:rsidRDefault="002C6B80" w:rsidP="00887D22">
            <w:pPr>
              <w:pStyle w:val="Referencetext"/>
              <w:framePr w:hSpace="0" w:wrap="auto" w:vAnchor="margin" w:hAnchor="text" w:xAlign="left" w:yAlign="inline"/>
              <w:spacing w:before="80" w:after="120"/>
              <w:rPr>
                <w:rFonts w:asciiTheme="minorHAnsi" w:hAnsiTheme="minorHAnsi"/>
              </w:rPr>
            </w:pPr>
            <w:r w:rsidRPr="00887D22">
              <w:t>Documents du Conseil</w:t>
            </w:r>
            <w:r w:rsidR="000B540A" w:rsidRPr="00887D22">
              <w:t>:</w:t>
            </w:r>
            <w:r w:rsidRPr="00887D22">
              <w:t xml:space="preserve"> </w:t>
            </w:r>
            <w:hyperlink r:id="rId9" w:history="1">
              <w:r w:rsidRPr="00887D22">
                <w:rPr>
                  <w:rStyle w:val="Hyperlink"/>
                  <w:rFonts w:eastAsia="Times New Roman" w:cs="Times New Roman"/>
                </w:rPr>
                <w:t>Document C26/61</w:t>
              </w:r>
            </w:hyperlink>
            <w:r w:rsidRPr="00887D22">
              <w:t xml:space="preserve"> sur la contribution de l</w:t>
            </w:r>
            <w:r w:rsidR="004F7F4C" w:rsidRPr="00887D22">
              <w:t>'</w:t>
            </w:r>
            <w:r w:rsidRPr="00887D22">
              <w:t>UIT à l</w:t>
            </w:r>
            <w:r w:rsidR="004F7F4C" w:rsidRPr="00887D22">
              <w:t>'</w:t>
            </w:r>
            <w:r w:rsidRPr="00887D22">
              <w:t xml:space="preserve">Initiative ONU80; </w:t>
            </w:r>
            <w:hyperlink r:id="rId10" w:history="1">
              <w:r w:rsidRPr="00887D22">
                <w:rPr>
                  <w:rStyle w:val="Hyperlink"/>
                  <w:rFonts w:eastAsia="Times New Roman" w:cs="Times New Roman"/>
                </w:rPr>
                <w:t>Documents C23/52</w:t>
              </w:r>
            </w:hyperlink>
            <w:r w:rsidRPr="00887D22">
              <w:t xml:space="preserve">, </w:t>
            </w:r>
            <w:hyperlink r:id="rId11" w:history="1">
              <w:r w:rsidRPr="00887D22">
                <w:rPr>
                  <w:rStyle w:val="Hyperlink"/>
                  <w:rFonts w:eastAsia="Times New Roman" w:cs="Times New Roman"/>
                </w:rPr>
                <w:t>C23/62</w:t>
              </w:r>
            </w:hyperlink>
            <w:r w:rsidRPr="00887D22">
              <w:t xml:space="preserve">, </w:t>
            </w:r>
            <w:hyperlink r:id="rId12" w:history="1">
              <w:r w:rsidRPr="00887D22">
                <w:rPr>
                  <w:rStyle w:val="Hyperlink"/>
                  <w:rFonts w:eastAsia="Times New Roman" w:cs="Times New Roman"/>
                </w:rPr>
                <w:t>C23/INF/11</w:t>
              </w:r>
            </w:hyperlink>
            <w:r w:rsidRPr="00887D22">
              <w:t xml:space="preserve">, </w:t>
            </w:r>
            <w:hyperlink r:id="rId13" w:history="1">
              <w:r w:rsidR="000B540A" w:rsidRPr="00887D22">
                <w:rPr>
                  <w:rStyle w:val="Hyperlink"/>
                  <w:rFonts w:eastAsia="SimSun" w:cs="Calibri"/>
                  <w:lang w:eastAsia="zh-CN"/>
                </w:rPr>
                <w:t>C23/INF/13</w:t>
              </w:r>
            </w:hyperlink>
            <w:r w:rsidR="000B540A" w:rsidRPr="00887D22">
              <w:rPr>
                <w:rFonts w:asciiTheme="minorHAnsi" w:hAnsiTheme="minorHAnsi"/>
              </w:rPr>
              <w:t>,</w:t>
            </w:r>
            <w:r w:rsidR="000B540A" w:rsidRPr="00887D22">
              <w:rPr>
                <w:rFonts w:asciiTheme="minorHAnsi" w:hAnsiTheme="minorHAnsi"/>
                <w:lang w:eastAsia="zh-CN"/>
              </w:rPr>
              <w:t xml:space="preserve"> </w:t>
            </w:r>
            <w:hyperlink r:id="rId14" w:history="1">
              <w:r w:rsidR="000B540A" w:rsidRPr="00887D22">
                <w:rPr>
                  <w:rStyle w:val="Hyperlink"/>
                  <w:rFonts w:eastAsia="SimSun" w:cs="Calibri"/>
                  <w:lang w:eastAsia="zh-CN"/>
                </w:rPr>
                <w:t>C23/DL/7</w:t>
              </w:r>
            </w:hyperlink>
            <w:r w:rsidR="000B540A" w:rsidRPr="00887D22">
              <w:t xml:space="preserve"> </w:t>
            </w:r>
            <w:r w:rsidRPr="00887D22">
              <w:t xml:space="preserve">et </w:t>
            </w:r>
            <w:hyperlink r:id="rId15" w:history="1">
              <w:r w:rsidRPr="00887D22">
                <w:rPr>
                  <w:rStyle w:val="Hyperlink"/>
                  <w:rFonts w:eastAsia="Times New Roman" w:cs="Times New Roman"/>
                </w:rPr>
                <w:t>C23-ADD/INF/1</w:t>
              </w:r>
            </w:hyperlink>
            <w:r w:rsidRPr="00887D22">
              <w:t xml:space="preserve"> sur la création du Bureau de la transformation et la confirmation de son mandat en 2023</w:t>
            </w:r>
            <w:r w:rsidR="000B540A" w:rsidRPr="00887D22">
              <w:t>;</w:t>
            </w:r>
            <w:r w:rsidRPr="00887D22">
              <w:t xml:space="preserve"> </w:t>
            </w:r>
            <w:hyperlink r:id="rId16" w:history="1">
              <w:r w:rsidRPr="00887D22">
                <w:rPr>
                  <w:rStyle w:val="Hyperlink"/>
                  <w:rFonts w:eastAsia="Times New Roman" w:cs="Times New Roman"/>
                </w:rPr>
                <w:t>Documents C24/19</w:t>
              </w:r>
            </w:hyperlink>
            <w:r w:rsidRPr="00887D22">
              <w:t xml:space="preserve">, </w:t>
            </w:r>
            <w:hyperlink r:id="rId17" w:history="1">
              <w:r w:rsidR="000B540A" w:rsidRPr="00887D22">
                <w:rPr>
                  <w:rStyle w:val="Hyperlink"/>
                  <w:rFonts w:eastAsia="SimSun" w:cs="Calibri"/>
                  <w:lang w:eastAsia="zh-CN"/>
                </w:rPr>
                <w:t>C24/31</w:t>
              </w:r>
            </w:hyperlink>
            <w:r w:rsidR="000B540A" w:rsidRPr="00887D22">
              <w:rPr>
                <w:rFonts w:asciiTheme="minorHAnsi" w:hAnsiTheme="minorHAnsi"/>
              </w:rPr>
              <w:t>,</w:t>
            </w:r>
            <w:r w:rsidR="000B540A" w:rsidRPr="00887D22">
              <w:rPr>
                <w:rFonts w:asciiTheme="minorHAnsi" w:hAnsiTheme="minorHAnsi"/>
                <w:lang w:eastAsia="zh-CN"/>
              </w:rPr>
              <w:t xml:space="preserve"> </w:t>
            </w:r>
            <w:hyperlink r:id="rId18" w:history="1">
              <w:r w:rsidR="000B540A" w:rsidRPr="00887D22">
                <w:rPr>
                  <w:rStyle w:val="Hyperlink"/>
                  <w:rFonts w:eastAsia="SimSun" w:cs="Calibri"/>
                  <w:lang w:eastAsia="zh-CN"/>
                </w:rPr>
                <w:t>C24/52</w:t>
              </w:r>
            </w:hyperlink>
            <w:r w:rsidR="000B540A" w:rsidRPr="00887D22">
              <w:rPr>
                <w:rFonts w:asciiTheme="minorHAnsi" w:hAnsiTheme="minorHAnsi"/>
              </w:rPr>
              <w:t>,</w:t>
            </w:r>
            <w:r w:rsidR="000B540A" w:rsidRPr="00887D22">
              <w:rPr>
                <w:rFonts w:asciiTheme="minorHAnsi" w:hAnsiTheme="minorHAnsi"/>
                <w:lang w:eastAsia="zh-CN"/>
              </w:rPr>
              <w:t xml:space="preserve"> </w:t>
            </w:r>
            <w:hyperlink r:id="rId19" w:history="1">
              <w:r w:rsidR="000B540A" w:rsidRPr="00887D22">
                <w:rPr>
                  <w:rStyle w:val="Hyperlink"/>
                  <w:rFonts w:eastAsia="SimSun" w:cs="Calibri"/>
                  <w:lang w:eastAsia="zh-CN"/>
                </w:rPr>
                <w:t>C24/73</w:t>
              </w:r>
            </w:hyperlink>
            <w:r w:rsidR="000B540A" w:rsidRPr="00887D22">
              <w:rPr>
                <w:rFonts w:asciiTheme="minorHAnsi" w:hAnsiTheme="minorHAnsi"/>
              </w:rPr>
              <w:t>,</w:t>
            </w:r>
            <w:r w:rsidR="000B540A" w:rsidRPr="00887D22">
              <w:rPr>
                <w:rFonts w:asciiTheme="minorHAnsi" w:hAnsiTheme="minorHAnsi"/>
                <w:lang w:eastAsia="zh-CN"/>
              </w:rPr>
              <w:t xml:space="preserve"> </w:t>
            </w:r>
            <w:hyperlink r:id="rId20" w:history="1">
              <w:r w:rsidR="000B540A" w:rsidRPr="00887D22">
                <w:rPr>
                  <w:rStyle w:val="Hyperlink"/>
                  <w:rFonts w:eastAsia="SimSun" w:cs="Calibri"/>
                  <w:lang w:eastAsia="zh-CN"/>
                </w:rPr>
                <w:t>C25/43</w:t>
              </w:r>
            </w:hyperlink>
            <w:r w:rsidR="000B540A" w:rsidRPr="00887D22">
              <w:rPr>
                <w:rFonts w:asciiTheme="minorHAnsi" w:hAnsiTheme="minorHAnsi"/>
              </w:rPr>
              <w:t>,</w:t>
            </w:r>
            <w:r w:rsidR="000B540A" w:rsidRPr="00887D22">
              <w:rPr>
                <w:rFonts w:asciiTheme="minorHAnsi" w:hAnsiTheme="minorHAnsi"/>
                <w:lang w:eastAsia="zh-CN"/>
              </w:rPr>
              <w:t xml:space="preserve"> </w:t>
            </w:r>
            <w:hyperlink r:id="rId21" w:history="1">
              <w:r w:rsidR="000B540A" w:rsidRPr="00887D22">
                <w:rPr>
                  <w:rStyle w:val="Hyperlink"/>
                  <w:rFonts w:eastAsia="SimSun" w:cs="Calibri"/>
                  <w:lang w:eastAsia="zh-CN"/>
                </w:rPr>
                <w:t>C25/55</w:t>
              </w:r>
            </w:hyperlink>
            <w:r w:rsidRPr="00887D22">
              <w:t xml:space="preserve"> et </w:t>
            </w:r>
            <w:hyperlink r:id="rId22" w:history="1">
              <w:r w:rsidRPr="00887D22">
                <w:rPr>
                  <w:rStyle w:val="Hyperlink"/>
                  <w:rFonts w:eastAsia="Times New Roman" w:cs="Times New Roman"/>
                </w:rPr>
                <w:t>C25/66</w:t>
              </w:r>
            </w:hyperlink>
            <w:r w:rsidRPr="00887D22">
              <w:t xml:space="preserve"> sur les travaux relatifs à la transformation pour la période 2024-2025</w:t>
            </w:r>
            <w:r w:rsidR="000B540A" w:rsidRPr="00887D22">
              <w:t>;</w:t>
            </w:r>
            <w:r w:rsidRPr="00887D22">
              <w:t xml:space="preserve"> </w:t>
            </w:r>
            <w:hyperlink r:id="rId23" w:history="1">
              <w:r w:rsidRPr="00887D22">
                <w:rPr>
                  <w:rStyle w:val="Hyperlink"/>
                  <w:rFonts w:eastAsia="Times New Roman" w:cs="Times New Roman"/>
                </w:rPr>
                <w:t>Documents C26/42</w:t>
              </w:r>
            </w:hyperlink>
            <w:r w:rsidRPr="00887D22">
              <w:t xml:space="preserve">, </w:t>
            </w:r>
            <w:hyperlink r:id="rId24" w:history="1">
              <w:r w:rsidR="000B540A" w:rsidRPr="00887D22">
                <w:rPr>
                  <w:rStyle w:val="Hyperlink"/>
                  <w:rFonts w:eastAsia="SimSun"/>
                  <w:lang w:eastAsia="zh-CN"/>
                </w:rPr>
                <w:t>C26/55</w:t>
              </w:r>
            </w:hyperlink>
            <w:r w:rsidR="000B540A" w:rsidRPr="00887D22">
              <w:rPr>
                <w:lang w:eastAsia="zh-CN"/>
              </w:rPr>
              <w:t xml:space="preserve"> </w:t>
            </w:r>
            <w:r w:rsidR="000B540A" w:rsidRPr="00887D22">
              <w:rPr>
                <w:rFonts w:asciiTheme="minorHAnsi" w:hAnsiTheme="minorHAnsi"/>
                <w:lang w:eastAsia="zh-CN"/>
              </w:rPr>
              <w:t>et</w:t>
            </w:r>
            <w:r w:rsidR="000B540A" w:rsidRPr="00887D22">
              <w:rPr>
                <w:rFonts w:asciiTheme="minorHAnsi" w:hAnsiTheme="minorHAnsi"/>
              </w:rPr>
              <w:t xml:space="preserve"> </w:t>
            </w:r>
            <w:hyperlink r:id="rId25" w:history="1">
              <w:r w:rsidR="000B540A" w:rsidRPr="00887D22">
                <w:rPr>
                  <w:rStyle w:val="Hyperlink"/>
                  <w:rFonts w:eastAsia="SimSun"/>
                  <w:lang w:eastAsia="zh-CN"/>
                </w:rPr>
                <w:t>C26/62</w:t>
              </w:r>
            </w:hyperlink>
            <w:r w:rsidR="000B540A" w:rsidRPr="00887D22">
              <w:t xml:space="preserve"> </w:t>
            </w:r>
            <w:r w:rsidRPr="00887D22">
              <w:t>sur l</w:t>
            </w:r>
            <w:r w:rsidR="004F7F4C" w:rsidRPr="00887D22">
              <w:t>'</w:t>
            </w:r>
            <w:r w:rsidRPr="00887D22">
              <w:t>avancement des travaux de transformation et les incidences financières connexes pour</w:t>
            </w:r>
            <w:r w:rsidR="000B540A" w:rsidRPr="00887D22">
              <w:t> </w:t>
            </w:r>
            <w:r w:rsidRPr="00887D22">
              <w:t>2026</w:t>
            </w:r>
            <w:r w:rsidR="000B540A" w:rsidRPr="00887D22">
              <w:t>;</w:t>
            </w:r>
            <w:r w:rsidRPr="00887D22">
              <w:t xml:space="preserve"> </w:t>
            </w:r>
            <w:hyperlink r:id="rId26" w:history="1">
              <w:r w:rsidRPr="00887D22">
                <w:rPr>
                  <w:rStyle w:val="Hyperlink"/>
                  <w:rFonts w:eastAsia="Times New Roman" w:cs="Times New Roman"/>
                </w:rPr>
                <w:t>Document C26/22</w:t>
              </w:r>
            </w:hyperlink>
            <w:r w:rsidRPr="00887D22">
              <w:t xml:space="preserve"> sur les opinions et recommandations du Comité consultatif indépendant pour les questions de gestion</w:t>
            </w:r>
            <w:r w:rsidR="000B540A" w:rsidRPr="00887D22">
              <w:t>;</w:t>
            </w:r>
            <w:hyperlink r:id="rId27" w:history="1"/>
            <w:hyperlink r:id="rId28" w:history="1"/>
            <w:hyperlink r:id="rId29" w:history="1"/>
            <w:hyperlink r:id="rId30" w:history="1"/>
            <w:hyperlink r:id="rId31" w:history="1"/>
            <w:hyperlink r:id="rId32" w:history="1"/>
            <w:hyperlink r:id="rId33" w:history="1"/>
            <w:hyperlink r:id="rId34" w:history="1"/>
            <w:hyperlink r:id="rId35" w:history="1"/>
            <w:hyperlink r:id="rId36" w:history="1"/>
            <w:hyperlink r:id="rId37" w:history="1"/>
            <w:hyperlink r:id="rId38" w:history="1"/>
            <w:hyperlink r:id="rId39" w:history="1"/>
            <w:hyperlink r:id="rId40" w:history="1"/>
            <w:hyperlink r:id="rId41" w:history="1"/>
            <w:hyperlink r:id="rId42" w:history="1"/>
            <w:hyperlink r:id="rId43" w:history="1"/>
            <w:hyperlink r:id="rId44" w:history="1"/>
          </w:p>
          <w:p w14:paraId="352802CB" w14:textId="3C49F8BE" w:rsidR="002C6B80" w:rsidRPr="00887D22" w:rsidRDefault="002C6B80" w:rsidP="00887D22">
            <w:pPr>
              <w:pStyle w:val="Referencetext"/>
              <w:framePr w:hSpace="0" w:wrap="auto" w:vAnchor="margin" w:hAnchor="text" w:xAlign="left" w:yAlign="inline"/>
              <w:spacing w:before="80" w:after="120"/>
              <w:rPr>
                <w:rFonts w:asciiTheme="minorHAnsi" w:hAnsiTheme="minorHAnsi"/>
              </w:rPr>
            </w:pPr>
            <w:r w:rsidRPr="00887D22">
              <w:t>Documents du GTC-FHR</w:t>
            </w:r>
            <w:r w:rsidR="000B540A" w:rsidRPr="00887D22">
              <w:t>:</w:t>
            </w:r>
            <w:r w:rsidRPr="00887D22">
              <w:t xml:space="preserve"> </w:t>
            </w:r>
            <w:hyperlink r:id="rId45" w:history="1">
              <w:r w:rsidRPr="00887D22">
                <w:rPr>
                  <w:rStyle w:val="Hyperlink"/>
                  <w:rFonts w:eastAsia="Times New Roman" w:cs="Times New Roman"/>
                </w:rPr>
                <w:t>Documents CWG-FHR-19/15</w:t>
              </w:r>
            </w:hyperlink>
            <w:r w:rsidRPr="00887D22">
              <w:t xml:space="preserve">, </w:t>
            </w:r>
            <w:hyperlink r:id="rId46" w:history="1">
              <w:r w:rsidR="000B540A" w:rsidRPr="00887D22">
                <w:rPr>
                  <w:rStyle w:val="Hyperlink"/>
                  <w:rFonts w:eastAsia="SimSun"/>
                  <w:lang w:eastAsia="zh-CN"/>
                </w:rPr>
                <w:t>CWG-FHR-21/25</w:t>
              </w:r>
            </w:hyperlink>
            <w:r w:rsidR="000B540A" w:rsidRPr="00887D22">
              <w:rPr>
                <w:rFonts w:asciiTheme="minorHAnsi" w:hAnsiTheme="minorHAnsi"/>
              </w:rPr>
              <w:t xml:space="preserve">, </w:t>
            </w:r>
            <w:hyperlink r:id="rId47" w:history="1">
              <w:r w:rsidR="000B540A" w:rsidRPr="00887D22">
                <w:rPr>
                  <w:rStyle w:val="Hyperlink"/>
                  <w:rFonts w:eastAsia="SimSun"/>
                  <w:lang w:eastAsia="zh-CN"/>
                </w:rPr>
                <w:t>CWG-FHR-22/12</w:t>
              </w:r>
            </w:hyperlink>
            <w:r w:rsidR="000B540A" w:rsidRPr="00887D22">
              <w:rPr>
                <w:rFonts w:asciiTheme="minorHAnsi" w:hAnsiTheme="minorHAnsi"/>
              </w:rPr>
              <w:t xml:space="preserve">, </w:t>
            </w:r>
            <w:hyperlink r:id="rId48" w:history="1">
              <w:r w:rsidR="000B540A" w:rsidRPr="00887D22">
                <w:rPr>
                  <w:rStyle w:val="Hyperlink"/>
                  <w:rFonts w:eastAsia="SimSun"/>
                  <w:lang w:eastAsia="zh-CN"/>
                </w:rPr>
                <w:t>CWG-FHR-22/14</w:t>
              </w:r>
            </w:hyperlink>
            <w:r w:rsidR="000B540A" w:rsidRPr="00887D22">
              <w:rPr>
                <w:rFonts w:asciiTheme="minorHAnsi" w:hAnsiTheme="minorHAnsi"/>
              </w:rPr>
              <w:t xml:space="preserve">, </w:t>
            </w:r>
            <w:hyperlink r:id="rId49" w:history="1">
              <w:r w:rsidR="000B540A" w:rsidRPr="00887D22">
                <w:rPr>
                  <w:rStyle w:val="Hyperlink"/>
                  <w:rFonts w:eastAsia="SimSun"/>
                  <w:lang w:eastAsia="zh-CN"/>
                </w:rPr>
                <w:t>CWG-FHR-22/15</w:t>
              </w:r>
            </w:hyperlink>
            <w:r w:rsidR="000B540A" w:rsidRPr="00887D22">
              <w:rPr>
                <w:rFonts w:asciiTheme="minorHAnsi" w:hAnsiTheme="minorHAnsi"/>
              </w:rPr>
              <w:t xml:space="preserve"> </w:t>
            </w:r>
            <w:r w:rsidR="000B540A" w:rsidRPr="00887D22">
              <w:rPr>
                <w:rFonts w:asciiTheme="minorHAnsi" w:hAnsiTheme="minorHAnsi"/>
                <w:lang w:eastAsia="zh-CN"/>
              </w:rPr>
              <w:t xml:space="preserve">et </w:t>
            </w:r>
            <w:hyperlink r:id="rId50" w:history="1">
              <w:r w:rsidR="000B540A" w:rsidRPr="00887D22">
                <w:rPr>
                  <w:rStyle w:val="Hyperlink"/>
                  <w:rFonts w:eastAsia="SimSun"/>
                  <w:lang w:eastAsia="zh-CN"/>
                </w:rPr>
                <w:t>CWG-FHR-22/17</w:t>
              </w:r>
            </w:hyperlink>
            <w:r w:rsidR="000B540A" w:rsidRPr="00887D22">
              <w:t xml:space="preserve"> </w:t>
            </w:r>
            <w:r w:rsidRPr="00887D22">
              <w:t>sur les rapports soumis par le Secrétariat général au GTC-FHR</w:t>
            </w:r>
            <w:r w:rsidR="000B540A" w:rsidRPr="00887D22">
              <w:t>;</w:t>
            </w:r>
            <w:hyperlink r:id="rId51" w:history="1"/>
            <w:hyperlink r:id="rId52" w:history="1"/>
            <w:hyperlink r:id="rId53" w:history="1"/>
            <w:hyperlink r:id="rId54" w:history="1"/>
            <w:hyperlink r:id="rId55" w:history="1"/>
            <w:hyperlink r:id="rId56" w:history="1"/>
          </w:p>
          <w:p w14:paraId="4A5A7171" w14:textId="075A7D64" w:rsidR="00D72F49" w:rsidRPr="00071EF4" w:rsidRDefault="002C6B80" w:rsidP="00887D22">
            <w:pPr>
              <w:pStyle w:val="Referencetext"/>
              <w:framePr w:hSpace="0" w:wrap="auto" w:vAnchor="margin" w:hAnchor="text" w:xAlign="left" w:yAlign="inline"/>
              <w:spacing w:before="80"/>
              <w:rPr>
                <w:sz w:val="24"/>
                <w:szCs w:val="24"/>
              </w:rPr>
            </w:pPr>
            <w:r w:rsidRPr="00887D22">
              <w:rPr>
                <w:color w:val="000000"/>
              </w:rPr>
              <w:t>Contribution de la Chine sur la transformation (</w:t>
            </w:r>
            <w:hyperlink r:id="rId57" w:history="1">
              <w:r w:rsidRPr="00887D22">
                <w:rPr>
                  <w:rStyle w:val="Hyperlink"/>
                  <w:rFonts w:eastAsia="Times New Roman" w:cs="Times New Roman"/>
                </w:rPr>
                <w:t>CWG-FHR-22/30</w:t>
              </w:r>
            </w:hyperlink>
            <w:r w:rsidRPr="00887D22">
              <w:rPr>
                <w:color w:val="000000"/>
              </w:rPr>
              <w:t>)</w:t>
            </w:r>
          </w:p>
        </w:tc>
      </w:tr>
    </w:tbl>
    <w:p w14:paraId="2F102F5A" w14:textId="77777777" w:rsidR="002C6B80" w:rsidRPr="00071EF4" w:rsidRDefault="002C6B80" w:rsidP="002C6B80">
      <w:pPr>
        <w:pStyle w:val="Heading1"/>
        <w:rPr>
          <w:rFonts w:eastAsia="SimSun"/>
        </w:rPr>
      </w:pPr>
      <w:r w:rsidRPr="00071EF4">
        <w:rPr>
          <w:bCs/>
        </w:rPr>
        <w:lastRenderedPageBreak/>
        <w:t>1</w:t>
      </w:r>
      <w:r w:rsidRPr="00071EF4">
        <w:tab/>
      </w:r>
      <w:r w:rsidRPr="00071EF4">
        <w:rPr>
          <w:bCs/>
        </w:rPr>
        <w:t>Considérations générales</w:t>
      </w:r>
    </w:p>
    <w:p w14:paraId="1AF54CB1" w14:textId="76A03195" w:rsidR="002C6B80" w:rsidRPr="00071EF4" w:rsidRDefault="002C6B80" w:rsidP="00887D22">
      <w:pPr>
        <w:jc w:val="both"/>
        <w:rPr>
          <w:rFonts w:eastAsia="SimSun"/>
        </w:rPr>
      </w:pPr>
      <w:r w:rsidRPr="00071EF4">
        <w:t>L</w:t>
      </w:r>
      <w:r w:rsidR="004F7F4C" w:rsidRPr="00071EF4">
        <w:t>'</w:t>
      </w:r>
      <w:r w:rsidRPr="00071EF4">
        <w:t>équipe de direction de l</w:t>
      </w:r>
      <w:r w:rsidR="004F7F4C" w:rsidRPr="00071EF4">
        <w:t>'</w:t>
      </w:r>
      <w:r w:rsidRPr="00071EF4">
        <w:t>UIT a lancé, en 2023, une initiative de transformation et a approuvé la création d</w:t>
      </w:r>
      <w:r w:rsidR="004F7F4C" w:rsidRPr="00071EF4">
        <w:t>'</w:t>
      </w:r>
      <w:r w:rsidRPr="00071EF4">
        <w:t>un bureau de la transformation, dirigé par un chef de grade D.1 (pour une durée limitée de 2</w:t>
      </w:r>
      <w:r w:rsidR="00C84236" w:rsidRPr="00071EF4">
        <w:t xml:space="preserve"> </w:t>
      </w:r>
      <w:r w:rsidRPr="00071EF4">
        <w:t>+</w:t>
      </w:r>
      <w:r w:rsidR="00C84236" w:rsidRPr="00071EF4">
        <w:t xml:space="preserve"> </w:t>
      </w:r>
      <w:r w:rsidRPr="00071EF4">
        <w:t>2 ans) et chargé d</w:t>
      </w:r>
      <w:r w:rsidR="004F7F4C" w:rsidRPr="00071EF4">
        <w:t>'</w:t>
      </w:r>
      <w:r w:rsidRPr="00071EF4">
        <w:t>améliorer l</w:t>
      </w:r>
      <w:r w:rsidR="004F7F4C" w:rsidRPr="00071EF4">
        <w:t>'</w:t>
      </w:r>
      <w:r w:rsidRPr="00071EF4">
        <w:t>excellence institutionnelle en matière de gestion administrative, par exemple en ce qui concerne les ressources humaines, les ressources financières et les services informatiques (</w:t>
      </w:r>
      <w:hyperlink r:id="rId58" w:history="1">
        <w:r w:rsidRPr="00071EF4">
          <w:rPr>
            <w:rStyle w:val="Hyperlink"/>
            <w:rFonts w:eastAsia="Times New Roman" w:cs="Times New Roman"/>
            <w:szCs w:val="20"/>
          </w:rPr>
          <w:t>Documents C23/52</w:t>
        </w:r>
      </w:hyperlink>
      <w:r w:rsidRPr="00071EF4">
        <w:t xml:space="preserve"> et </w:t>
      </w:r>
      <w:hyperlink r:id="rId59" w:history="1">
        <w:r w:rsidRPr="00071EF4">
          <w:rPr>
            <w:rStyle w:val="Hyperlink"/>
            <w:rFonts w:eastAsia="Times New Roman" w:cs="Times New Roman"/>
            <w:szCs w:val="20"/>
          </w:rPr>
          <w:t>C23/DL/7</w:t>
        </w:r>
      </w:hyperlink>
      <w:r w:rsidRPr="00071EF4">
        <w:t>). Plusieurs États Membres, dont la Chine, les Émirats arabes unis, l</w:t>
      </w:r>
      <w:r w:rsidR="004F7F4C" w:rsidRPr="00071EF4">
        <w:t>'</w:t>
      </w:r>
      <w:r w:rsidRPr="00071EF4">
        <w:t>Arabie saoudite, l</w:t>
      </w:r>
      <w:r w:rsidR="004F7F4C" w:rsidRPr="00071EF4">
        <w:t>'</w:t>
      </w:r>
      <w:r w:rsidRPr="00071EF4">
        <w:t>Égypte, le Maroc, la Fédération de Russie et la Suisse, ont soumis des contributions et formulé activement des observations à ce sujet.</w:t>
      </w:r>
      <w:hyperlink r:id="rId60" w:history="1"/>
      <w:hyperlink r:id="rId61" w:history="1"/>
    </w:p>
    <w:p w14:paraId="4F8BD03B" w14:textId="1A1F8A8E" w:rsidR="002C6B80" w:rsidRPr="00071EF4" w:rsidRDefault="002C6B80" w:rsidP="00887D22">
      <w:pPr>
        <w:jc w:val="both"/>
        <w:rPr>
          <w:rFonts w:eastAsia="SimSun"/>
        </w:rPr>
      </w:pPr>
      <w:r w:rsidRPr="00071EF4">
        <w:t>Comme suite au rapport établi par le Secrétariat, la Chine a soumis à la réunion de janvier</w:t>
      </w:r>
      <w:r w:rsidR="00427ECE" w:rsidRPr="00071EF4">
        <w:t> </w:t>
      </w:r>
      <w:r w:rsidRPr="00071EF4">
        <w:t>2026 du Groupe de travail du Conseil sur les ressources financières et les ressources humaines (GTC-FHR) une proposition décrivant les progrès accomplis en matière de transformation depuis 2023 (</w:t>
      </w:r>
      <w:hyperlink r:id="rId62" w:history="1">
        <w:r w:rsidRPr="00071EF4">
          <w:rPr>
            <w:rStyle w:val="Hyperlink"/>
            <w:rFonts w:eastAsia="Times New Roman" w:cs="Times New Roman"/>
            <w:szCs w:val="20"/>
          </w:rPr>
          <w:t>Document CWG-FHR-22/30</w:t>
        </w:r>
      </w:hyperlink>
      <w:r w:rsidRPr="00071EF4">
        <w:t>) et contenant des observations et des opinions. Compte tenu des rapports les plus récents soumis par le Secrétariat (</w:t>
      </w:r>
      <w:hyperlink r:id="rId63" w:history="1">
        <w:r w:rsidRPr="00071EF4">
          <w:rPr>
            <w:rStyle w:val="Hyperlink"/>
            <w:rFonts w:eastAsia="Times New Roman" w:cs="Times New Roman"/>
            <w:szCs w:val="20"/>
          </w:rPr>
          <w:t>Documents C26/22</w:t>
        </w:r>
      </w:hyperlink>
      <w:r w:rsidRPr="00071EF4">
        <w:t xml:space="preserve">, </w:t>
      </w:r>
      <w:hyperlink r:id="rId64" w:history="1">
        <w:r w:rsidR="00427ECE" w:rsidRPr="00071EF4">
          <w:rPr>
            <w:rStyle w:val="Hyperlink"/>
            <w:rFonts w:eastAsia="SimSun"/>
            <w:szCs w:val="24"/>
            <w:lang w:eastAsia="zh-CN"/>
          </w:rPr>
          <w:t>C26/42</w:t>
        </w:r>
      </w:hyperlink>
      <w:r w:rsidR="00427ECE" w:rsidRPr="00071EF4">
        <w:rPr>
          <w:rFonts w:asciiTheme="minorHAnsi" w:hAnsiTheme="minorHAnsi"/>
          <w:szCs w:val="24"/>
        </w:rPr>
        <w:t>,</w:t>
      </w:r>
      <w:r w:rsidR="00427ECE" w:rsidRPr="00071EF4">
        <w:rPr>
          <w:rFonts w:asciiTheme="minorHAnsi" w:hAnsiTheme="minorHAnsi"/>
          <w:szCs w:val="24"/>
          <w:lang w:eastAsia="zh-CN"/>
        </w:rPr>
        <w:t xml:space="preserve"> </w:t>
      </w:r>
      <w:hyperlink r:id="rId65" w:history="1">
        <w:r w:rsidR="00427ECE" w:rsidRPr="00071EF4">
          <w:rPr>
            <w:rStyle w:val="Hyperlink"/>
            <w:rFonts w:eastAsia="SimSun"/>
            <w:szCs w:val="24"/>
            <w:lang w:eastAsia="zh-CN"/>
          </w:rPr>
          <w:t>C26/55</w:t>
        </w:r>
      </w:hyperlink>
      <w:r w:rsidR="00427ECE" w:rsidRPr="00071EF4">
        <w:rPr>
          <w:szCs w:val="24"/>
          <w:lang w:eastAsia="zh-CN"/>
        </w:rPr>
        <w:t xml:space="preserve"> </w:t>
      </w:r>
      <w:r w:rsidR="00427ECE" w:rsidRPr="00071EF4">
        <w:rPr>
          <w:rFonts w:asciiTheme="minorHAnsi" w:hAnsiTheme="minorHAnsi"/>
          <w:szCs w:val="24"/>
          <w:lang w:eastAsia="zh-CN"/>
        </w:rPr>
        <w:t>et</w:t>
      </w:r>
      <w:r w:rsidR="00427ECE" w:rsidRPr="00071EF4">
        <w:rPr>
          <w:rFonts w:asciiTheme="minorHAnsi" w:hAnsiTheme="minorHAnsi"/>
          <w:szCs w:val="24"/>
        </w:rPr>
        <w:t xml:space="preserve"> </w:t>
      </w:r>
      <w:hyperlink r:id="rId66" w:history="1">
        <w:r w:rsidR="00427ECE" w:rsidRPr="00071EF4">
          <w:rPr>
            <w:rStyle w:val="Hyperlink"/>
            <w:rFonts w:eastAsia="SimSun"/>
            <w:szCs w:val="24"/>
            <w:lang w:eastAsia="zh-CN"/>
          </w:rPr>
          <w:t>C26/62</w:t>
        </w:r>
      </w:hyperlink>
      <w:r w:rsidRPr="00071EF4">
        <w:t>), l</w:t>
      </w:r>
      <w:r w:rsidR="004F7F4C" w:rsidRPr="00071EF4">
        <w:t>'</w:t>
      </w:r>
      <w:r w:rsidRPr="00071EF4">
        <w:t>avancement actuel du processus de transformation est le suivant.</w:t>
      </w:r>
      <w:hyperlink r:id="rId67" w:history="1"/>
      <w:hyperlink r:id="rId68" w:history="1"/>
      <w:hyperlink r:id="rId69" w:history="1"/>
      <w:hyperlink r:id="rId70" w:history="1"/>
      <w:hyperlink r:id="rId71" w:history="1"/>
    </w:p>
    <w:p w14:paraId="41C04E89" w14:textId="7678BBEF" w:rsidR="002C6B80" w:rsidRPr="00071EF4" w:rsidRDefault="002C6B80" w:rsidP="00887D22">
      <w:pPr>
        <w:pStyle w:val="enumlev1"/>
        <w:jc w:val="both"/>
        <w:rPr>
          <w:rFonts w:eastAsia="SimSun"/>
        </w:rPr>
      </w:pPr>
      <w:r w:rsidRPr="00071EF4">
        <w:t>1)</w:t>
      </w:r>
      <w:r w:rsidRPr="00071EF4">
        <w:tab/>
        <w:t>Portée: la portée de la transformation est définie en termes de piliers, de stratégies, de feuilles de route, de domaines prioritaires et d</w:t>
      </w:r>
      <w:r w:rsidR="004F7F4C" w:rsidRPr="00071EF4">
        <w:t>'</w:t>
      </w:r>
      <w:r w:rsidRPr="00071EF4">
        <w:t>initiatives. En avril 2026, les principaux efforts de transformation avaient fait l</w:t>
      </w:r>
      <w:r w:rsidR="004F7F4C" w:rsidRPr="00071EF4">
        <w:t>'</w:t>
      </w:r>
      <w:r w:rsidRPr="00071EF4">
        <w:t>objet de cinq révisions importantes et comprenaient cinq dimensions essentielles (gouvernance, membres et partenaires, personnes et culture, optimisation des ressources et systèmes, processus et outils). Le lien entre ces dimensions et les deux piliers (excellence institutionnelle et participation stratégique) a été abandonné.</w:t>
      </w:r>
    </w:p>
    <w:p w14:paraId="0991B537" w14:textId="386F853D" w:rsidR="002C6B80" w:rsidRPr="00071EF4" w:rsidRDefault="002C6B80" w:rsidP="00887D22">
      <w:pPr>
        <w:pStyle w:val="enumlev1"/>
        <w:jc w:val="both"/>
        <w:rPr>
          <w:rFonts w:eastAsia="SimSun"/>
        </w:rPr>
      </w:pPr>
      <w:r w:rsidRPr="00071EF4">
        <w:t>2)</w:t>
      </w:r>
      <w:r w:rsidRPr="00071EF4">
        <w:tab/>
        <w:t>Structure des équipes: en avril 2026, les équipes liées à la transformation avaient connu six modifications depuis janvier 2023, date à laquelle la haute direction a lancé les efforts de transformation. En juin 2023, le Conseil a approuvé la création du Bureau de la transformation, dirigé par un chef de grade D.1 (pour une durée limitée de 2</w:t>
      </w:r>
      <w:r w:rsidR="00537046" w:rsidRPr="00071EF4">
        <w:t> </w:t>
      </w:r>
      <w:r w:rsidRPr="00071EF4">
        <w:t>+</w:t>
      </w:r>
      <w:r w:rsidR="00537046" w:rsidRPr="00071EF4">
        <w:t> </w:t>
      </w:r>
      <w:r w:rsidRPr="00071EF4">
        <w:t>2</w:t>
      </w:r>
      <w:r w:rsidR="00537046" w:rsidRPr="00071EF4">
        <w:t> </w:t>
      </w:r>
      <w:r w:rsidRPr="00071EF4">
        <w:t>ans). Le mandat du Bureau de la transformation a été confirmé à la session additionnelle de 2023 du Conseil (Document C23-ADD/INF/1). Actuellement, l</w:t>
      </w:r>
      <w:r w:rsidR="004F7F4C" w:rsidRPr="00071EF4">
        <w:t>'</w:t>
      </w:r>
      <w:r w:rsidRPr="00071EF4">
        <w:t>UIT dispose d</w:t>
      </w:r>
      <w:r w:rsidR="004F7F4C" w:rsidRPr="00071EF4">
        <w:t>'</w:t>
      </w:r>
      <w:r w:rsidRPr="00071EF4">
        <w:t>une équipe chargée de la transformation, dirigée par le responsable principal de la transformation, d</w:t>
      </w:r>
      <w:r w:rsidR="004F7F4C" w:rsidRPr="00071EF4">
        <w:t>'</w:t>
      </w:r>
      <w:r w:rsidRPr="00071EF4">
        <w:t>un groupe de travail sur la transformation, présidé par le Chef du Département de l'administration et des finances, et d</w:t>
      </w:r>
      <w:r w:rsidR="004F7F4C" w:rsidRPr="00071EF4">
        <w:t>'</w:t>
      </w:r>
      <w:r w:rsidRPr="00071EF4">
        <w:t>un Comité de gouvernance des TIC, placé sous la direction du Vice-Secrétaire général. L</w:t>
      </w:r>
      <w:r w:rsidR="004F7F4C" w:rsidRPr="00071EF4">
        <w:t>'</w:t>
      </w:r>
      <w:r w:rsidRPr="00071EF4">
        <w:t xml:space="preserve">équipe chargée de la transformation a été </w:t>
      </w:r>
      <w:r w:rsidR="00537046" w:rsidRPr="00071EF4">
        <w:t>"</w:t>
      </w:r>
      <w:r w:rsidRPr="00071EF4">
        <w:t>confiée</w:t>
      </w:r>
      <w:r w:rsidR="00537046" w:rsidRPr="00071EF4">
        <w:t>"</w:t>
      </w:r>
      <w:r w:rsidRPr="00071EF4">
        <w:t xml:space="preserve"> au Directeur de l</w:t>
      </w:r>
      <w:r w:rsidR="004F7F4C" w:rsidRPr="00071EF4">
        <w:t>'</w:t>
      </w:r>
      <w:r w:rsidRPr="00071EF4">
        <w:t>information (CIO) et rend compte également au Chef du Département de l</w:t>
      </w:r>
      <w:r w:rsidR="004F7F4C" w:rsidRPr="00071EF4">
        <w:t>'</w:t>
      </w:r>
      <w:r w:rsidRPr="00071EF4">
        <w:t>administration et des finances.</w:t>
      </w:r>
    </w:p>
    <w:p w14:paraId="35E1B17C" w14:textId="2E05E8DB" w:rsidR="002C6B80" w:rsidRPr="00071EF4" w:rsidRDefault="002C6B80" w:rsidP="00887D22">
      <w:pPr>
        <w:pStyle w:val="enumlev1"/>
        <w:jc w:val="both"/>
        <w:rPr>
          <w:rFonts w:eastAsia="SimSun"/>
        </w:rPr>
      </w:pPr>
      <w:r w:rsidRPr="00071EF4">
        <w:t>3)</w:t>
      </w:r>
      <w:r w:rsidRPr="00071EF4">
        <w:tab/>
        <w:t>Incidences financières</w:t>
      </w:r>
      <w:r w:rsidR="000B540A" w:rsidRPr="00071EF4">
        <w:t>:</w:t>
      </w:r>
      <w:r w:rsidRPr="00071EF4">
        <w:t xml:space="preserve"> les crédits du budget ordinaire et les économies réalisées sur ce budget constituent la principale source de financement des initiatives de transformation. La plupart des crédits alloués aux activités liées à la transformation correspondent à la modernisation numérique des systèmes et des logiciels de bureau, peu d</w:t>
      </w:r>
      <w:r w:rsidR="004F7F4C" w:rsidRPr="00071EF4">
        <w:t>'</w:t>
      </w:r>
      <w:r w:rsidRPr="00071EF4">
        <w:t>informations étant disponibles quant aux autres aspects. De 2023 à 2024, un total de 1,6 million CHF provenant des économies réalisées a été utilisé pour les initiatives de transformation, dont 600 000 CHF affectés au projet de site web, les 950</w:t>
      </w:r>
      <w:r w:rsidR="00537046" w:rsidRPr="00071EF4">
        <w:t> </w:t>
      </w:r>
      <w:r w:rsidRPr="00071EF4">
        <w:t>000 CHF restants ayant servi à financer pendant deux ans les postes de l</w:t>
      </w:r>
      <w:r w:rsidR="004F7F4C" w:rsidRPr="00071EF4">
        <w:t>'</w:t>
      </w:r>
      <w:r w:rsidRPr="00071EF4">
        <w:t>équipe chargée de la transformation, afin d</w:t>
      </w:r>
      <w:r w:rsidR="004F7F4C" w:rsidRPr="00071EF4">
        <w:t>'</w:t>
      </w:r>
      <w:r w:rsidRPr="00071EF4">
        <w:t>appuyer la planification, l</w:t>
      </w:r>
      <w:r w:rsidR="004F7F4C" w:rsidRPr="00071EF4">
        <w:t>'</w:t>
      </w:r>
      <w:r w:rsidRPr="00071EF4">
        <w:t>établissement de rapports, la coordination et la mise en œuvre des projets. Selon le plan opérationnel pour 2026, les départements du Secrétariat général alloueront un montant d</w:t>
      </w:r>
      <w:r w:rsidR="004F7F4C" w:rsidRPr="00071EF4">
        <w:t>'</w:t>
      </w:r>
      <w:r w:rsidRPr="00071EF4">
        <w:t xml:space="preserve">environ 6,6 millions CHF </w:t>
      </w:r>
      <w:r w:rsidRPr="00071EF4">
        <w:lastRenderedPageBreak/>
        <w:t>correspondant au temps consacré par le personnel aux activités liées à la transformation, ce qui représente à peu près 10,5% de la totalité du temps de travail du personnel comptabilisé dans le plan opérationnel. À la présente session du Conseil, le Secrétariat demande un crédit de 1,45 million CHF pour les initiatives de transformation, en particulier la modernisation des principaux systèmes institutionnels.</w:t>
      </w:r>
    </w:p>
    <w:p w14:paraId="2E62A5DC" w14:textId="77777777" w:rsidR="002C6B80" w:rsidRPr="00071EF4" w:rsidRDefault="002C6B80" w:rsidP="002C6B80">
      <w:pPr>
        <w:pStyle w:val="Heading1"/>
        <w:rPr>
          <w:rFonts w:eastAsia="SimSun"/>
        </w:rPr>
      </w:pPr>
      <w:r w:rsidRPr="00071EF4">
        <w:rPr>
          <w:bCs/>
        </w:rPr>
        <w:t>2</w:t>
      </w:r>
      <w:r w:rsidRPr="00071EF4">
        <w:tab/>
      </w:r>
      <w:r w:rsidRPr="00071EF4">
        <w:rPr>
          <w:bCs/>
        </w:rPr>
        <w:t>Proposition</w:t>
      </w:r>
    </w:p>
    <w:p w14:paraId="1981AB29" w14:textId="10C6FDA1" w:rsidR="002C6B80" w:rsidRPr="00071EF4" w:rsidRDefault="002C6B80" w:rsidP="00887D22">
      <w:pPr>
        <w:jc w:val="both"/>
        <w:rPr>
          <w:rFonts w:eastAsia="SimSun"/>
        </w:rPr>
      </w:pPr>
      <w:r w:rsidRPr="00071EF4">
        <w:t>La transformation joue un rôle central pour permettre à l</w:t>
      </w:r>
      <w:r w:rsidR="004F7F4C" w:rsidRPr="00071EF4">
        <w:t>'</w:t>
      </w:r>
      <w:r w:rsidRPr="00071EF4">
        <w:t>Union de mieux s</w:t>
      </w:r>
      <w:r w:rsidR="004F7F4C" w:rsidRPr="00071EF4">
        <w:t>'</w:t>
      </w:r>
      <w:r w:rsidRPr="00071EF4">
        <w:t>acquitter de son mandat fondamental. En tant qu</w:t>
      </w:r>
      <w:r w:rsidR="004F7F4C" w:rsidRPr="00071EF4">
        <w:t>'</w:t>
      </w:r>
      <w:r w:rsidRPr="00071EF4">
        <w:t>institution chef de file de deux lots de travaux phares présentant des "enjeux majeurs" dans le cadre de l</w:t>
      </w:r>
      <w:r w:rsidR="004F7F4C" w:rsidRPr="00071EF4">
        <w:t>'</w:t>
      </w:r>
      <w:r w:rsidRPr="00071EF4">
        <w:t>Initiative ONU80, dont celui sur les technologies (</w:t>
      </w:r>
      <w:hyperlink r:id="rId72" w:history="1">
        <w:r w:rsidRPr="00071EF4">
          <w:rPr>
            <w:rStyle w:val="Hyperlink"/>
            <w:rFonts w:eastAsia="Times New Roman" w:cs="Times New Roman"/>
            <w:szCs w:val="20"/>
          </w:rPr>
          <w:t>Document C26/61</w:t>
        </w:r>
      </w:hyperlink>
      <w:r w:rsidRPr="00071EF4">
        <w:t>), l</w:t>
      </w:r>
      <w:r w:rsidR="004F7F4C" w:rsidRPr="00071EF4">
        <w:t>'</w:t>
      </w:r>
      <w:r w:rsidRPr="00071EF4">
        <w:t>UIT joue également un rôle important dans la promotion du développement de l</w:t>
      </w:r>
      <w:r w:rsidR="004F7F4C" w:rsidRPr="00071EF4">
        <w:t>'</w:t>
      </w:r>
      <w:r w:rsidRPr="00071EF4">
        <w:t>infrastructure numérique au sein du système des Nations Unies. Ses propres efforts de transformation fourniront une expérience précieuse et serviront de modèle pour favoriser une réforme globale du système des Nations Unies.</w:t>
      </w:r>
      <w:hyperlink r:id="rId73" w:history="1"/>
    </w:p>
    <w:p w14:paraId="1E900D40" w14:textId="5872416B" w:rsidR="002C6B80" w:rsidRPr="00071EF4" w:rsidRDefault="002C6B80" w:rsidP="00887D22">
      <w:pPr>
        <w:pStyle w:val="enumlev1"/>
        <w:jc w:val="both"/>
        <w:rPr>
          <w:rFonts w:eastAsia="SimSun" w:cs="Calibri"/>
          <w:szCs w:val="24"/>
        </w:rPr>
      </w:pPr>
      <w:r w:rsidRPr="00071EF4">
        <w:t>1)</w:t>
      </w:r>
      <w:r w:rsidRPr="00071EF4">
        <w:tab/>
        <w:t>Dans le cadre des règles et règlements existants, notamment la Constitution et la Convention de l</w:t>
      </w:r>
      <w:r w:rsidR="004F7F4C" w:rsidRPr="00071EF4">
        <w:t>'</w:t>
      </w:r>
      <w:r w:rsidRPr="00071EF4">
        <w:t>Union, des efforts devraient être déployés pour accroître la stabilité et la prévisibilité des initiatives de transformation. La cohérence doit être renforcée en ce qui concerne la portée opérationnelle, la structure des équipes et la planification financière. Il s</w:t>
      </w:r>
      <w:r w:rsidR="004F7F4C" w:rsidRPr="00071EF4">
        <w:t>'</w:t>
      </w:r>
      <w:r w:rsidRPr="00071EF4">
        <w:t>agit notamment d</w:t>
      </w:r>
      <w:r w:rsidR="004F7F4C" w:rsidRPr="00071EF4">
        <w:t>'</w:t>
      </w:r>
      <w:r w:rsidRPr="00071EF4">
        <w:t>améliorer la transparence des processus de transformation, de garantir des résultats mesurables et d'obtenir des résultats tangibles au moyen d</w:t>
      </w:r>
      <w:r w:rsidR="004F7F4C" w:rsidRPr="00071EF4">
        <w:t>'</w:t>
      </w:r>
      <w:r w:rsidRPr="00071EF4">
        <w:t>analyses coûts-avantages afin d</w:t>
      </w:r>
      <w:r w:rsidR="004F7F4C" w:rsidRPr="00071EF4">
        <w:t>'</w:t>
      </w:r>
      <w:r w:rsidRPr="00071EF4">
        <w:t>optimiser l</w:t>
      </w:r>
      <w:r w:rsidR="004F7F4C" w:rsidRPr="00071EF4">
        <w:t>'</w:t>
      </w:r>
      <w:r w:rsidRPr="00071EF4">
        <w:t>affectation des ressources et de favoriser l</w:t>
      </w:r>
      <w:r w:rsidR="004F7F4C" w:rsidRPr="00071EF4">
        <w:t>'</w:t>
      </w:r>
      <w:r w:rsidRPr="00071EF4">
        <w:t>efficacité opérationnelle. Ces mesures permettront à toutes les parties prenantes de surveiller clairement les progrès accomplis en matière de transformation.</w:t>
      </w:r>
    </w:p>
    <w:p w14:paraId="1759236C" w14:textId="7051B5DA" w:rsidR="002C6B80" w:rsidRPr="00071EF4" w:rsidRDefault="002C6B80" w:rsidP="00887D22">
      <w:pPr>
        <w:pStyle w:val="enumlev1"/>
        <w:jc w:val="both"/>
        <w:rPr>
          <w:rFonts w:eastAsia="SimSun" w:cs="Calibri"/>
          <w:szCs w:val="24"/>
        </w:rPr>
      </w:pPr>
      <w:r w:rsidRPr="00071EF4">
        <w:t>2)</w:t>
      </w:r>
      <w:r w:rsidRPr="00071EF4">
        <w:tab/>
        <w:t>Il conviendrait d</w:t>
      </w:r>
      <w:r w:rsidR="004F7F4C" w:rsidRPr="00071EF4">
        <w:t>'</w:t>
      </w:r>
      <w:r w:rsidRPr="00071EF4">
        <w:t>encourager une approche pragmatique pour répondre aux principales préoccupations des États Membres. Dans le contexte des contraintes budgétaires actuelles, l</w:t>
      </w:r>
      <w:r w:rsidR="004F7F4C" w:rsidRPr="00071EF4">
        <w:t>'</w:t>
      </w:r>
      <w:r w:rsidRPr="00071EF4">
        <w:t>Union devrait s'attacher en priorité à allouer des ressources aux questions clés soulevées à plusieurs reprises par les États Membres, améliorer la transparence financière sur les questions prioritaires et établir une méthode de transformation interne axée sur les besoins des États Membres et sur les problèmes et caractérisée par des objectifs clairs et une démarche de durabilité. Il conviendrait de soumettre au Conseil, à ses futures sessions ordinaires, des rapports mettant l</w:t>
      </w:r>
      <w:r w:rsidR="004F7F4C" w:rsidRPr="00071EF4">
        <w:t>'</w:t>
      </w:r>
      <w:r w:rsidRPr="00071EF4">
        <w:t>accent sur les priorités de transformation, les ressources allouées et les résultats attendus.</w:t>
      </w:r>
    </w:p>
    <w:p w14:paraId="572311DC" w14:textId="4BD8451A" w:rsidR="00A51849" w:rsidRDefault="002C6B80" w:rsidP="00887D22">
      <w:pPr>
        <w:pStyle w:val="enumlev1"/>
        <w:jc w:val="both"/>
      </w:pPr>
      <w:r w:rsidRPr="00071EF4">
        <w:t>3)</w:t>
      </w:r>
      <w:r w:rsidRPr="00071EF4">
        <w:tab/>
        <w:t>Les capacités de mise en œuvre devraient être améliorées pour accélérer la matérialisation des résultats de la transformation. Un décalage important subsiste entre la conception stratégique de la transformation et sa mise en œuvre effective par l</w:t>
      </w:r>
      <w:r w:rsidR="004F7F4C" w:rsidRPr="00071EF4">
        <w:t>'</w:t>
      </w:r>
      <w:r w:rsidRPr="00071EF4">
        <w:t>Union. Des objectifs progressifs, clairs, mesurables et réalisables devraient être fixés pour tirer rapidement parti des efforts de transformation.</w:t>
      </w:r>
    </w:p>
    <w:p w14:paraId="0A8B5C31" w14:textId="77777777" w:rsidR="00887D22" w:rsidRPr="00071EF4" w:rsidRDefault="00887D22" w:rsidP="00887D22">
      <w:pPr>
        <w:pStyle w:val="enumlev1"/>
        <w:jc w:val="both"/>
      </w:pPr>
    </w:p>
    <w:p w14:paraId="2E0CAE68" w14:textId="77777777" w:rsidR="00897553" w:rsidRPr="00071EF4" w:rsidRDefault="006A11AE" w:rsidP="002D2336">
      <w:pPr>
        <w:jc w:val="center"/>
      </w:pPr>
      <w:r w:rsidRPr="00071EF4">
        <w:t>______________</w:t>
      </w:r>
    </w:p>
    <w:sectPr w:rsidR="00897553" w:rsidRPr="00071EF4" w:rsidSect="00D72F49">
      <w:headerReference w:type="even" r:id="rId74"/>
      <w:footerReference w:type="even" r:id="rId75"/>
      <w:footerReference w:type="default" r:id="rId76"/>
      <w:headerReference w:type="first" r:id="rId77"/>
      <w:footerReference w:type="first" r:id="rId78"/>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202A0" w14:textId="77777777" w:rsidR="002C6B80" w:rsidRDefault="002C6B80">
      <w:r>
        <w:separator/>
      </w:r>
    </w:p>
  </w:endnote>
  <w:endnote w:type="continuationSeparator" w:id="0">
    <w:p w14:paraId="47FCB63C" w14:textId="77777777" w:rsidR="002C6B80" w:rsidRDefault="002C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7368" w14:textId="0E641725" w:rsidR="00732045" w:rsidRPr="00C2134F" w:rsidRDefault="002C6B80">
    <w:pPr>
      <w:pStyle w:val="Footer"/>
      <w:rPr>
        <w:lang w:val="en-US"/>
      </w:rPr>
    </w:pPr>
    <w:r>
      <w:fldChar w:fldCharType="begin"/>
    </w:r>
    <w:r w:rsidRPr="00C2134F">
      <w:rPr>
        <w:lang w:val="en-US"/>
      </w:rPr>
      <w:instrText xml:space="preserve"> FILENAME \p \* MERGEFORMAT </w:instrText>
    </w:r>
    <w:r>
      <w:fldChar w:fldCharType="separate"/>
    </w:r>
    <w:r w:rsidR="00C2134F" w:rsidRPr="00C2134F">
      <w:rPr>
        <w:lang w:val="en-US"/>
      </w:rPr>
      <w:t>P:\FRA\gDoc\SG\C26\2600914F.docx</w:t>
    </w:r>
    <w:r>
      <w:fldChar w:fldCharType="end"/>
    </w:r>
    <w:r w:rsidR="00732045" w:rsidRPr="00C2134F">
      <w:rPr>
        <w:lang w:val="en-US"/>
      </w:rPr>
      <w:tab/>
    </w:r>
    <w:r w:rsidR="002F1B76">
      <w:fldChar w:fldCharType="begin"/>
    </w:r>
    <w:r w:rsidR="00732045">
      <w:instrText xml:space="preserve"> savedate \@ dd.MM.yy </w:instrText>
    </w:r>
    <w:r w:rsidR="002F1B76">
      <w:fldChar w:fldCharType="separate"/>
    </w:r>
    <w:r w:rsidR="00CA7FC3">
      <w:t>22.04.26</w:t>
    </w:r>
    <w:r w:rsidR="002F1B76">
      <w:fldChar w:fldCharType="end"/>
    </w:r>
    <w:r w:rsidR="00732045" w:rsidRPr="00C2134F">
      <w:rPr>
        <w:lang w:val="en-US"/>
      </w:rPr>
      <w:tab/>
    </w:r>
    <w:r w:rsidR="002F1B76">
      <w:fldChar w:fldCharType="begin"/>
    </w:r>
    <w:r w:rsidR="00732045">
      <w:instrText xml:space="preserve"> printdate \@ dd.MM.yy </w:instrText>
    </w:r>
    <w:r w:rsidR="002F1B76">
      <w:fldChar w:fldCharType="separate"/>
    </w:r>
    <w:r w:rsidR="00C2134F">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69B0D92" w14:textId="77777777" w:rsidTr="00E31DCE">
      <w:trPr>
        <w:jc w:val="center"/>
      </w:trPr>
      <w:tc>
        <w:tcPr>
          <w:tcW w:w="1803" w:type="dxa"/>
          <w:vAlign w:val="center"/>
        </w:tcPr>
        <w:p w14:paraId="1E6D7C65" w14:textId="1F8AE8F6" w:rsidR="00A51849" w:rsidRDefault="002C6B80" w:rsidP="00A51849">
          <w:pPr>
            <w:pStyle w:val="Header"/>
            <w:jc w:val="left"/>
            <w:rPr>
              <w:noProof/>
            </w:rPr>
          </w:pPr>
          <w:r>
            <w:rPr>
              <w:noProof/>
            </w:rPr>
            <w:t>2600914</w:t>
          </w:r>
        </w:p>
      </w:tc>
      <w:tc>
        <w:tcPr>
          <w:tcW w:w="8261" w:type="dxa"/>
        </w:tcPr>
        <w:p w14:paraId="6949FDD0" w14:textId="1A9EC594"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2C6B80">
            <w:rPr>
              <w:bCs/>
            </w:rPr>
            <w:t>82</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1564814B"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03084DD" w14:textId="77777777" w:rsidTr="00E31DCE">
      <w:trPr>
        <w:jc w:val="center"/>
      </w:trPr>
      <w:tc>
        <w:tcPr>
          <w:tcW w:w="1803" w:type="dxa"/>
          <w:vAlign w:val="center"/>
        </w:tcPr>
        <w:p w14:paraId="290D0771"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73E3408E" w14:textId="475A176C"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2C6B80">
            <w:rPr>
              <w:bCs/>
            </w:rPr>
            <w:t>82</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1066071A"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6215B" w14:textId="77777777" w:rsidR="002C6B80" w:rsidRDefault="002C6B80">
      <w:r>
        <w:t>____________________</w:t>
      </w:r>
    </w:p>
  </w:footnote>
  <w:footnote w:type="continuationSeparator" w:id="0">
    <w:p w14:paraId="238A1C16" w14:textId="77777777" w:rsidR="002C6B80" w:rsidRDefault="002C6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7AFA"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025E78B4"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AFF7"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B80"/>
    <w:rsid w:val="00071EF4"/>
    <w:rsid w:val="00076A2C"/>
    <w:rsid w:val="000B540A"/>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477A2"/>
    <w:rsid w:val="00263A51"/>
    <w:rsid w:val="00267E02"/>
    <w:rsid w:val="00271321"/>
    <w:rsid w:val="00277DEA"/>
    <w:rsid w:val="002A5D44"/>
    <w:rsid w:val="002C3F32"/>
    <w:rsid w:val="002C4E3D"/>
    <w:rsid w:val="002C6B80"/>
    <w:rsid w:val="002D2336"/>
    <w:rsid w:val="002E0BC4"/>
    <w:rsid w:val="002F1B76"/>
    <w:rsid w:val="0033568E"/>
    <w:rsid w:val="00355FF5"/>
    <w:rsid w:val="00361350"/>
    <w:rsid w:val="003B447A"/>
    <w:rsid w:val="003C3FAE"/>
    <w:rsid w:val="004038CB"/>
    <w:rsid w:val="0040546F"/>
    <w:rsid w:val="004177BD"/>
    <w:rsid w:val="0042404A"/>
    <w:rsid w:val="00427ECE"/>
    <w:rsid w:val="0044618F"/>
    <w:rsid w:val="00465C35"/>
    <w:rsid w:val="0046769A"/>
    <w:rsid w:val="00475FB3"/>
    <w:rsid w:val="004C37A9"/>
    <w:rsid w:val="004D1D50"/>
    <w:rsid w:val="004F259E"/>
    <w:rsid w:val="004F633A"/>
    <w:rsid w:val="004F7F4C"/>
    <w:rsid w:val="00504C7F"/>
    <w:rsid w:val="00511F1D"/>
    <w:rsid w:val="00520F36"/>
    <w:rsid w:val="00524E8D"/>
    <w:rsid w:val="00534E13"/>
    <w:rsid w:val="00537046"/>
    <w:rsid w:val="00540615"/>
    <w:rsid w:val="00540A6D"/>
    <w:rsid w:val="00553536"/>
    <w:rsid w:val="00566679"/>
    <w:rsid w:val="00571EEA"/>
    <w:rsid w:val="00575417"/>
    <w:rsid w:val="005768E1"/>
    <w:rsid w:val="0058241B"/>
    <w:rsid w:val="005B1938"/>
    <w:rsid w:val="005C3890"/>
    <w:rsid w:val="005F7BFE"/>
    <w:rsid w:val="00600017"/>
    <w:rsid w:val="00602682"/>
    <w:rsid w:val="006235CA"/>
    <w:rsid w:val="0062366E"/>
    <w:rsid w:val="006643AB"/>
    <w:rsid w:val="006A11AE"/>
    <w:rsid w:val="006A755B"/>
    <w:rsid w:val="006B224B"/>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87D22"/>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0CBC"/>
    <w:rsid w:val="00B27B00"/>
    <w:rsid w:val="00B309F9"/>
    <w:rsid w:val="00B32B60"/>
    <w:rsid w:val="00B51005"/>
    <w:rsid w:val="00B61619"/>
    <w:rsid w:val="00BB38C1"/>
    <w:rsid w:val="00BB4545"/>
    <w:rsid w:val="00BD5873"/>
    <w:rsid w:val="00BF4B60"/>
    <w:rsid w:val="00C049D7"/>
    <w:rsid w:val="00C04BE3"/>
    <w:rsid w:val="00C2134F"/>
    <w:rsid w:val="00C25D29"/>
    <w:rsid w:val="00C2625E"/>
    <w:rsid w:val="00C27A7C"/>
    <w:rsid w:val="00C42437"/>
    <w:rsid w:val="00C84236"/>
    <w:rsid w:val="00CA08ED"/>
    <w:rsid w:val="00CA7FC3"/>
    <w:rsid w:val="00CC6EAA"/>
    <w:rsid w:val="00CE5172"/>
    <w:rsid w:val="00CF0534"/>
    <w:rsid w:val="00CF183B"/>
    <w:rsid w:val="00D222DF"/>
    <w:rsid w:val="00D375CD"/>
    <w:rsid w:val="00D37B53"/>
    <w:rsid w:val="00D553A2"/>
    <w:rsid w:val="00D72F49"/>
    <w:rsid w:val="00D774D3"/>
    <w:rsid w:val="00D904E8"/>
    <w:rsid w:val="00DA08C3"/>
    <w:rsid w:val="00DB5A3E"/>
    <w:rsid w:val="00DC22AA"/>
    <w:rsid w:val="00DD1A99"/>
    <w:rsid w:val="00DE62C6"/>
    <w:rsid w:val="00DF453A"/>
    <w:rsid w:val="00DF74DD"/>
    <w:rsid w:val="00E25AD0"/>
    <w:rsid w:val="00E4428F"/>
    <w:rsid w:val="00E4448E"/>
    <w:rsid w:val="00E47427"/>
    <w:rsid w:val="00E9332E"/>
    <w:rsid w:val="00E93668"/>
    <w:rsid w:val="00E95647"/>
    <w:rsid w:val="00EB6350"/>
    <w:rsid w:val="00ED799B"/>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591F5"/>
  <w15:docId w15:val="{D8DB5C64-5BA4-4D6B-81D7-FF525115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6-CL-C-0022/en" TargetMode="External"/><Relationship Id="rId21" Type="http://schemas.openxmlformats.org/officeDocument/2006/relationships/hyperlink" Target="https://www.itu.int/md/S25-CL-C-0055/en" TargetMode="External"/><Relationship Id="rId42" Type="http://schemas.openxmlformats.org/officeDocument/2006/relationships/hyperlink" Target="https://www.itu.int/md/S26-CL-C-0055/en" TargetMode="External"/><Relationship Id="rId47" Type="http://schemas.openxmlformats.org/officeDocument/2006/relationships/hyperlink" Target="https://www.itu.int/md/S26-CWGFHR22-C-0012/en" TargetMode="External"/><Relationship Id="rId63" Type="http://schemas.openxmlformats.org/officeDocument/2006/relationships/hyperlink" Target="https://www.itu.int/md/S26-CL-C-0022/en" TargetMode="External"/><Relationship Id="rId68" Type="http://schemas.openxmlformats.org/officeDocument/2006/relationships/hyperlink" Target="https://www.itu.int/md/S26-CL-C-0022/en" TargetMode="External"/><Relationship Id="rId16" Type="http://schemas.openxmlformats.org/officeDocument/2006/relationships/hyperlink" Target="https://www.itu.int/md/S24-CL-C-0019/en" TargetMode="External"/><Relationship Id="rId11" Type="http://schemas.openxmlformats.org/officeDocument/2006/relationships/hyperlink" Target="https://www.itu.int/md/S23-CL-C-0062/en" TargetMode="External"/><Relationship Id="rId24" Type="http://schemas.openxmlformats.org/officeDocument/2006/relationships/hyperlink" Target="https://www.itu.int/md/S26-CL-C-0055/en" TargetMode="External"/><Relationship Id="rId32" Type="http://schemas.openxmlformats.org/officeDocument/2006/relationships/hyperlink" Target="https://www.itu.int/md/S23-CL-230711-DL-0007/en" TargetMode="External"/><Relationship Id="rId37" Type="http://schemas.openxmlformats.org/officeDocument/2006/relationships/hyperlink" Target="https://www.itu.int/md/S24-CL-C-0073/en" TargetMode="External"/><Relationship Id="rId40" Type="http://schemas.openxmlformats.org/officeDocument/2006/relationships/hyperlink" Target="https://www.itu.int/md/S25-CL-C-0066/en" TargetMode="External"/><Relationship Id="rId45" Type="http://schemas.openxmlformats.org/officeDocument/2006/relationships/hyperlink" Target="https://www.itu.int/md/S24-CWGFHR19-C-0015/en" TargetMode="External"/><Relationship Id="rId53" Type="http://schemas.openxmlformats.org/officeDocument/2006/relationships/hyperlink" Target="https://www.itu.int/md/S26-CWGFHR22-C-0012/en" TargetMode="External"/><Relationship Id="rId58" Type="http://schemas.openxmlformats.org/officeDocument/2006/relationships/hyperlink" Target="https://www.itu.int/md/S23-CL-C-0052/en" TargetMode="External"/><Relationship Id="rId66" Type="http://schemas.openxmlformats.org/officeDocument/2006/relationships/hyperlink" Target="https://www.itu.int/md/S26-CL-C-0062/en" TargetMode="External"/><Relationship Id="rId74" Type="http://schemas.openxmlformats.org/officeDocument/2006/relationships/header" Target="header1.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itu.int/md/S23-CL-230711-DL-0007/en" TargetMode="External"/><Relationship Id="rId19" Type="http://schemas.openxmlformats.org/officeDocument/2006/relationships/hyperlink" Target="https://www.itu.int/md/S24-CL-C-0073/en" TargetMode="External"/><Relationship Id="rId14" Type="http://schemas.openxmlformats.org/officeDocument/2006/relationships/hyperlink" Target="https://www.itu.int/md/S23-CL-230711-DL-0007/en" TargetMode="External"/><Relationship Id="rId22" Type="http://schemas.openxmlformats.org/officeDocument/2006/relationships/hyperlink" Target="https://www.itu.int/md/S25-CL-C-0066/en" TargetMode="External"/><Relationship Id="rId27" Type="http://schemas.openxmlformats.org/officeDocument/2006/relationships/hyperlink" Target="https://www.itu.int/md/S26-CL-C-0061/en" TargetMode="External"/><Relationship Id="rId30" Type="http://schemas.openxmlformats.org/officeDocument/2006/relationships/hyperlink" Target="https://www.itu.int/md/S23-CL-INF-0011/en" TargetMode="External"/><Relationship Id="rId35" Type="http://schemas.openxmlformats.org/officeDocument/2006/relationships/hyperlink" Target="https://www.itu.int/md/S24-CL-C-0031/en" TargetMode="External"/><Relationship Id="rId43" Type="http://schemas.openxmlformats.org/officeDocument/2006/relationships/hyperlink" Target="https://www.itu.int/md/S26-CL-C-0062/en" TargetMode="External"/><Relationship Id="rId48" Type="http://schemas.openxmlformats.org/officeDocument/2006/relationships/hyperlink" Target="https://www.itu.int/md/S26-CWGFHR22-C-0014/en" TargetMode="External"/><Relationship Id="rId56" Type="http://schemas.openxmlformats.org/officeDocument/2006/relationships/hyperlink" Target="https://www.itu.int/md/S26-CWGFHR22-C-0017/en" TargetMode="External"/><Relationship Id="rId64" Type="http://schemas.openxmlformats.org/officeDocument/2006/relationships/hyperlink" Target="https://www.itu.int/md/S26-CL-C-0042/en" TargetMode="External"/><Relationship Id="rId69" Type="http://schemas.openxmlformats.org/officeDocument/2006/relationships/hyperlink" Target="https://www.itu.int/md/S26-CL-C-0042/en" TargetMode="External"/><Relationship Id="rId77" Type="http://schemas.openxmlformats.org/officeDocument/2006/relationships/header" Target="header2.xml"/><Relationship Id="rId8" Type="http://schemas.openxmlformats.org/officeDocument/2006/relationships/hyperlink" Target="https://www.itu.int/pub/S-CONF-CL-2025" TargetMode="External"/><Relationship Id="rId51" Type="http://schemas.openxmlformats.org/officeDocument/2006/relationships/hyperlink" Target="https://www.itu.int/md/S24-CWGFHR19-C-0015/en" TargetMode="External"/><Relationship Id="rId72" Type="http://schemas.openxmlformats.org/officeDocument/2006/relationships/hyperlink" Target="https://www.itu.int/md/S26-CL-C-0061/en"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itu.int/md/S23-CL-INF-0011/en" TargetMode="External"/><Relationship Id="rId17" Type="http://schemas.openxmlformats.org/officeDocument/2006/relationships/hyperlink" Target="https://www.itu.int/md/S24-CL-C-0031/en" TargetMode="External"/><Relationship Id="rId25" Type="http://schemas.openxmlformats.org/officeDocument/2006/relationships/hyperlink" Target="https://www.itu.int/md/S26-CL-C-0062/en" TargetMode="External"/><Relationship Id="rId33" Type="http://schemas.openxmlformats.org/officeDocument/2006/relationships/hyperlink" Target="https://www.itu.int/md/S23-C23ADD-INF-0001/en" TargetMode="External"/><Relationship Id="rId38" Type="http://schemas.openxmlformats.org/officeDocument/2006/relationships/hyperlink" Target="https://www.itu.int/md/S25-CL-C-0043/en" TargetMode="External"/><Relationship Id="rId46" Type="http://schemas.openxmlformats.org/officeDocument/2006/relationships/hyperlink" Target="https://www.itu.int/md/S25-CWGFHR21-C-0025/en" TargetMode="External"/><Relationship Id="rId59" Type="http://schemas.openxmlformats.org/officeDocument/2006/relationships/hyperlink" Target="https://www.itu.int/md/S23-CL-230711-DL-0007/en" TargetMode="External"/><Relationship Id="rId67" Type="http://schemas.openxmlformats.org/officeDocument/2006/relationships/hyperlink" Target="https://www.itu.int/md/S26-CWGFHR22-C-0030/en" TargetMode="External"/><Relationship Id="rId20" Type="http://schemas.openxmlformats.org/officeDocument/2006/relationships/hyperlink" Target="https://www.itu.int/md/S25-CL-C-0043/en" TargetMode="External"/><Relationship Id="rId41" Type="http://schemas.openxmlformats.org/officeDocument/2006/relationships/hyperlink" Target="https://www.itu.int/md/S26-CL-C-0042/en" TargetMode="External"/><Relationship Id="rId54" Type="http://schemas.openxmlformats.org/officeDocument/2006/relationships/hyperlink" Target="https://www.itu.int/md/S26-CWGFHR22-C-0014/en" TargetMode="External"/><Relationship Id="rId62" Type="http://schemas.openxmlformats.org/officeDocument/2006/relationships/hyperlink" Target="https://www.itu.int/md/S26-CWGFHR22-C-0030/en" TargetMode="External"/><Relationship Id="rId70" Type="http://schemas.openxmlformats.org/officeDocument/2006/relationships/hyperlink" Target="https://www.itu.int/md/S26-CL-C-0055/en"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tu.int/md/S23-C23ADD-INF-0001/en" TargetMode="External"/><Relationship Id="rId23" Type="http://schemas.openxmlformats.org/officeDocument/2006/relationships/hyperlink" Target="https://www.itu.int/md/S26-CL-C-0042/en" TargetMode="External"/><Relationship Id="rId28" Type="http://schemas.openxmlformats.org/officeDocument/2006/relationships/hyperlink" Target="https://www.itu.int/md/S23-CL-C-0052/en" TargetMode="External"/><Relationship Id="rId36" Type="http://schemas.openxmlformats.org/officeDocument/2006/relationships/hyperlink" Target="https://www.itu.int/md/S24-CL-C-0052/en" TargetMode="External"/><Relationship Id="rId49" Type="http://schemas.openxmlformats.org/officeDocument/2006/relationships/hyperlink" Target="https://www.itu.int/md/S26-CWGFHR22-C-0015/en" TargetMode="External"/><Relationship Id="rId57" Type="http://schemas.openxmlformats.org/officeDocument/2006/relationships/hyperlink" Target="https://www.itu.int/md/S26-CWGFHR22-C-0030/en" TargetMode="External"/><Relationship Id="rId10" Type="http://schemas.openxmlformats.org/officeDocument/2006/relationships/hyperlink" Target="https://www.itu.int/md/S23-CL-C-0052/en" TargetMode="External"/><Relationship Id="rId31" Type="http://schemas.openxmlformats.org/officeDocument/2006/relationships/hyperlink" Target="https://www.itu.int/md/S23-CL-INF-0013/en" TargetMode="External"/><Relationship Id="rId44" Type="http://schemas.openxmlformats.org/officeDocument/2006/relationships/hyperlink" Target="https://www.itu.int/md/S26-CL-C-0022/en" TargetMode="External"/><Relationship Id="rId52" Type="http://schemas.openxmlformats.org/officeDocument/2006/relationships/hyperlink" Target="https://www.itu.int/md/S25-CWGFHR21-C-0025/en" TargetMode="External"/><Relationship Id="rId60" Type="http://schemas.openxmlformats.org/officeDocument/2006/relationships/hyperlink" Target="https://www.itu.int/md/S23-CL-C-0052/en" TargetMode="External"/><Relationship Id="rId65" Type="http://schemas.openxmlformats.org/officeDocument/2006/relationships/hyperlink" Target="https://www.itu.int/md/S26-CL-C-0055/en" TargetMode="External"/><Relationship Id="rId73" Type="http://schemas.openxmlformats.org/officeDocument/2006/relationships/hyperlink" Target="https://www.itu.int/md/S26-CL-C-0061/en" TargetMode="External"/><Relationship Id="rId78"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itu.int/md/S26-CL-C-0061/en" TargetMode="External"/><Relationship Id="rId13" Type="http://schemas.openxmlformats.org/officeDocument/2006/relationships/hyperlink" Target="https://www.itu.int/md/S23-CL-INF-0013/en" TargetMode="External"/><Relationship Id="rId18" Type="http://schemas.openxmlformats.org/officeDocument/2006/relationships/hyperlink" Target="https://www.itu.int/md/S24-CL-C-0052/en" TargetMode="External"/><Relationship Id="rId39" Type="http://schemas.openxmlformats.org/officeDocument/2006/relationships/hyperlink" Target="https://www.itu.int/md/S25-CL-C-0055/en" TargetMode="External"/><Relationship Id="rId34" Type="http://schemas.openxmlformats.org/officeDocument/2006/relationships/hyperlink" Target="https://www.itu.int/md/S24-CL-C-0019/en" TargetMode="External"/><Relationship Id="rId50" Type="http://schemas.openxmlformats.org/officeDocument/2006/relationships/hyperlink" Target="https://www.itu.int/md/S26-CWGFHR22-C-0017/en" TargetMode="External"/><Relationship Id="rId55" Type="http://schemas.openxmlformats.org/officeDocument/2006/relationships/hyperlink" Target="https://www.itu.int/md/S26-CWGFHR22-C-0015/en" TargetMode="External"/><Relationship Id="rId76" Type="http://schemas.openxmlformats.org/officeDocument/2006/relationships/footer" Target="footer2.xml"/><Relationship Id="rId7" Type="http://schemas.openxmlformats.org/officeDocument/2006/relationships/hyperlink" Target="https://www.itu.int/pub/S-CONF-CL-2025/fr" TargetMode="External"/><Relationship Id="rId71" Type="http://schemas.openxmlformats.org/officeDocument/2006/relationships/hyperlink" Target="https://www.itu.int/md/S26-CL-C-0062/en" TargetMode="External"/><Relationship Id="rId2" Type="http://schemas.openxmlformats.org/officeDocument/2006/relationships/styles" Target="styles.xml"/><Relationship Id="rId29" Type="http://schemas.openxmlformats.org/officeDocument/2006/relationships/hyperlink" Target="https://www.itu.int/md/S23-CL-C-0062/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Template>
  <TotalTime>2</TotalTime>
  <Pages>3</Pages>
  <Words>1278</Words>
  <Characters>7513</Characters>
  <Application>Microsoft Office Word</Application>
  <DocSecurity>0</DocSecurity>
  <Lines>120</Lines>
  <Paragraphs>28</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8763</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Recommandations sur le renforcement de la transformation de l'UIT</dc:title>
  <dc:subject>Conseil 2026 de l'UIT</dc:subject>
  <dc:creator>Brouard, Ricarda</dc:creator>
  <cp:keywords>C26; C2026; Council 2026; PP26</cp:keywords>
  <dc:description/>
  <cp:lastModifiedBy>GBS</cp:lastModifiedBy>
  <cp:revision>3</cp:revision>
  <cp:lastPrinted>2000-07-18T08:55:00Z</cp:lastPrinted>
  <dcterms:created xsi:type="dcterms:W3CDTF">2026-04-24T15:01:00Z</dcterms:created>
  <dcterms:modified xsi:type="dcterms:W3CDTF">2026-04-24T15:01:00Z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