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B58BA" w14:paraId="59F5768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AEC4054" w14:textId="74E6FC61" w:rsidR="00796BD3" w:rsidRPr="005B58BA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B58BA">
              <w:rPr>
                <w:b/>
                <w:lang w:val="ru-RU"/>
              </w:rPr>
              <w:t>Пункт повестки дня:</w:t>
            </w:r>
            <w:r w:rsidR="004E4713" w:rsidRPr="005B58BA">
              <w:rPr>
                <w:lang w:val="ru-RU"/>
              </w:rPr>
              <w:t xml:space="preserve"> </w:t>
            </w:r>
            <w:r w:rsidR="004E4713" w:rsidRPr="005B58BA">
              <w:rPr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046CB8AD" w14:textId="574D5E5C" w:rsidR="00796BD3" w:rsidRPr="005B58B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B58BA">
              <w:rPr>
                <w:b/>
                <w:lang w:val="ru-RU"/>
              </w:rPr>
              <w:t xml:space="preserve">Документ </w:t>
            </w:r>
            <w:r w:rsidR="00796BD3" w:rsidRPr="005B58BA">
              <w:rPr>
                <w:b/>
                <w:lang w:val="ru-RU"/>
              </w:rPr>
              <w:t>C2</w:t>
            </w:r>
            <w:r w:rsidR="00BE00DD" w:rsidRPr="005B58BA">
              <w:rPr>
                <w:b/>
                <w:lang w:val="ru-RU"/>
              </w:rPr>
              <w:t>6</w:t>
            </w:r>
            <w:r w:rsidR="00796BD3" w:rsidRPr="005B58BA">
              <w:rPr>
                <w:b/>
                <w:lang w:val="ru-RU"/>
              </w:rPr>
              <w:t>/</w:t>
            </w:r>
            <w:r w:rsidR="004E4713" w:rsidRPr="005B58BA">
              <w:rPr>
                <w:b/>
                <w:lang w:val="ru-RU"/>
              </w:rPr>
              <w:t>81</w:t>
            </w:r>
            <w:r w:rsidR="00796BD3" w:rsidRPr="005B58BA">
              <w:rPr>
                <w:b/>
                <w:lang w:val="ru-RU"/>
              </w:rPr>
              <w:t>-R</w:t>
            </w:r>
          </w:p>
        </w:tc>
      </w:tr>
      <w:tr w:rsidR="00796BD3" w:rsidRPr="005B58BA" w14:paraId="1F3AE85B" w14:textId="77777777" w:rsidTr="00D17718">
        <w:trPr>
          <w:cantSplit/>
        </w:trPr>
        <w:tc>
          <w:tcPr>
            <w:tcW w:w="3969" w:type="dxa"/>
            <w:vMerge/>
          </w:tcPr>
          <w:p w14:paraId="38D0DCEE" w14:textId="77777777" w:rsidR="00796BD3" w:rsidRPr="005B58B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FB85FAB" w14:textId="39F00716" w:rsidR="00796BD3" w:rsidRPr="005B58BA" w:rsidRDefault="004E471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B58BA">
              <w:rPr>
                <w:b/>
                <w:lang w:val="ru-RU"/>
              </w:rPr>
              <w:t>14 апреля 2026 года</w:t>
            </w:r>
          </w:p>
        </w:tc>
      </w:tr>
      <w:tr w:rsidR="00796BD3" w:rsidRPr="005B58BA" w14:paraId="03BC34A6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31F0BE9B" w14:textId="77777777" w:rsidR="00796BD3" w:rsidRPr="005B58B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BCD0816" w14:textId="5798188E" w:rsidR="00796BD3" w:rsidRPr="005B58B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B58BA">
              <w:rPr>
                <w:b/>
                <w:lang w:val="ru-RU"/>
              </w:rPr>
              <w:t xml:space="preserve">Оригинал: </w:t>
            </w:r>
            <w:r w:rsidR="004E4713" w:rsidRPr="005B58BA">
              <w:rPr>
                <w:b/>
                <w:lang w:val="ru-RU"/>
              </w:rPr>
              <w:t>китайский</w:t>
            </w:r>
          </w:p>
        </w:tc>
      </w:tr>
      <w:tr w:rsidR="00796BD3" w:rsidRPr="005B58BA" w14:paraId="50E79BAF" w14:textId="77777777" w:rsidTr="00D17718">
        <w:trPr>
          <w:cantSplit/>
          <w:trHeight w:val="23"/>
        </w:trPr>
        <w:tc>
          <w:tcPr>
            <w:tcW w:w="3969" w:type="dxa"/>
          </w:tcPr>
          <w:p w14:paraId="663C7322" w14:textId="77777777" w:rsidR="00796BD3" w:rsidRPr="005B58B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819CD59" w14:textId="77777777" w:rsidR="00796BD3" w:rsidRPr="005B58B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06565" w14:paraId="6DEF681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04C65EF" w14:textId="68945942" w:rsidR="00796BD3" w:rsidRPr="00B06565" w:rsidRDefault="004E4713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B58BA">
              <w:rPr>
                <w:bCs/>
              </w:rPr>
              <w:t>Вклад Китайской Народной Республики</w:t>
            </w:r>
            <w:r w:rsidR="00B06565" w:rsidRPr="00B06565">
              <w:rPr>
                <w:bCs/>
              </w:rPr>
              <w:t xml:space="preserve"> </w:t>
            </w:r>
            <w:r w:rsidR="00B06565" w:rsidRPr="00B06565">
              <w:rPr>
                <w:bCs/>
              </w:rPr>
              <w:t>и Кубы</w:t>
            </w:r>
          </w:p>
        </w:tc>
      </w:tr>
      <w:tr w:rsidR="00796BD3" w:rsidRPr="00B06565" w14:paraId="14EEB13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47984F7" w14:textId="1095EFB6" w:rsidR="00796BD3" w:rsidRPr="005B58BA" w:rsidRDefault="004E4713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5B58BA">
              <w:t>РЕКОМЕНДАЦИИ ПО ДАЛЬНЕЙШЕЙ ДОРАБОТКЕ ПРОЕКТА ФИНАНСОВОГО ПЛАНА НА 2028−2031 ГОДЫ</w:t>
            </w:r>
          </w:p>
        </w:tc>
      </w:tr>
      <w:tr w:rsidR="00796BD3" w:rsidRPr="00B06565" w14:paraId="2D201B8F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410D795" w14:textId="77777777" w:rsidR="00796BD3" w:rsidRPr="005B58B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B58BA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52B31BE" w14:textId="64A52E52" w:rsidR="00796BD3" w:rsidRPr="005B58BA" w:rsidRDefault="004E4713" w:rsidP="00D17718">
            <w:pPr>
              <w:rPr>
                <w:lang w:val="ru-RU"/>
              </w:rPr>
            </w:pPr>
            <w:r w:rsidRPr="005B58BA">
              <w:rPr>
                <w:lang w:val="ru-RU"/>
              </w:rPr>
              <w:t>В настоящем вкладе содержатся замечания и рекомендации по совершенствованию проекта Финансового плана на 2028−2031 годы, представленного Секретариатом.</w:t>
            </w:r>
          </w:p>
          <w:p w14:paraId="55200BDB" w14:textId="77777777" w:rsidR="00796BD3" w:rsidRPr="005B58B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B58B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973B57D" w14:textId="342F26BD" w:rsidR="00796BD3" w:rsidRPr="005B58BA" w:rsidRDefault="004E4713" w:rsidP="00D17718">
            <w:pPr>
              <w:rPr>
                <w:lang w:val="ru-RU"/>
              </w:rPr>
            </w:pPr>
            <w:r w:rsidRPr="005B58BA">
              <w:rPr>
                <w:lang w:val="ru-RU"/>
              </w:rPr>
              <w:t xml:space="preserve">Совету предлагается </w:t>
            </w:r>
            <w:r w:rsidRPr="005B58BA">
              <w:rPr>
                <w:b/>
                <w:lang w:val="ru-RU"/>
              </w:rPr>
              <w:t>рассмотреть</w:t>
            </w:r>
            <w:r w:rsidRPr="005B58BA">
              <w:rPr>
                <w:lang w:val="ru-RU"/>
              </w:rPr>
              <w:t xml:space="preserve"> настоящее предложение при разработке проекта Финансового плана МСЭ на 2028−2031 годы.</w:t>
            </w:r>
          </w:p>
          <w:p w14:paraId="4F4CB57A" w14:textId="77777777" w:rsidR="00796BD3" w:rsidRPr="005B58BA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B58BA">
              <w:rPr>
                <w:sz w:val="20"/>
                <w:szCs w:val="18"/>
                <w:lang w:val="ru-RU"/>
              </w:rPr>
              <w:t>__________________</w:t>
            </w:r>
          </w:p>
          <w:p w14:paraId="4CDAF345" w14:textId="77777777" w:rsidR="00796BD3" w:rsidRPr="005B58BA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B58BA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6B371C4" w14:textId="635F18AB" w:rsidR="00796BD3" w:rsidRPr="005B58BA" w:rsidRDefault="004E4713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5B58BA">
                <w:rPr>
                  <w:rStyle w:val="Hyperlink"/>
                  <w:i/>
                  <w:iCs/>
                  <w:lang w:val="ru-RU"/>
                </w:rPr>
                <w:t>Пункт 51 Статьи 8</w:t>
              </w:r>
            </w:hyperlink>
            <w:r w:rsidRPr="005B58BA">
              <w:rPr>
                <w:i/>
                <w:iCs/>
                <w:lang w:val="ru-RU"/>
              </w:rPr>
              <w:t xml:space="preserve"> Устава; </w:t>
            </w:r>
            <w:hyperlink r:id="rId8" w:history="1">
              <w:r w:rsidRPr="005B58BA">
                <w:rPr>
                  <w:rStyle w:val="Hyperlink"/>
                  <w:i/>
                  <w:iCs/>
                  <w:lang w:val="ru-RU"/>
                </w:rPr>
                <w:t>Резолюция 151 (Пересм. Бухарест, 2022 г.)</w:t>
              </w:r>
            </w:hyperlink>
            <w:r w:rsidRPr="005B58BA">
              <w:rPr>
                <w:i/>
                <w:iCs/>
                <w:lang w:val="ru-RU"/>
              </w:rPr>
              <w:t xml:space="preserve"> Полномочной конференции о совершенствовании в МСЭ управления, ориентированного на результаты; </w:t>
            </w:r>
            <w:hyperlink r:id="rId9" w:history="1">
              <w:r w:rsidRPr="005B58BA">
                <w:rPr>
                  <w:rStyle w:val="Hyperlink"/>
                  <w:i/>
                  <w:iCs/>
                  <w:lang w:val="ru-RU"/>
                </w:rPr>
                <w:t>Решение 535 (C05, последнее изменение C14)</w:t>
              </w:r>
            </w:hyperlink>
            <w:r w:rsidRPr="005B58BA">
              <w:rPr>
                <w:i/>
                <w:iCs/>
                <w:lang w:val="ru-RU"/>
              </w:rPr>
              <w:t xml:space="preserve"> Совета о методике распределения затрат; </w:t>
            </w:r>
            <w:hyperlink r:id="rId10" w:history="1">
              <w:r w:rsidRPr="005B58BA">
                <w:rPr>
                  <w:rStyle w:val="Hyperlink"/>
                  <w:i/>
                  <w:iCs/>
                  <w:lang w:val="ru-RU"/>
                </w:rPr>
                <w:t>Резолюция 1428 (C24)</w:t>
              </w:r>
            </w:hyperlink>
            <w:r w:rsidRPr="005B58BA">
              <w:rPr>
                <w:i/>
                <w:iCs/>
                <w:lang w:val="ru-RU"/>
              </w:rPr>
              <w:t xml:space="preserve"> Совета об учреждении Рабочей группы Совета по разработке Стратегического и Финансового планов на 2028−2031 годы; Документ </w:t>
            </w:r>
            <w:hyperlink r:id="rId11" w:history="1">
              <w:r w:rsidRPr="005B58BA">
                <w:rPr>
                  <w:rStyle w:val="Hyperlink"/>
                  <w:i/>
                  <w:iCs/>
                  <w:lang w:val="ru-RU"/>
                </w:rPr>
                <w:t>CWG</w:t>
              </w:r>
              <w:r w:rsidR="000D3B07" w:rsidRPr="005B58BA">
                <w:rPr>
                  <w:rStyle w:val="Hyperlink"/>
                  <w:i/>
                  <w:iCs/>
                  <w:lang w:val="ru-RU"/>
                </w:rPr>
                <w:t>-</w:t>
              </w:r>
              <w:r w:rsidRPr="005B58BA">
                <w:rPr>
                  <w:rStyle w:val="Hyperlink"/>
                  <w:i/>
                  <w:iCs/>
                  <w:lang w:val="ru-RU"/>
                </w:rPr>
                <w:t>SFP</w:t>
              </w:r>
              <w:r w:rsidR="005B58BA">
                <w:rPr>
                  <w:rStyle w:val="Hyperlink"/>
                  <w:i/>
                  <w:iCs/>
                  <w:lang w:val="ru-RU"/>
                </w:rPr>
                <w:t>-</w:t>
              </w:r>
              <w:r w:rsidRPr="005B58BA">
                <w:rPr>
                  <w:rStyle w:val="Hyperlink"/>
                  <w:i/>
                  <w:iCs/>
                  <w:lang w:val="ru-RU"/>
                </w:rPr>
                <w:t>3/6</w:t>
              </w:r>
            </w:hyperlink>
            <w:r w:rsidRPr="005B58BA">
              <w:rPr>
                <w:i/>
                <w:iCs/>
                <w:lang w:val="ru-RU"/>
              </w:rPr>
              <w:t xml:space="preserve"> об увязке Стратегического, Финансового и Оперативного планов МСЭ</w:t>
            </w:r>
          </w:p>
        </w:tc>
      </w:tr>
      <w:bookmarkEnd w:id="2"/>
      <w:bookmarkEnd w:id="6"/>
    </w:tbl>
    <w:p w14:paraId="43CE0EFF" w14:textId="77777777" w:rsidR="00796BD3" w:rsidRPr="005B58BA" w:rsidRDefault="00796BD3" w:rsidP="00796BD3">
      <w:pPr>
        <w:rPr>
          <w:lang w:val="ru-RU"/>
        </w:rPr>
      </w:pPr>
    </w:p>
    <w:p w14:paraId="53222281" w14:textId="77777777" w:rsidR="00D17718" w:rsidRPr="005B58BA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F928ED8" w14:textId="77777777" w:rsidR="00165D06" w:rsidRPr="005B58B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B58BA">
        <w:rPr>
          <w:lang w:val="ru-RU"/>
        </w:rPr>
        <w:br w:type="page"/>
      </w:r>
    </w:p>
    <w:p w14:paraId="0E15ED83" w14:textId="77777777" w:rsidR="00C317C1" w:rsidRPr="005B58BA" w:rsidRDefault="00C317C1" w:rsidP="00143844">
      <w:pPr>
        <w:pStyle w:val="Heading1"/>
        <w:rPr>
          <w:lang w:val="ru-RU"/>
        </w:rPr>
      </w:pPr>
      <w:r w:rsidRPr="005B58BA">
        <w:rPr>
          <w:lang w:val="ru-RU"/>
        </w:rPr>
        <w:lastRenderedPageBreak/>
        <w:t>1</w:t>
      </w:r>
      <w:r w:rsidRPr="005B58BA">
        <w:rPr>
          <w:lang w:val="ru-RU"/>
        </w:rPr>
        <w:tab/>
        <w:t>Базовая информация</w:t>
      </w:r>
    </w:p>
    <w:p w14:paraId="7A456200" w14:textId="77777777" w:rsidR="00C317C1" w:rsidRPr="00C317C1" w:rsidRDefault="00C317C1" w:rsidP="00704B17">
      <w:pPr>
        <w:jc w:val="both"/>
        <w:rPr>
          <w:lang w:val="ru-RU"/>
        </w:rPr>
      </w:pPr>
      <w:r w:rsidRPr="00C317C1">
        <w:rPr>
          <w:lang w:val="ru-RU"/>
        </w:rPr>
        <w:t>Проект Финансового плана на 2028–2031 годы призван стать инструментом, который позволит Полномочной конференции 2026 года определить бюджетную основу и соответствующие финансовые ограничения с учетом имеющихся в распоряжении Союза ресурсов и соответствующих видов деятельности в течение рассматриваемого периода. Финансовый план должен быть увязан с проектом Стратегического плана и изложенными в нем целями и приоритетами Союза. Финансовый план обеспечивает финансовую основу для определения стратегических целей и приоритетов и будет отражать распределение средств для выполнения задач, изложенных в проекте Стратегического плана.</w:t>
      </w:r>
    </w:p>
    <w:p w14:paraId="52CD88AB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>1)</w:t>
      </w:r>
      <w:r w:rsidRPr="005B58BA">
        <w:rPr>
          <w:lang w:val="ru-RU"/>
        </w:rPr>
        <w:tab/>
        <w:t>В Решении 535 Совета устанавливается методика распределения затрат для Финансового плана, которая обеспечивает увязку между проектом Финансового плана и проектом Стратегического плана путем перераспределения ресурсов между всеми Бюро и Генеральным секретариатом, а также между различными общими целями и приоритетами, определенными в проекте Стратегического плана. Данная методика распределения затрат предусматривает следующий четырехэтапный процесс:</w:t>
      </w:r>
    </w:p>
    <w:p w14:paraId="3200ECE7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ab/>
      </w:r>
      <w:r w:rsidRPr="005B58BA">
        <w:rPr>
          <w:b/>
          <w:lang w:val="ru-RU"/>
        </w:rPr>
        <w:t>Этап 1</w:t>
      </w:r>
      <w:r w:rsidRPr="005B58BA">
        <w:rPr>
          <w:bCs/>
          <w:lang w:val="ru-RU"/>
        </w:rPr>
        <w:t>: З</w:t>
      </w:r>
      <w:r w:rsidRPr="005B58BA">
        <w:rPr>
          <w:lang w:val="ru-RU"/>
        </w:rPr>
        <w:t>атраты на централизованные услуги Генерального секретариата распределяются на три Бюро (БР, БСЭ, БРЭ) и на межсекторальные виды деятельности с помощью носителя распределения затрат.</w:t>
      </w:r>
    </w:p>
    <w:p w14:paraId="688D1928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ab/>
      </w:r>
      <w:r w:rsidRPr="005B58BA">
        <w:rPr>
          <w:b/>
          <w:lang w:val="ru-RU"/>
        </w:rPr>
        <w:t>Этап 2</w:t>
      </w:r>
      <w:r w:rsidRPr="005B58BA">
        <w:rPr>
          <w:bCs/>
          <w:lang w:val="ru-RU"/>
        </w:rPr>
        <w:t xml:space="preserve">: </w:t>
      </w:r>
      <w:r w:rsidRPr="005B58BA">
        <w:rPr>
          <w:lang w:val="ru-RU"/>
        </w:rPr>
        <w:t>Затраты трех Бюро и затраты на межсекторальные виды деятельности перераспределяются на намеченные результаты деятельности на основе обзора распределения времени.</w:t>
      </w:r>
    </w:p>
    <w:p w14:paraId="080AF910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ab/>
      </w:r>
      <w:r w:rsidRPr="005B58BA">
        <w:rPr>
          <w:b/>
          <w:lang w:val="ru-RU"/>
        </w:rPr>
        <w:t>Этап 3</w:t>
      </w:r>
      <w:r w:rsidRPr="005B58BA">
        <w:rPr>
          <w:bCs/>
          <w:lang w:val="ru-RU"/>
        </w:rPr>
        <w:t xml:space="preserve">: </w:t>
      </w:r>
      <w:r w:rsidRPr="005B58BA">
        <w:rPr>
          <w:lang w:val="ru-RU"/>
        </w:rPr>
        <w:t>Затраты на намеченные результаты деятельности перераспределяются на стратегические задачи Стратегического плана МСЭ на основе носителя распределения затрат.</w:t>
      </w:r>
    </w:p>
    <w:p w14:paraId="28019303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ab/>
      </w:r>
      <w:r w:rsidRPr="005B58BA">
        <w:rPr>
          <w:b/>
          <w:lang w:val="ru-RU"/>
        </w:rPr>
        <w:t>Этап 4</w:t>
      </w:r>
      <w:r w:rsidRPr="005B58BA">
        <w:rPr>
          <w:bCs/>
          <w:lang w:val="ru-RU"/>
        </w:rPr>
        <w:t xml:space="preserve">: </w:t>
      </w:r>
      <w:r w:rsidRPr="005B58BA">
        <w:rPr>
          <w:lang w:val="ru-RU"/>
        </w:rPr>
        <w:t>Затраты на стратегические задачи перераспределяются на цели Союза, изложенные в Стратегическом плане МСЭ, на основе носителя распределения затрат.</w:t>
      </w:r>
    </w:p>
    <w:p w14:paraId="5F719668" w14:textId="53383CDF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>2)</w:t>
      </w:r>
      <w:r w:rsidRPr="005B58BA">
        <w:rPr>
          <w:lang w:val="ru-RU"/>
        </w:rPr>
        <w:tab/>
        <w:t>В Резолюции 151 Полномочной конференции о совершенствовании в Союзе управления, ориентированного на результаты, Генеральному секретарю и Директорам трех Бюро поручается разработать в рамках МСЭ комплексную систему управления, ориентированного на результаты (УОР), для содействия выполнению Стратегического, Финансового и Оперативного планов и бюджета, включая определение видов деятельности Союза, целей в рамках этих видов деятельности, а также соответствующих ресурсов и результатов, с тем чтобы укрепить способность Членов МСЭ оценивать прогресс в достижении целей Союза. В связи с этим в отчете Рабочей группы Совета по разработке Стратегического и Финансового планов (РГС-СФП) об увязке Стратегического, Финансового и Оперативного планов МСЭ (</w:t>
      </w:r>
      <w:hyperlink r:id="rId12" w:history="1">
        <w:r w:rsidRPr="005B58BA">
          <w:rPr>
            <w:rStyle w:val="Hyperlink"/>
            <w:lang w:val="ru-RU"/>
          </w:rPr>
          <w:t>CWG-SFP-3/6</w:t>
        </w:r>
      </w:hyperlink>
      <w:r w:rsidRPr="005B58BA">
        <w:rPr>
          <w:lang w:val="ru-RU"/>
        </w:rPr>
        <w:t>) указывается, что при разработке Стратегического и Финансового планов на 2028−2031</w:t>
      </w:r>
      <w:r w:rsidR="005B58BA">
        <w:rPr>
          <w:lang w:val="ru-RU"/>
        </w:rPr>
        <w:t> </w:t>
      </w:r>
      <w:r w:rsidRPr="005B58BA">
        <w:rPr>
          <w:lang w:val="ru-RU"/>
        </w:rPr>
        <w:t>годы МСЭ сосредоточит внимание на укреплении своей системы УОР для обеспечения эффективной интеграции Стратегического, Финансового и Оперативного планов, в частности, путем применения подхода, основанного на данных, для более четкого разграничения между ожидаемыми результатами стратегического уровня (показатели воздействия и конечные результаты деятельности на уровне Стратегического плана) и обычными оперативными планами работы (намеченные результаты деятельности, виды деятельности и связанные с ними затраты на уровне Оперативного плана).</w:t>
      </w:r>
      <w:hyperlink r:id="rId13" w:history="1"/>
    </w:p>
    <w:p w14:paraId="23A3F617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>3)</w:t>
      </w:r>
      <w:r w:rsidRPr="005B58BA">
        <w:rPr>
          <w:lang w:val="ru-RU"/>
        </w:rPr>
        <w:tab/>
        <w:t xml:space="preserve">Финансовый план служит основной базой для определения годового бюджета, установления бюджетных рамок и финансовых ограничений на основе всестороннего рассмотрения имеющихся ресурсов и соответствующих видов деятельности. Текущий проект Финансового плана не в полной мере обеспечивает учет ряда ключевых факторов, таких как необходимость выполнения резолюций будущих конференций, </w:t>
      </w:r>
      <w:r w:rsidRPr="005B58BA">
        <w:rPr>
          <w:lang w:val="ru-RU"/>
        </w:rPr>
        <w:lastRenderedPageBreak/>
        <w:t>реализации инициатив в области появляющихся технологий, инвестирования в инфраструктуру ИКТ и обеспечения непрерывности деятельности в период строительства зданий штаб-квартиры. Соответственно, при подготовке годового бюджета распределение ресурсов следует дополнительно оптимизировать и внести в него необходимые корректировки.</w:t>
      </w:r>
    </w:p>
    <w:p w14:paraId="64248FD1" w14:textId="77777777" w:rsidR="00C317C1" w:rsidRPr="005B58BA" w:rsidRDefault="00C317C1" w:rsidP="00C317C1">
      <w:pPr>
        <w:pStyle w:val="Heading1"/>
        <w:rPr>
          <w:lang w:val="ru-RU"/>
        </w:rPr>
      </w:pPr>
      <w:r w:rsidRPr="005B58BA">
        <w:rPr>
          <w:lang w:val="ru-RU"/>
        </w:rPr>
        <w:t>2</w:t>
      </w:r>
      <w:r w:rsidRPr="005B58BA">
        <w:rPr>
          <w:lang w:val="ru-RU"/>
        </w:rPr>
        <w:tab/>
        <w:t>Предложение</w:t>
      </w:r>
    </w:p>
    <w:p w14:paraId="69AE3F5B" w14:textId="77777777" w:rsidR="00C317C1" w:rsidRPr="00C317C1" w:rsidRDefault="00C317C1" w:rsidP="00704B17">
      <w:pPr>
        <w:jc w:val="both"/>
        <w:rPr>
          <w:lang w:val="ru-RU"/>
        </w:rPr>
      </w:pPr>
      <w:r w:rsidRPr="00C317C1">
        <w:rPr>
          <w:lang w:val="ru-RU"/>
        </w:rPr>
        <w:t>В проекте Финансового плана на 2028−2031 годы (</w:t>
      </w:r>
      <w:hyperlink r:id="rId14" w:history="1">
        <w:r w:rsidRPr="00C317C1">
          <w:rPr>
            <w:rStyle w:val="Hyperlink"/>
            <w:lang w:val="ru-RU"/>
          </w:rPr>
          <w:t>C26/32</w:t>
        </w:r>
      </w:hyperlink>
      <w:r w:rsidRPr="00C317C1">
        <w:rPr>
          <w:lang w:val="ru-RU"/>
        </w:rPr>
        <w:t>) представлено предварительное распределение ресурсов на основе сметных доходов и расходов по пяти приоритетным направлениям, обозначенным в проекте Стратегического плана, что обеспечивает хорошую основу для последующего рассмотрения. Вместе с тем следующие аспекты документа требуют дополнительного разъяснения и доработки.</w:t>
      </w:r>
      <w:hyperlink r:id="rId15" w:history="1"/>
    </w:p>
    <w:p w14:paraId="5CC17E9E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>1)</w:t>
      </w:r>
      <w:r w:rsidRPr="005B58BA">
        <w:rPr>
          <w:lang w:val="ru-RU"/>
        </w:rPr>
        <w:tab/>
        <w:t>С учетом принципов управления, ориентированного на результаты, и в соответствии с методикой распределения затрат, установленной в Решении 535, предлагается дополнить Финансовый план подробной пошаговой информацией о распределении финансовых ресурсов, с тем чтобы четко отобразить процесс распределения ресурсов и его согласованность с приоритетами, обеспечив при этом, чтобы порядок работы трех Бюро и Генерального секретариата и их потребности в ресурсах были по-прежнему согласованы с процессом осуществления стратегических целей. Пошаговое представление информации позволяет четко понять принципы распределения общего бюджета Союза между тремя Бюро и Генеральным секретариатом, особенно в том, что касается затрат, связанных с централизованными услугами Генерального секретариата и межсекторальными видами деятельности, а также прояснить взаимосвязь между намеченными результатами деятельности, приоритетами и распределением ресурсов между тремя Бюро и Генеральным секретариатом, благодаря чему становятся понятными причины различий в бюджетных ассигнованиях между Секторами.</w:t>
      </w:r>
    </w:p>
    <w:p w14:paraId="06235735" w14:textId="77777777" w:rsidR="00C317C1" w:rsidRPr="005B58BA" w:rsidRDefault="00C317C1" w:rsidP="00704B17">
      <w:pPr>
        <w:pStyle w:val="enumlev1"/>
        <w:jc w:val="both"/>
        <w:rPr>
          <w:lang w:val="ru-RU"/>
        </w:rPr>
      </w:pPr>
      <w:r w:rsidRPr="005B58BA">
        <w:rPr>
          <w:lang w:val="ru-RU"/>
        </w:rPr>
        <w:t>2)</w:t>
      </w:r>
      <w:r w:rsidRPr="005B58BA">
        <w:rPr>
          <w:lang w:val="ru-RU"/>
        </w:rPr>
        <w:tab/>
        <w:t>Для того чтобы задачи, определенные в Стратегическом и Финансовом планах, были должным образом отражены в оперативном плане и годовом бюджете Союза, в ходе составления двухгодичного бюджета следует проводить дополнительный анализ планов осуществления по проектам или видам деятельности, которые не могут быть полностью профинансированы в рамках текущего проекта Финансового плана, с целью определения требуемых сумм и источников финансирования соответствующих видов деятельности (регулярный бюджет или добровольные взносы).</w:t>
      </w:r>
    </w:p>
    <w:p w14:paraId="59A437BE" w14:textId="77777777" w:rsidR="00796BD3" w:rsidRPr="005B58BA" w:rsidRDefault="00C462C5" w:rsidP="00C317C1">
      <w:pPr>
        <w:spacing w:before="720"/>
        <w:jc w:val="center"/>
        <w:rPr>
          <w:lang w:val="ru-RU"/>
        </w:rPr>
      </w:pPr>
      <w:r w:rsidRPr="005B58BA">
        <w:rPr>
          <w:lang w:val="ru-RU"/>
        </w:rPr>
        <w:t>______________</w:t>
      </w:r>
    </w:p>
    <w:sectPr w:rsidR="00796BD3" w:rsidRPr="005B58BA" w:rsidSect="00796BD3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3933" w14:textId="77777777" w:rsidR="004E4713" w:rsidRDefault="004E4713">
      <w:r>
        <w:separator/>
      </w:r>
    </w:p>
  </w:endnote>
  <w:endnote w:type="continuationSeparator" w:id="0">
    <w:p w14:paraId="695F8EF3" w14:textId="77777777" w:rsidR="004E4713" w:rsidRDefault="004E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075C8A0" w14:textId="77777777" w:rsidTr="00E31DCE">
      <w:trPr>
        <w:jc w:val="center"/>
      </w:trPr>
      <w:tc>
        <w:tcPr>
          <w:tcW w:w="1803" w:type="dxa"/>
          <w:vAlign w:val="center"/>
        </w:tcPr>
        <w:p w14:paraId="46E86D19" w14:textId="2A7D0B6D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0D3B07" w:rsidRPr="000D3B07">
            <w:rPr>
              <w:noProof/>
            </w:rPr>
            <w:t>2600913</w:t>
          </w:r>
        </w:p>
      </w:tc>
      <w:tc>
        <w:tcPr>
          <w:tcW w:w="8261" w:type="dxa"/>
        </w:tcPr>
        <w:p w14:paraId="5DAE3D62" w14:textId="5C46551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0D3B07">
            <w:rPr>
              <w:bCs/>
            </w:rPr>
            <w:t>81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19E4471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8FC1277" w14:textId="77777777" w:rsidTr="00E31DCE">
      <w:trPr>
        <w:jc w:val="center"/>
      </w:trPr>
      <w:tc>
        <w:tcPr>
          <w:tcW w:w="1803" w:type="dxa"/>
          <w:vAlign w:val="center"/>
        </w:tcPr>
        <w:p w14:paraId="5180A924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FE5ABC9" w14:textId="50F61F0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0D3B07">
            <w:rPr>
              <w:bCs/>
            </w:rPr>
            <w:t>81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95D2DE8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51E9" w14:textId="77777777" w:rsidR="004E4713" w:rsidRDefault="004E4713">
      <w:r>
        <w:t>____________________</w:t>
      </w:r>
    </w:p>
  </w:footnote>
  <w:footnote w:type="continuationSeparator" w:id="0">
    <w:p w14:paraId="725E2E7D" w14:textId="77777777" w:rsidR="004E4713" w:rsidRDefault="004E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C74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000BABD" wp14:editId="7708CA7C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13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D3B07"/>
    <w:rsid w:val="000E568E"/>
    <w:rsid w:val="0014229E"/>
    <w:rsid w:val="00143844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4E4713"/>
    <w:rsid w:val="00515795"/>
    <w:rsid w:val="005A64D5"/>
    <w:rsid w:val="005B3DEC"/>
    <w:rsid w:val="005B58BA"/>
    <w:rsid w:val="00601994"/>
    <w:rsid w:val="00660449"/>
    <w:rsid w:val="00672F8A"/>
    <w:rsid w:val="006E2D42"/>
    <w:rsid w:val="00703676"/>
    <w:rsid w:val="00704B17"/>
    <w:rsid w:val="00707304"/>
    <w:rsid w:val="00732269"/>
    <w:rsid w:val="00762555"/>
    <w:rsid w:val="00767182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06565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317C1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1746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8CE07"/>
  <w15:docId w15:val="{E3DC8F68-2814-45A6-B47C-B5887964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51-R.pdf" TargetMode="External"/><Relationship Id="rId13" Type="http://schemas.openxmlformats.org/officeDocument/2006/relationships/hyperlink" Target="https://www.itu.int/md/S25-CWGSFP3-C-0006/e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Constitution-R.pdf" TargetMode="External"/><Relationship Id="rId12" Type="http://schemas.openxmlformats.org/officeDocument/2006/relationships/hyperlink" Target="https://www.itu.int/md/S25-CWGSFP3-C-0006/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WGSFP3-C-000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CL-C-0032/en" TargetMode="External"/><Relationship Id="rId10" Type="http://schemas.openxmlformats.org/officeDocument/2006/relationships/hyperlink" Target="https://www.itu.int/dms_pub/itu-s/opb/conf/S-CONF-CL-2025-PDF-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opb/conf/S-CONF-CL-2025-PDF-R.pdf" TargetMode="External"/><Relationship Id="rId14" Type="http://schemas.openxmlformats.org/officeDocument/2006/relationships/hyperlink" Target="https://www.itu.int/md/S26-CL-C-0032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842</Words>
  <Characters>6735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7534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on Further Optimizing the Draft Financial Plan for 2028-2031</dc:title>
  <dc:subject>ITU Council 2026</dc:subject>
  <cp:keywords>C26; C2026; Council 2026; PP26</cp:keywords>
  <dc:description/>
  <cp:lastPrinted>2006-03-28T16:12:00Z</cp:lastPrinted>
  <dcterms:created xsi:type="dcterms:W3CDTF">2026-04-28T17:54:00Z</dcterms:created>
  <dcterms:modified xsi:type="dcterms:W3CDTF">2026-04-28T18:00:00Z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