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4A0" w:firstRow="1" w:lastRow="0" w:firstColumn="1" w:lastColumn="0" w:noHBand="0" w:noVBand="1"/>
      </w:tblPr>
      <w:tblGrid>
        <w:gridCol w:w="3969"/>
        <w:gridCol w:w="5245"/>
      </w:tblGrid>
      <w:tr w:rsidR="00EA3076" w14:paraId="5F22E4E9" w14:textId="77777777">
        <w:trPr>
          <w:cantSplit/>
          <w:trHeight w:val="23"/>
        </w:trPr>
        <w:tc>
          <w:tcPr>
            <w:tcW w:w="3969" w:type="dxa"/>
            <w:vMerge w:val="restart"/>
            <w:tcMar>
              <w:left w:w="0" w:type="dxa"/>
            </w:tcMar>
          </w:tcPr>
          <w:p w14:paraId="1D6BE9F2" w14:textId="758E77F6" w:rsidR="00EA3076" w:rsidRPr="00DD0865" w:rsidRDefault="00141F52">
            <w:pPr>
              <w:tabs>
                <w:tab w:val="left" w:pos="851"/>
              </w:tabs>
              <w:spacing w:before="0" w:line="240" w:lineRule="atLeast"/>
              <w:rPr>
                <w:b/>
                <w:bCs/>
                <w:lang w:val="fr-CH"/>
              </w:rPr>
            </w:pPr>
            <w:bookmarkStart w:id="0" w:name="dnum" w:colFirst="1" w:colLast="1"/>
            <w:bookmarkStart w:id="1" w:name="dmeeting" w:colFirst="0" w:colLast="0"/>
            <w:bookmarkStart w:id="2" w:name="_Hlk133421839"/>
            <w:r>
              <w:rPr>
                <w:rFonts w:cstheme="minorHAnsi" w:hint="eastAsia"/>
                <w:b/>
                <w:bCs/>
                <w:lang w:val="ru-RU"/>
              </w:rPr>
              <w:t>议项：</w:t>
            </w:r>
            <w:r w:rsidR="00DD0865">
              <w:rPr>
                <w:rFonts w:cstheme="minorHAnsi"/>
                <w:b/>
                <w:bCs/>
                <w:lang w:val="ru-RU"/>
              </w:rPr>
              <w:t>P</w:t>
            </w:r>
            <w:r w:rsidR="00DD0865">
              <w:rPr>
                <w:rFonts w:cstheme="minorHAnsi"/>
                <w:b/>
                <w:bCs/>
                <w:lang w:val="fr-CH"/>
              </w:rPr>
              <w:t>L 2</w:t>
            </w:r>
          </w:p>
        </w:tc>
        <w:tc>
          <w:tcPr>
            <w:tcW w:w="5245" w:type="dxa"/>
          </w:tcPr>
          <w:p w14:paraId="4FFAAF46" w14:textId="394A1DB8" w:rsidR="00EA3076" w:rsidRDefault="00141F52">
            <w:pPr>
              <w:tabs>
                <w:tab w:val="left" w:pos="851"/>
              </w:tabs>
              <w:spacing w:before="0" w:line="240" w:lineRule="atLeast"/>
              <w:jc w:val="right"/>
              <w:rPr>
                <w:b/>
                <w:lang w:val="fr-CH"/>
              </w:rPr>
            </w:pPr>
            <w:r>
              <w:rPr>
                <w:rFonts w:cstheme="minorHAnsi"/>
                <w:b/>
                <w:bCs/>
                <w:lang w:val="ru-RU"/>
              </w:rPr>
              <w:t>文件</w:t>
            </w:r>
            <w:r>
              <w:rPr>
                <w:rFonts w:cstheme="minorHAnsi" w:hint="eastAsia"/>
                <w:b/>
                <w:bCs/>
                <w:lang w:val="ru-RU"/>
              </w:rPr>
              <w:t xml:space="preserve"> </w:t>
            </w:r>
            <w:r>
              <w:rPr>
                <w:b/>
                <w:lang w:val="fr-CH"/>
              </w:rPr>
              <w:t>C26/81-C</w:t>
            </w:r>
          </w:p>
        </w:tc>
      </w:tr>
      <w:tr w:rsidR="00EA3076" w14:paraId="68CD1B81" w14:textId="77777777">
        <w:trPr>
          <w:cantSplit/>
        </w:trPr>
        <w:tc>
          <w:tcPr>
            <w:tcW w:w="3969" w:type="dxa"/>
            <w:vMerge/>
          </w:tcPr>
          <w:p w14:paraId="58B4A3F2" w14:textId="77777777" w:rsidR="00EA3076" w:rsidRDefault="00EA3076">
            <w:pPr>
              <w:tabs>
                <w:tab w:val="left" w:pos="851"/>
              </w:tabs>
              <w:spacing w:line="240" w:lineRule="atLeast"/>
              <w:rPr>
                <w:b/>
                <w:lang w:val="fr-CH"/>
              </w:rPr>
            </w:pPr>
            <w:bookmarkStart w:id="3" w:name="ddate" w:colFirst="1" w:colLast="1"/>
            <w:bookmarkEnd w:id="0"/>
            <w:bookmarkEnd w:id="1"/>
          </w:p>
        </w:tc>
        <w:tc>
          <w:tcPr>
            <w:tcW w:w="5245" w:type="dxa"/>
          </w:tcPr>
          <w:p w14:paraId="25026AEF" w14:textId="3B4B4B6E" w:rsidR="00EA3076" w:rsidRPr="005D36A3" w:rsidRDefault="00DD0865">
            <w:pPr>
              <w:tabs>
                <w:tab w:val="left" w:pos="851"/>
              </w:tabs>
              <w:spacing w:before="0"/>
              <w:jc w:val="right"/>
              <w:rPr>
                <w:b/>
              </w:rPr>
            </w:pPr>
            <w:r w:rsidRPr="005D36A3">
              <w:rPr>
                <w:rFonts w:hint="eastAsia"/>
                <w:b/>
                <w:lang w:eastAsia="zh-CN"/>
              </w:rPr>
              <w:t>2026</w:t>
            </w:r>
            <w:r w:rsidRPr="005D36A3">
              <w:rPr>
                <w:rFonts w:hint="eastAsia"/>
                <w:b/>
                <w:lang w:eastAsia="zh-CN"/>
              </w:rPr>
              <w:t>年</w:t>
            </w:r>
            <w:r w:rsidRPr="005D36A3">
              <w:rPr>
                <w:rFonts w:hint="eastAsia"/>
                <w:b/>
                <w:lang w:eastAsia="zh-CN"/>
              </w:rPr>
              <w:t>4</w:t>
            </w:r>
            <w:r w:rsidRPr="005D36A3">
              <w:rPr>
                <w:rFonts w:hint="eastAsia"/>
                <w:b/>
                <w:lang w:eastAsia="zh-CN"/>
              </w:rPr>
              <w:t>月</w:t>
            </w:r>
            <w:r w:rsidRPr="005D36A3">
              <w:rPr>
                <w:rFonts w:hint="eastAsia"/>
                <w:b/>
                <w:lang w:eastAsia="zh-CN"/>
              </w:rPr>
              <w:t>14</w:t>
            </w:r>
            <w:r w:rsidRPr="005D36A3">
              <w:rPr>
                <w:rFonts w:hint="eastAsia"/>
                <w:b/>
                <w:lang w:eastAsia="zh-CN"/>
              </w:rPr>
              <w:t>日</w:t>
            </w:r>
          </w:p>
        </w:tc>
      </w:tr>
      <w:tr w:rsidR="00EA3076" w14:paraId="01EE2C7E" w14:textId="77777777">
        <w:trPr>
          <w:cantSplit/>
          <w:trHeight w:val="23"/>
        </w:trPr>
        <w:tc>
          <w:tcPr>
            <w:tcW w:w="3969" w:type="dxa"/>
            <w:vMerge/>
          </w:tcPr>
          <w:p w14:paraId="1FA5050C" w14:textId="77777777" w:rsidR="00EA3076" w:rsidRDefault="00EA3076">
            <w:pPr>
              <w:tabs>
                <w:tab w:val="left" w:pos="851"/>
              </w:tabs>
              <w:spacing w:line="240" w:lineRule="atLeast"/>
              <w:rPr>
                <w:b/>
              </w:rPr>
            </w:pPr>
            <w:bookmarkStart w:id="4" w:name="dorlang" w:colFirst="1" w:colLast="1"/>
            <w:bookmarkEnd w:id="3"/>
          </w:p>
        </w:tc>
        <w:tc>
          <w:tcPr>
            <w:tcW w:w="5245" w:type="dxa"/>
          </w:tcPr>
          <w:p w14:paraId="18BF6764" w14:textId="0020A9E0" w:rsidR="00EA3076" w:rsidRPr="005D36A3" w:rsidRDefault="00141F52">
            <w:pPr>
              <w:tabs>
                <w:tab w:val="left" w:pos="851"/>
              </w:tabs>
              <w:spacing w:before="0" w:line="240" w:lineRule="atLeast"/>
              <w:jc w:val="right"/>
              <w:rPr>
                <w:b/>
                <w:lang w:val="fr-CH" w:eastAsia="zh-CN"/>
              </w:rPr>
            </w:pPr>
            <w:r w:rsidRPr="005D36A3">
              <w:rPr>
                <w:rFonts w:cstheme="minorHAnsi"/>
                <w:b/>
                <w:bCs/>
                <w:lang w:val="ru-RU"/>
              </w:rPr>
              <w:t>原文：</w:t>
            </w:r>
            <w:r w:rsidR="005D36A3" w:rsidRPr="005D36A3">
              <w:rPr>
                <w:rFonts w:cstheme="minorHAnsi" w:hint="eastAsia"/>
                <w:b/>
                <w:bCs/>
                <w:lang w:val="fr-CH" w:eastAsia="zh-CN"/>
              </w:rPr>
              <w:t>中文</w:t>
            </w:r>
          </w:p>
        </w:tc>
      </w:tr>
      <w:tr w:rsidR="00EA3076" w14:paraId="2EE8B87B" w14:textId="77777777">
        <w:trPr>
          <w:cantSplit/>
          <w:trHeight w:val="23"/>
        </w:trPr>
        <w:tc>
          <w:tcPr>
            <w:tcW w:w="3969" w:type="dxa"/>
          </w:tcPr>
          <w:p w14:paraId="292D83FD" w14:textId="77777777" w:rsidR="00EA3076" w:rsidRDefault="00EA3076">
            <w:pPr>
              <w:tabs>
                <w:tab w:val="left" w:pos="851"/>
              </w:tabs>
              <w:spacing w:line="240" w:lineRule="atLeast"/>
              <w:rPr>
                <w:b/>
              </w:rPr>
            </w:pPr>
          </w:p>
        </w:tc>
        <w:tc>
          <w:tcPr>
            <w:tcW w:w="5245" w:type="dxa"/>
          </w:tcPr>
          <w:p w14:paraId="522D4CD0" w14:textId="77777777" w:rsidR="00EA3076" w:rsidRDefault="00EA3076">
            <w:pPr>
              <w:tabs>
                <w:tab w:val="left" w:pos="851"/>
              </w:tabs>
              <w:spacing w:before="0" w:line="240" w:lineRule="atLeast"/>
              <w:jc w:val="right"/>
              <w:rPr>
                <w:b/>
              </w:rPr>
            </w:pPr>
          </w:p>
        </w:tc>
      </w:tr>
      <w:tr w:rsidR="00EA3076" w14:paraId="0534B813" w14:textId="77777777">
        <w:trPr>
          <w:cantSplit/>
        </w:trPr>
        <w:tc>
          <w:tcPr>
            <w:tcW w:w="9214" w:type="dxa"/>
            <w:gridSpan w:val="2"/>
            <w:tcMar>
              <w:left w:w="0" w:type="dxa"/>
            </w:tcMar>
          </w:tcPr>
          <w:p w14:paraId="30FA1642" w14:textId="77777777" w:rsidR="00EA3076" w:rsidRDefault="00141F52">
            <w:pPr>
              <w:pStyle w:val="Source"/>
              <w:spacing w:before="840"/>
              <w:jc w:val="left"/>
              <w:rPr>
                <w:sz w:val="34"/>
                <w:szCs w:val="34"/>
                <w:lang w:eastAsia="zh-CN"/>
              </w:rPr>
            </w:pPr>
            <w:bookmarkStart w:id="5" w:name="dsource" w:colFirst="0" w:colLast="0"/>
            <w:bookmarkEnd w:id="4"/>
            <w:r>
              <w:rPr>
                <w:rFonts w:cstheme="minorHAnsi" w:hint="eastAsia"/>
                <w:sz w:val="32"/>
                <w:szCs w:val="32"/>
                <w:lang w:val="ru-RU" w:eastAsia="zh-CN"/>
              </w:rPr>
              <w:t>中华人民共和国的文稿</w:t>
            </w:r>
          </w:p>
        </w:tc>
      </w:tr>
      <w:tr w:rsidR="00EA3076" w14:paraId="0713A271" w14:textId="77777777">
        <w:trPr>
          <w:cantSplit/>
        </w:trPr>
        <w:tc>
          <w:tcPr>
            <w:tcW w:w="9214" w:type="dxa"/>
            <w:gridSpan w:val="2"/>
            <w:tcMar>
              <w:left w:w="0" w:type="dxa"/>
            </w:tcMar>
          </w:tcPr>
          <w:p w14:paraId="52865910" w14:textId="1DF961F5" w:rsidR="00EA3076" w:rsidRDefault="00141F52">
            <w:pPr>
              <w:pStyle w:val="Subtitle"/>
              <w:framePr w:hSpace="0" w:wrap="auto" w:hAnchor="text" w:xAlign="left" w:yAlign="inline"/>
              <w:rPr>
                <w:rFonts w:eastAsia="SimSun"/>
                <w:lang w:val="en-US" w:eastAsia="zh-CN"/>
              </w:rPr>
            </w:pPr>
            <w:bookmarkStart w:id="6" w:name="dtitle1" w:colFirst="0" w:colLast="0"/>
            <w:bookmarkEnd w:id="5"/>
            <w:r>
              <w:rPr>
                <w:rFonts w:eastAsia="SimSun" w:hint="eastAsia"/>
                <w:lang w:eastAsia="zh-CN"/>
              </w:rPr>
              <w:t>关于</w:t>
            </w:r>
            <w:r>
              <w:rPr>
                <w:rFonts w:eastAsia="SimSun" w:hint="eastAsia"/>
                <w:lang w:val="en-US" w:eastAsia="zh-CN"/>
              </w:rPr>
              <w:t>进一步优化</w:t>
            </w:r>
            <w:r>
              <w:rPr>
                <w:rFonts w:eastAsia="SimSun" w:hint="eastAsia"/>
                <w:lang w:eastAsia="zh-CN"/>
              </w:rPr>
              <w:t>2028</w:t>
            </w:r>
            <w:r w:rsidR="005D36A3">
              <w:rPr>
                <w:rFonts w:eastAsia="SimSun"/>
                <w:lang w:eastAsia="zh-CN"/>
              </w:rPr>
              <w:t>-</w:t>
            </w:r>
            <w:r>
              <w:rPr>
                <w:rFonts w:eastAsia="SimSun" w:hint="eastAsia"/>
                <w:lang w:eastAsia="zh-CN"/>
              </w:rPr>
              <w:t>2031</w:t>
            </w:r>
            <w:r>
              <w:rPr>
                <w:rFonts w:eastAsia="SimSun" w:hint="eastAsia"/>
                <w:lang w:eastAsia="zh-CN"/>
              </w:rPr>
              <w:t>年国际电联财务规划</w:t>
            </w:r>
            <w:r>
              <w:rPr>
                <w:rFonts w:eastAsia="SimSun" w:hint="eastAsia"/>
                <w:lang w:val="en-US" w:eastAsia="zh-CN"/>
              </w:rPr>
              <w:t>草案</w:t>
            </w:r>
            <w:r>
              <w:rPr>
                <w:rFonts w:eastAsia="SimSun" w:hint="eastAsia"/>
                <w:lang w:eastAsia="zh-CN"/>
              </w:rPr>
              <w:t>的</w:t>
            </w:r>
            <w:r>
              <w:rPr>
                <w:rFonts w:eastAsia="SimSun" w:hint="eastAsia"/>
                <w:lang w:val="en-US" w:eastAsia="zh-CN"/>
              </w:rPr>
              <w:t>建议</w:t>
            </w:r>
          </w:p>
        </w:tc>
      </w:tr>
      <w:tr w:rsidR="00EA3076" w14:paraId="1EF9E111" w14:textId="77777777">
        <w:trPr>
          <w:cantSplit/>
        </w:trPr>
        <w:tc>
          <w:tcPr>
            <w:tcW w:w="9214" w:type="dxa"/>
            <w:gridSpan w:val="2"/>
            <w:tcBorders>
              <w:top w:val="single" w:sz="4" w:space="0" w:color="auto"/>
              <w:bottom w:val="single" w:sz="4" w:space="0" w:color="auto"/>
            </w:tcBorders>
            <w:tcMar>
              <w:left w:w="0" w:type="dxa"/>
            </w:tcMar>
          </w:tcPr>
          <w:p w14:paraId="174B848C" w14:textId="498AEB0E" w:rsidR="00EA3076" w:rsidRDefault="00141F52">
            <w:pPr>
              <w:rPr>
                <w:b/>
                <w:bCs/>
                <w:lang w:eastAsia="zh-CN"/>
              </w:rPr>
            </w:pPr>
            <w:r>
              <w:rPr>
                <w:b/>
                <w:bCs/>
                <w:lang w:eastAsia="zh-CN"/>
              </w:rPr>
              <w:t>目的</w:t>
            </w:r>
          </w:p>
          <w:p w14:paraId="4728AAE0" w14:textId="592CE957" w:rsidR="00EA3076" w:rsidRDefault="00141F52" w:rsidP="005D36A3">
            <w:pPr>
              <w:ind w:firstLineChars="200" w:firstLine="480"/>
              <w:rPr>
                <w:lang w:eastAsia="zh-CN"/>
              </w:rPr>
            </w:pPr>
            <w:r>
              <w:rPr>
                <w:rFonts w:hint="eastAsia"/>
                <w:lang w:val="en-US" w:eastAsia="zh-CN"/>
              </w:rPr>
              <w:t>文稿</w:t>
            </w:r>
            <w:r>
              <w:rPr>
                <w:lang w:val="en-US" w:eastAsia="zh-CN"/>
              </w:rPr>
              <w:t>对秘书处提供的</w:t>
            </w:r>
            <w:r>
              <w:rPr>
                <w:lang w:val="en-US" w:eastAsia="zh-CN"/>
              </w:rPr>
              <w:t>2028</w:t>
            </w:r>
            <w:r w:rsidR="005D36A3">
              <w:rPr>
                <w:rFonts w:cs="SimSun" w:hint="eastAsia"/>
                <w:lang w:val="en-US" w:eastAsia="zh-CN"/>
              </w:rPr>
              <w:t>-</w:t>
            </w:r>
            <w:r>
              <w:rPr>
                <w:lang w:val="en-US" w:eastAsia="zh-CN"/>
              </w:rPr>
              <w:t>2031</w:t>
            </w:r>
            <w:r>
              <w:rPr>
                <w:lang w:val="en-US" w:eastAsia="zh-CN"/>
              </w:rPr>
              <w:t>年国际电联财务规划</w:t>
            </w:r>
            <w:r>
              <w:rPr>
                <w:rFonts w:hint="eastAsia"/>
                <w:lang w:val="en-US" w:eastAsia="zh-CN"/>
              </w:rPr>
              <w:t>草案</w:t>
            </w:r>
            <w:r>
              <w:rPr>
                <w:lang w:val="en-US" w:eastAsia="zh-CN"/>
              </w:rPr>
              <w:t>提出</w:t>
            </w:r>
            <w:r>
              <w:rPr>
                <w:rFonts w:hint="eastAsia"/>
                <w:lang w:val="en-US" w:eastAsia="zh-CN"/>
              </w:rPr>
              <w:t>完善</w:t>
            </w:r>
            <w:r>
              <w:rPr>
                <w:lang w:val="en-US" w:eastAsia="zh-CN"/>
              </w:rPr>
              <w:t>意见</w:t>
            </w:r>
            <w:r>
              <w:rPr>
                <w:rFonts w:hint="eastAsia"/>
                <w:lang w:val="en-US" w:eastAsia="zh-CN"/>
              </w:rPr>
              <w:t>。</w:t>
            </w:r>
          </w:p>
          <w:p w14:paraId="1C1AA7EF" w14:textId="77777777" w:rsidR="00EA3076" w:rsidRDefault="00141F52">
            <w:pPr>
              <w:rPr>
                <w:b/>
                <w:bCs/>
                <w:lang w:eastAsia="zh-CN"/>
              </w:rPr>
            </w:pPr>
            <w:r>
              <w:rPr>
                <w:b/>
                <w:bCs/>
                <w:lang w:eastAsia="zh-CN"/>
              </w:rPr>
              <w:t>理事会需采取的行动</w:t>
            </w:r>
          </w:p>
          <w:p w14:paraId="5FE0D303" w14:textId="161EEA5F" w:rsidR="001B75BB" w:rsidRPr="00740A05" w:rsidRDefault="005D36A3" w:rsidP="00877F02">
            <w:pPr>
              <w:ind w:firstLineChars="200" w:firstLine="480"/>
              <w:rPr>
                <w:rFonts w:eastAsiaTheme="majorEastAsia"/>
                <w:lang w:eastAsia="zh-CN"/>
              </w:rPr>
            </w:pPr>
            <w:r>
              <w:rPr>
                <w:lang w:eastAsia="zh-CN"/>
              </w:rPr>
              <w:t>请理事会在制定</w:t>
            </w:r>
            <w:r>
              <w:rPr>
                <w:lang w:eastAsia="zh-CN"/>
              </w:rPr>
              <w:t>2028-2031</w:t>
            </w:r>
            <w:r>
              <w:rPr>
                <w:lang w:eastAsia="zh-CN"/>
              </w:rPr>
              <w:t>年</w:t>
            </w:r>
            <w:r w:rsidR="00877F02">
              <w:rPr>
                <w:rFonts w:hint="eastAsia"/>
                <w:lang w:eastAsia="zh-CN"/>
              </w:rPr>
              <w:t>国际</w:t>
            </w:r>
            <w:r w:rsidR="00877F02">
              <w:rPr>
                <w:lang w:eastAsia="zh-CN"/>
              </w:rPr>
              <w:t>电联</w:t>
            </w:r>
            <w:r>
              <w:rPr>
                <w:lang w:eastAsia="zh-CN"/>
              </w:rPr>
              <w:t>财务</w:t>
            </w:r>
            <w:r>
              <w:rPr>
                <w:rFonts w:hint="eastAsia"/>
                <w:lang w:eastAsia="zh-CN"/>
              </w:rPr>
              <w:t>规划</w:t>
            </w:r>
            <w:r>
              <w:rPr>
                <w:lang w:eastAsia="zh-CN"/>
              </w:rPr>
              <w:t>草案时</w:t>
            </w:r>
            <w:r w:rsidRPr="005D36A3">
              <w:rPr>
                <w:rFonts w:hint="eastAsia"/>
                <w:b/>
                <w:bCs/>
                <w:lang w:eastAsia="zh-CN"/>
              </w:rPr>
              <w:t>审议</w:t>
            </w:r>
            <w:r>
              <w:rPr>
                <w:lang w:eastAsia="zh-CN"/>
              </w:rPr>
              <w:t>本</w:t>
            </w:r>
            <w:r w:rsidR="00877F02">
              <w:rPr>
                <w:rFonts w:hint="eastAsia"/>
                <w:lang w:eastAsia="zh-CN"/>
              </w:rPr>
              <w:t>提案</w:t>
            </w:r>
            <w:r>
              <w:rPr>
                <w:rFonts w:ascii="SimSun" w:hAnsi="SimSun" w:cs="SimSun" w:hint="eastAsia"/>
                <w:lang w:eastAsia="zh-CN"/>
              </w:rPr>
              <w:t>。</w:t>
            </w:r>
          </w:p>
          <w:p w14:paraId="0B3438D9" w14:textId="0F380E42" w:rsidR="00EA3076" w:rsidRPr="00877F02" w:rsidRDefault="00877F02">
            <w:pPr>
              <w:pStyle w:val="Subtitle"/>
              <w:framePr w:hSpace="0" w:wrap="auto" w:hAnchor="text" w:xAlign="left" w:yAlign="inline"/>
              <w:rPr>
                <w:rFonts w:eastAsia="SimSun" w:cstheme="minorHAnsi"/>
                <w:sz w:val="26"/>
                <w:szCs w:val="26"/>
                <w:lang w:eastAsia="zh-CN"/>
              </w:rPr>
            </w:pPr>
            <w:r w:rsidRPr="00877F02">
              <w:rPr>
                <w:rFonts w:eastAsia="SimSun" w:cstheme="minorHAnsi"/>
                <w:sz w:val="26"/>
                <w:szCs w:val="26"/>
                <w:lang w:eastAsia="zh-CN"/>
              </w:rPr>
              <w:t>_______________</w:t>
            </w:r>
          </w:p>
          <w:p w14:paraId="6D759BD8" w14:textId="77777777" w:rsidR="00EA3076" w:rsidRDefault="00141F52">
            <w:pPr>
              <w:rPr>
                <w:b/>
                <w:bCs/>
                <w:lang w:eastAsia="zh-CN"/>
              </w:rPr>
            </w:pPr>
            <w:r>
              <w:rPr>
                <w:rFonts w:hint="eastAsia"/>
                <w:b/>
                <w:bCs/>
                <w:lang w:eastAsia="zh-CN"/>
              </w:rPr>
              <w:t>参考文件</w:t>
            </w:r>
          </w:p>
          <w:p w14:paraId="53E8A474" w14:textId="1B09E7B2" w:rsidR="0048652C" w:rsidRPr="00316B58" w:rsidRDefault="00141F52" w:rsidP="00316B58">
            <w:pPr>
              <w:spacing w:after="120"/>
              <w:ind w:firstLineChars="200" w:firstLine="480"/>
              <w:rPr>
                <w:rFonts w:eastAsia="STKaiti"/>
                <w:szCs w:val="24"/>
                <w:lang w:val="en-US" w:eastAsia="zh-CN"/>
              </w:rPr>
            </w:pPr>
            <w:hyperlink r:id="rId8" w:history="1">
              <w:r w:rsidRPr="00DF6A14">
                <w:rPr>
                  <w:rStyle w:val="Hyperlink"/>
                  <w:rFonts w:eastAsia="STKaiti" w:cstheme="minorHAnsi" w:hint="eastAsia"/>
                  <w:u w:val="single"/>
                  <w:lang w:eastAsia="zh-CN"/>
                </w:rPr>
                <w:t>《组织法》第</w:t>
              </w:r>
              <w:r w:rsidRPr="00DF6A14">
                <w:rPr>
                  <w:rStyle w:val="Hyperlink"/>
                  <w:rFonts w:eastAsia="STKaiti" w:cstheme="minorHAnsi"/>
                  <w:u w:val="single"/>
                  <w:lang w:eastAsia="zh-CN"/>
                </w:rPr>
                <w:t>51</w:t>
              </w:r>
              <w:r w:rsidRPr="00DF6A14">
                <w:rPr>
                  <w:rStyle w:val="Hyperlink"/>
                  <w:rFonts w:eastAsia="STKaiti" w:cstheme="minorHAnsi" w:hint="eastAsia"/>
                  <w:u w:val="single"/>
                  <w:lang w:eastAsia="zh-CN"/>
                </w:rPr>
                <w:t>款</w:t>
              </w:r>
            </w:hyperlink>
            <w:r w:rsidRPr="005D36A3">
              <w:rPr>
                <w:rFonts w:eastAsia="STKaiti" w:cstheme="minorHAnsi" w:hint="eastAsia"/>
                <w:lang w:eastAsia="zh-CN"/>
              </w:rPr>
              <w:t>；</w:t>
            </w:r>
            <w:r w:rsidR="005D36A3">
              <w:rPr>
                <w:rFonts w:eastAsia="STKaiti" w:cstheme="minorHAnsi" w:hint="eastAsia"/>
                <w:lang w:eastAsia="zh-CN"/>
              </w:rPr>
              <w:t>全权代表大会</w:t>
            </w:r>
            <w:r w:rsidR="0052033F">
              <w:rPr>
                <w:rFonts w:eastAsia="STKaiti" w:cstheme="minorHAnsi" w:hint="eastAsia"/>
                <w:lang w:eastAsia="zh-CN"/>
              </w:rPr>
              <w:t>有关</w:t>
            </w:r>
            <w:r w:rsidR="0052033F" w:rsidRPr="0052033F">
              <w:rPr>
                <w:rFonts w:eastAsia="STKaiti" w:hint="eastAsia"/>
                <w:bCs/>
                <w:szCs w:val="24"/>
                <w:lang w:val="en-US" w:eastAsia="zh-CN"/>
              </w:rPr>
              <w:t>改进国际电联基于结果的管理方式的</w:t>
            </w:r>
            <w:hyperlink r:id="rId9" w:history="1">
              <w:r w:rsidR="005D36A3" w:rsidRPr="0052033F">
                <w:rPr>
                  <w:rStyle w:val="Hyperlink"/>
                  <w:rFonts w:eastAsia="STKaiti" w:hint="eastAsia"/>
                  <w:bCs/>
                  <w:color w:val="auto"/>
                  <w:szCs w:val="24"/>
                  <w:lang w:val="en-US" w:eastAsia="zh-CN"/>
                </w:rPr>
                <w:t>第</w:t>
              </w:r>
              <w:r w:rsidR="005D36A3" w:rsidRPr="00DF6A14">
                <w:rPr>
                  <w:rStyle w:val="Hyperlink"/>
                  <w:rFonts w:eastAsia="STKaiti" w:hint="eastAsia"/>
                  <w:bCs/>
                  <w:szCs w:val="24"/>
                  <w:u w:val="single"/>
                  <w:lang w:val="en-US" w:eastAsia="zh-CN"/>
                </w:rPr>
                <w:t>151</w:t>
              </w:r>
              <w:r w:rsidR="005D36A3" w:rsidRPr="00DF6A14">
                <w:rPr>
                  <w:rStyle w:val="Hyperlink"/>
                  <w:rFonts w:eastAsia="STKaiti" w:hint="eastAsia"/>
                  <w:bCs/>
                  <w:szCs w:val="24"/>
                  <w:u w:val="single"/>
                  <w:lang w:val="en-US" w:eastAsia="zh-CN"/>
                </w:rPr>
                <w:t>号决议</w:t>
              </w:r>
              <w:r w:rsidRPr="00DF6A14">
                <w:rPr>
                  <w:rStyle w:val="Hyperlink"/>
                  <w:rFonts w:eastAsia="STKaiti" w:hint="eastAsia"/>
                  <w:szCs w:val="24"/>
                  <w:u w:val="single"/>
                  <w:lang w:val="en-US" w:eastAsia="zh-CN"/>
                </w:rPr>
                <w:t>（</w:t>
              </w:r>
              <w:r w:rsidR="005D36A3" w:rsidRPr="00DF6A14">
                <w:rPr>
                  <w:rStyle w:val="Hyperlink"/>
                  <w:rFonts w:eastAsia="STKaiti" w:hint="eastAsia"/>
                  <w:szCs w:val="24"/>
                  <w:u w:val="single"/>
                  <w:lang w:val="en-US" w:eastAsia="zh-CN"/>
                </w:rPr>
                <w:t>2</w:t>
              </w:r>
              <w:r w:rsidR="005D36A3" w:rsidRPr="00DF6A14">
                <w:rPr>
                  <w:rStyle w:val="Hyperlink"/>
                  <w:rFonts w:eastAsia="STKaiti"/>
                  <w:szCs w:val="24"/>
                  <w:u w:val="single"/>
                  <w:lang w:val="en-US" w:eastAsia="zh-CN"/>
                </w:rPr>
                <w:t>022</w:t>
              </w:r>
              <w:r w:rsidR="005D36A3" w:rsidRPr="00DF6A14">
                <w:rPr>
                  <w:rStyle w:val="Hyperlink"/>
                  <w:rFonts w:eastAsia="STKaiti"/>
                  <w:szCs w:val="24"/>
                  <w:u w:val="single"/>
                  <w:lang w:val="en-US" w:eastAsia="zh-CN"/>
                </w:rPr>
                <w:t>年，布加勒斯特，修订版</w:t>
              </w:r>
              <w:r w:rsidRPr="00DF6A14">
                <w:rPr>
                  <w:rStyle w:val="Hyperlink"/>
                  <w:rFonts w:eastAsia="STKaiti" w:hint="eastAsia"/>
                  <w:szCs w:val="24"/>
                  <w:u w:val="single"/>
                  <w:lang w:val="en-US" w:eastAsia="zh-CN"/>
                </w:rPr>
                <w:t>）</w:t>
              </w:r>
            </w:hyperlink>
            <w:r w:rsidR="00877F02">
              <w:rPr>
                <w:rFonts w:eastAsia="STKaiti" w:hint="eastAsia"/>
                <w:szCs w:val="24"/>
                <w:lang w:val="en-US" w:eastAsia="zh-CN"/>
              </w:rPr>
              <w:t>；</w:t>
            </w:r>
            <w:r w:rsidR="00877F02">
              <w:rPr>
                <w:rFonts w:eastAsia="STKaiti" w:hint="eastAsia"/>
                <w:szCs w:val="24"/>
                <w:lang w:eastAsia="zh-CN"/>
              </w:rPr>
              <w:t>理事会</w:t>
            </w:r>
            <w:r w:rsidR="006E5F32">
              <w:rPr>
                <w:rFonts w:eastAsia="STKaiti" w:hint="eastAsia"/>
                <w:szCs w:val="24"/>
                <w:lang w:val="en-US" w:eastAsia="zh-CN"/>
              </w:rPr>
              <w:t>有关</w:t>
            </w:r>
            <w:r w:rsidRPr="005D36A3">
              <w:rPr>
                <w:rFonts w:eastAsia="STKaiti"/>
                <w:szCs w:val="24"/>
                <w:lang w:eastAsia="zh-CN"/>
              </w:rPr>
              <w:t>成本分配方法</w:t>
            </w:r>
            <w:r w:rsidR="006E5F32">
              <w:rPr>
                <w:rFonts w:eastAsia="STKaiti" w:hint="eastAsia"/>
                <w:szCs w:val="24"/>
                <w:lang w:eastAsia="zh-CN"/>
              </w:rPr>
              <w:t>的</w:t>
            </w:r>
            <w:hyperlink r:id="rId10" w:history="1">
              <w:r w:rsidRPr="002C6DF4">
                <w:rPr>
                  <w:rStyle w:val="Hyperlink"/>
                  <w:rFonts w:eastAsia="STKaiti"/>
                  <w:szCs w:val="24"/>
                  <w:u w:val="single"/>
                  <w:lang w:eastAsia="zh-CN"/>
                </w:rPr>
                <w:t>第</w:t>
              </w:r>
              <w:r w:rsidRPr="002C6DF4">
                <w:rPr>
                  <w:rStyle w:val="Hyperlink"/>
                  <w:rFonts w:eastAsia="STKaiti"/>
                  <w:szCs w:val="24"/>
                  <w:u w:val="single"/>
                  <w:lang w:eastAsia="zh-CN"/>
                </w:rPr>
                <w:t>535</w:t>
              </w:r>
              <w:r w:rsidRPr="002C6DF4">
                <w:rPr>
                  <w:rStyle w:val="Hyperlink"/>
                  <w:rFonts w:eastAsia="STKaiti"/>
                  <w:szCs w:val="24"/>
                  <w:u w:val="single"/>
                  <w:lang w:eastAsia="zh-CN"/>
                </w:rPr>
                <w:t>号决定</w:t>
              </w:r>
              <w:r w:rsidR="00877F02" w:rsidRPr="002C6DF4">
                <w:rPr>
                  <w:rStyle w:val="Hyperlink"/>
                  <w:rFonts w:eastAsia="STKaiti"/>
                  <w:szCs w:val="24"/>
                  <w:u w:val="single"/>
                  <w:lang w:eastAsia="zh-CN"/>
                </w:rPr>
                <w:t>（</w:t>
              </w:r>
              <w:r w:rsidR="00877F02" w:rsidRPr="002C6DF4">
                <w:rPr>
                  <w:rStyle w:val="Hyperlink"/>
                  <w:rFonts w:eastAsia="STKaiti"/>
                  <w:u w:val="single"/>
                  <w:lang w:eastAsia="zh-CN"/>
                </w:rPr>
                <w:t>C05</w:t>
              </w:r>
              <w:r w:rsidR="00877F02" w:rsidRPr="002C6DF4">
                <w:rPr>
                  <w:rStyle w:val="Hyperlink"/>
                  <w:rFonts w:eastAsia="STKaiti"/>
                  <w:u w:val="single"/>
                  <w:lang w:eastAsia="zh-CN"/>
                </w:rPr>
                <w:t>，最后修正</w:t>
              </w:r>
              <w:r w:rsidR="00877F02" w:rsidRPr="002C6DF4">
                <w:rPr>
                  <w:rStyle w:val="Hyperlink"/>
                  <w:rFonts w:eastAsia="STKaiti"/>
                  <w:u w:val="single"/>
                  <w:lang w:eastAsia="zh-CN"/>
                </w:rPr>
                <w:t>C14</w:t>
              </w:r>
              <w:r w:rsidR="00877F02" w:rsidRPr="002C6DF4">
                <w:rPr>
                  <w:rStyle w:val="Hyperlink"/>
                  <w:rFonts w:ascii="STKaiti" w:eastAsia="STKaiti" w:hAnsi="STKaiti"/>
                  <w:u w:val="single"/>
                  <w:lang w:eastAsia="zh-CN"/>
                </w:rPr>
                <w:t>）</w:t>
              </w:r>
            </w:hyperlink>
            <w:r w:rsidR="00877F02">
              <w:rPr>
                <w:rFonts w:ascii="STKaiti" w:eastAsia="STKaiti" w:hAnsi="STKaiti" w:hint="eastAsia"/>
                <w:lang w:eastAsia="zh-CN"/>
              </w:rPr>
              <w:t>、</w:t>
            </w:r>
            <w:r w:rsidR="0052033F">
              <w:rPr>
                <w:rFonts w:eastAsia="STKaiti" w:hint="eastAsia"/>
                <w:szCs w:val="24"/>
                <w:lang w:eastAsia="zh-CN"/>
              </w:rPr>
              <w:t>有关</w:t>
            </w:r>
            <w:r w:rsidRPr="005D36A3">
              <w:rPr>
                <w:rFonts w:eastAsia="STKaiti"/>
                <w:szCs w:val="24"/>
                <w:lang w:val="en-US" w:eastAsia="zh-CN"/>
              </w:rPr>
              <w:t>设立理事会</w:t>
            </w:r>
            <w:r w:rsidRPr="005D36A3">
              <w:rPr>
                <w:rFonts w:eastAsia="STKaiti"/>
                <w:szCs w:val="24"/>
                <w:lang w:val="en-US" w:eastAsia="zh-CN"/>
              </w:rPr>
              <w:t>2028</w:t>
            </w:r>
            <w:r w:rsidR="0052033F">
              <w:rPr>
                <w:rFonts w:eastAsia="STKaiti" w:cs="SimSun" w:hint="eastAsia"/>
                <w:szCs w:val="24"/>
                <w:lang w:val="en-US" w:eastAsia="zh-CN"/>
              </w:rPr>
              <w:t>-</w:t>
            </w:r>
            <w:r w:rsidRPr="005D36A3">
              <w:rPr>
                <w:rFonts w:eastAsia="STKaiti"/>
                <w:szCs w:val="24"/>
                <w:lang w:val="en-US" w:eastAsia="zh-CN"/>
              </w:rPr>
              <w:t>2031</w:t>
            </w:r>
            <w:r w:rsidRPr="005D36A3">
              <w:rPr>
                <w:rFonts w:eastAsia="STKaiti"/>
                <w:szCs w:val="24"/>
                <w:lang w:val="en-US" w:eastAsia="zh-CN"/>
              </w:rPr>
              <w:t>年《战略规划》和《财务规划》工作组</w:t>
            </w:r>
            <w:r w:rsidR="0052033F">
              <w:rPr>
                <w:rFonts w:eastAsia="STKaiti" w:hint="eastAsia"/>
                <w:szCs w:val="24"/>
                <w:lang w:val="en-US" w:eastAsia="zh-CN"/>
              </w:rPr>
              <w:t>的</w:t>
            </w:r>
            <w:hyperlink r:id="rId11" w:history="1">
              <w:r w:rsidRPr="002C6DF4">
                <w:rPr>
                  <w:rStyle w:val="Hyperlink"/>
                  <w:rFonts w:eastAsia="STKaiti"/>
                  <w:szCs w:val="24"/>
                  <w:u w:val="single"/>
                  <w:lang w:val="en-US" w:eastAsia="zh-CN"/>
                </w:rPr>
                <w:t>第</w:t>
              </w:r>
              <w:r w:rsidRPr="002C6DF4">
                <w:rPr>
                  <w:rStyle w:val="Hyperlink"/>
                  <w:rFonts w:eastAsia="STKaiti"/>
                  <w:szCs w:val="24"/>
                  <w:u w:val="single"/>
                  <w:lang w:val="en-US" w:eastAsia="zh-CN"/>
                </w:rPr>
                <w:t>1428</w:t>
              </w:r>
              <w:r w:rsidRPr="002C6DF4">
                <w:rPr>
                  <w:rStyle w:val="Hyperlink"/>
                  <w:rFonts w:eastAsia="STKaiti"/>
                  <w:szCs w:val="24"/>
                  <w:u w:val="single"/>
                  <w:lang w:val="en-US" w:eastAsia="zh-CN"/>
                </w:rPr>
                <w:t>号决议</w:t>
              </w:r>
              <w:r w:rsidR="0052033F" w:rsidRPr="002C6DF4">
                <w:rPr>
                  <w:rStyle w:val="Hyperlink"/>
                  <w:rFonts w:eastAsia="STKaiti"/>
                  <w:szCs w:val="24"/>
                  <w:u w:val="single"/>
                  <w:lang w:val="en-US" w:eastAsia="zh-CN"/>
                </w:rPr>
                <w:t>（</w:t>
              </w:r>
              <w:r w:rsidR="0052033F" w:rsidRPr="002C6DF4">
                <w:rPr>
                  <w:rStyle w:val="Hyperlink"/>
                  <w:rFonts w:eastAsia="STKaiti"/>
                  <w:szCs w:val="24"/>
                  <w:u w:val="single"/>
                  <w:lang w:val="en-US" w:eastAsia="zh-CN"/>
                </w:rPr>
                <w:t>C24</w:t>
              </w:r>
              <w:r w:rsidR="0052033F" w:rsidRPr="002C6DF4">
                <w:rPr>
                  <w:rStyle w:val="Hyperlink"/>
                  <w:rFonts w:eastAsia="STKaiti"/>
                  <w:szCs w:val="24"/>
                  <w:u w:val="single"/>
                  <w:lang w:val="en-US" w:eastAsia="zh-CN"/>
                </w:rPr>
                <w:t>）</w:t>
              </w:r>
            </w:hyperlink>
            <w:r w:rsidRPr="005D36A3">
              <w:rPr>
                <w:rFonts w:eastAsia="STKaiti"/>
                <w:szCs w:val="24"/>
                <w:lang w:eastAsia="zh-CN"/>
              </w:rPr>
              <w:t>；</w:t>
            </w:r>
            <w:r w:rsidR="0052033F">
              <w:rPr>
                <w:rFonts w:eastAsia="STKaiti" w:hint="eastAsia"/>
                <w:szCs w:val="24"/>
                <w:lang w:eastAsia="zh-CN"/>
              </w:rPr>
              <w:t>有关将</w:t>
            </w:r>
            <w:r w:rsidRPr="005D36A3">
              <w:rPr>
                <w:rFonts w:eastAsia="STKaiti"/>
                <w:szCs w:val="24"/>
                <w:lang w:val="en-US" w:eastAsia="zh-CN"/>
              </w:rPr>
              <w:t>国际电联战略、财务</w:t>
            </w:r>
            <w:r w:rsidR="0052033F">
              <w:rPr>
                <w:rFonts w:eastAsia="STKaiti" w:hint="eastAsia"/>
                <w:szCs w:val="24"/>
                <w:lang w:val="en-US" w:eastAsia="zh-CN"/>
              </w:rPr>
              <w:t>和</w:t>
            </w:r>
            <w:r w:rsidRPr="005D36A3">
              <w:rPr>
                <w:rFonts w:eastAsia="STKaiti"/>
                <w:szCs w:val="24"/>
                <w:lang w:val="en-US" w:eastAsia="zh-CN"/>
              </w:rPr>
              <w:t>运作规划</w:t>
            </w:r>
            <w:r w:rsidR="0052033F">
              <w:rPr>
                <w:rFonts w:eastAsia="STKaiti" w:hint="eastAsia"/>
                <w:szCs w:val="24"/>
                <w:lang w:val="en-US" w:eastAsia="zh-CN"/>
              </w:rPr>
              <w:t>联系一起的</w:t>
            </w:r>
            <w:hyperlink r:id="rId12" w:history="1">
              <w:r w:rsidR="001A78D4" w:rsidRPr="001A78D4">
                <w:rPr>
                  <w:rStyle w:val="Hyperlink"/>
                  <w:rFonts w:eastAsia="SimSun" w:hint="eastAsia"/>
                  <w:u w:val="single"/>
                  <w:lang w:val="en-US" w:eastAsia="zh-CN"/>
                </w:rPr>
                <w:t>CWG-SFP-3/6</w:t>
              </w:r>
            </w:hyperlink>
            <w:r w:rsidR="0052033F" w:rsidRPr="0052033F">
              <w:rPr>
                <w:rFonts w:ascii="STKaiti" w:eastAsia="STKaiti" w:hAnsi="STKaiti" w:hint="eastAsia"/>
                <w:lang w:eastAsia="zh-CN"/>
              </w:rPr>
              <w:t>号文件</w:t>
            </w:r>
          </w:p>
        </w:tc>
      </w:tr>
      <w:bookmarkEnd w:id="2"/>
      <w:bookmarkEnd w:id="6"/>
    </w:tbl>
    <w:p w14:paraId="60807705" w14:textId="77777777" w:rsidR="00EA3076" w:rsidRDefault="00141F5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B62D1CF" w14:textId="77777777" w:rsidR="00EA3076" w:rsidRDefault="00141F52">
      <w:pPr>
        <w:pStyle w:val="Heading1"/>
        <w:tabs>
          <w:tab w:val="clear" w:pos="794"/>
          <w:tab w:val="clear" w:pos="1191"/>
          <w:tab w:val="clear" w:pos="1588"/>
          <w:tab w:val="clear" w:pos="1985"/>
          <w:tab w:val="left" w:pos="567"/>
          <w:tab w:val="left" w:pos="1134"/>
          <w:tab w:val="left" w:pos="1701"/>
          <w:tab w:val="left" w:pos="2268"/>
          <w:tab w:val="left" w:pos="2835"/>
        </w:tabs>
        <w:jc w:val="both"/>
        <w:rPr>
          <w:lang w:val="en-US" w:eastAsia="zh-CN"/>
        </w:rPr>
      </w:pPr>
      <w:r>
        <w:rPr>
          <w:lang w:val="en-US" w:eastAsia="zh-CN"/>
        </w:rPr>
        <w:lastRenderedPageBreak/>
        <w:t>1</w:t>
      </w:r>
      <w:r>
        <w:rPr>
          <w:lang w:val="en-US" w:eastAsia="zh-CN"/>
        </w:rPr>
        <w:tab/>
      </w:r>
      <w:r>
        <w:rPr>
          <w:rFonts w:hint="eastAsia"/>
          <w:lang w:val="en-US" w:eastAsia="zh-CN"/>
        </w:rPr>
        <w:t>背景</w:t>
      </w:r>
    </w:p>
    <w:p w14:paraId="5917C79E" w14:textId="7E624A80" w:rsidR="00EA3076" w:rsidRDefault="00141F52">
      <w:pPr>
        <w:tabs>
          <w:tab w:val="left" w:pos="567"/>
          <w:tab w:val="left" w:pos="1134"/>
          <w:tab w:val="left" w:pos="1701"/>
          <w:tab w:val="left" w:pos="2268"/>
          <w:tab w:val="left" w:pos="2835"/>
        </w:tabs>
        <w:ind w:firstLineChars="200" w:firstLine="480"/>
        <w:jc w:val="both"/>
        <w:rPr>
          <w:szCs w:val="24"/>
          <w:lang w:val="en-US" w:eastAsia="zh-CN"/>
        </w:rPr>
      </w:pPr>
      <w:r>
        <w:rPr>
          <w:rFonts w:hint="eastAsia"/>
          <w:szCs w:val="24"/>
          <w:lang w:val="en-US" w:eastAsia="zh-CN"/>
        </w:rPr>
        <w:t>2028</w:t>
      </w:r>
      <w:r w:rsidR="00DF6A14">
        <w:rPr>
          <w:rFonts w:hint="eastAsia"/>
          <w:szCs w:val="24"/>
          <w:lang w:val="en-US" w:eastAsia="zh-CN"/>
        </w:rPr>
        <w:t>-</w:t>
      </w:r>
      <w:r>
        <w:rPr>
          <w:rFonts w:hint="eastAsia"/>
          <w:szCs w:val="24"/>
          <w:lang w:val="en-US" w:eastAsia="zh-CN"/>
        </w:rPr>
        <w:t>2031</w:t>
      </w:r>
      <w:r>
        <w:rPr>
          <w:rFonts w:hint="eastAsia"/>
          <w:szCs w:val="24"/>
          <w:lang w:val="en-US" w:eastAsia="zh-CN"/>
        </w:rPr>
        <w:t>年《财务规划》草案旨在为</w:t>
      </w:r>
      <w:r>
        <w:rPr>
          <w:rFonts w:hint="eastAsia"/>
          <w:szCs w:val="24"/>
          <w:lang w:val="en-US" w:eastAsia="zh-CN"/>
        </w:rPr>
        <w:t>2026</w:t>
      </w:r>
      <w:r>
        <w:rPr>
          <w:rFonts w:hint="eastAsia"/>
          <w:szCs w:val="24"/>
          <w:lang w:val="en-US" w:eastAsia="zh-CN"/>
        </w:rPr>
        <w:t>年全权代表大会提供决策基础，在考虑到所涉期间国际电联所含资源和各相关活动的情况下，确立其预算基础和相关财务限制。《财务规划》须与《战略规划》草案及该规划草案确定的国际电联总体目标和优先工作相联系。《财务规划》提供了确定战略目标和优先工作的财务水平基础，将反映出按照《战略规划》草案为实现各项目标所划拨的款项。</w:t>
      </w:r>
    </w:p>
    <w:p w14:paraId="0051D4F0" w14:textId="2937A4BA" w:rsidR="00EA3076" w:rsidRDefault="00DF6A14" w:rsidP="00C03BCE">
      <w:pPr>
        <w:pStyle w:val="enumlev1"/>
        <w:rPr>
          <w:szCs w:val="24"/>
          <w:lang w:val="en-US" w:eastAsia="zh-CN"/>
        </w:rPr>
      </w:pPr>
      <w:r>
        <w:rPr>
          <w:rFonts w:hint="eastAsia"/>
          <w:lang w:val="en-US" w:eastAsia="zh-CN"/>
        </w:rPr>
        <w:t>1</w:t>
      </w:r>
      <w:r w:rsidR="002E5ECD">
        <w:rPr>
          <w:rFonts w:hint="eastAsia"/>
          <w:lang w:val="en-US" w:eastAsia="zh-CN"/>
        </w:rPr>
        <w:t>)</w:t>
      </w:r>
      <w:r>
        <w:rPr>
          <w:lang w:val="en-US" w:eastAsia="zh-CN"/>
        </w:rPr>
        <w:tab/>
      </w:r>
      <w:r w:rsidR="00141F52">
        <w:rPr>
          <w:rFonts w:hint="eastAsia"/>
          <w:lang w:val="en-US" w:eastAsia="zh-CN"/>
        </w:rPr>
        <w:t>理事会第</w:t>
      </w:r>
      <w:r w:rsidR="00141F52">
        <w:rPr>
          <w:rFonts w:hint="eastAsia"/>
          <w:lang w:val="en-US" w:eastAsia="zh-CN"/>
        </w:rPr>
        <w:t>535</w:t>
      </w:r>
      <w:r w:rsidR="00141F52">
        <w:rPr>
          <w:rFonts w:hint="eastAsia"/>
          <w:lang w:val="en-US" w:eastAsia="zh-CN"/>
        </w:rPr>
        <w:t>号决定制定了《财务规划》的成本分配方法，通过向各部门和不同国际电联总体目标和《战略规划》草案的优先事项重新分配资源，将《财务规划》草案与《战略规划》草案挂钩。该成本分配方法由以下</w:t>
      </w:r>
      <w:r w:rsidR="00141F52">
        <w:rPr>
          <w:rFonts w:hint="eastAsia"/>
          <w:lang w:val="en-US" w:eastAsia="zh-CN"/>
        </w:rPr>
        <w:t>4</w:t>
      </w:r>
      <w:r w:rsidR="00141F52">
        <w:rPr>
          <w:rFonts w:hint="eastAsia"/>
          <w:lang w:val="en-US" w:eastAsia="zh-CN"/>
        </w:rPr>
        <w:t>步骤过程组成：</w:t>
      </w:r>
    </w:p>
    <w:p w14:paraId="5E62BB2D" w14:textId="2760A292" w:rsidR="00EA3076" w:rsidRDefault="00DF6A14" w:rsidP="00C03BCE">
      <w:pPr>
        <w:pStyle w:val="enumlev2"/>
        <w:rPr>
          <w:lang w:val="en-US" w:eastAsia="zh-CN"/>
        </w:rPr>
      </w:pPr>
      <w:r>
        <w:rPr>
          <w:lang w:val="en-US" w:eastAsia="zh-CN"/>
        </w:rPr>
        <w:tab/>
      </w:r>
      <w:r w:rsidR="00141F52">
        <w:rPr>
          <w:rFonts w:hint="eastAsia"/>
          <w:lang w:val="en-US" w:eastAsia="zh-CN"/>
        </w:rPr>
        <w:t>步骤</w:t>
      </w:r>
      <w:r w:rsidR="00141F52">
        <w:rPr>
          <w:rFonts w:hint="eastAsia"/>
          <w:lang w:val="en-US" w:eastAsia="zh-CN"/>
        </w:rPr>
        <w:t>1</w:t>
      </w:r>
      <w:r w:rsidR="00141F52">
        <w:rPr>
          <w:rFonts w:hint="eastAsia"/>
          <w:lang w:val="en-US" w:eastAsia="zh-CN"/>
        </w:rPr>
        <w:t>：总秘书处统一服务的费用通过成本分配驱动因素分配给三个局（无线电通信局、电信标准化局和电信发展局）和跨部门活动；</w:t>
      </w:r>
    </w:p>
    <w:p w14:paraId="0CB38BD6" w14:textId="41498020" w:rsidR="00EA3076" w:rsidRDefault="00DF6A14" w:rsidP="00C03BCE">
      <w:pPr>
        <w:pStyle w:val="enumlev2"/>
        <w:rPr>
          <w:lang w:val="en-US" w:eastAsia="zh-CN"/>
        </w:rPr>
      </w:pPr>
      <w:r>
        <w:rPr>
          <w:lang w:val="en-US" w:eastAsia="zh-CN"/>
        </w:rPr>
        <w:tab/>
      </w:r>
      <w:r w:rsidR="00141F52">
        <w:rPr>
          <w:lang w:val="en-US" w:eastAsia="zh-CN"/>
        </w:rPr>
        <w:t>步骤</w:t>
      </w:r>
      <w:r w:rsidR="00141F52">
        <w:rPr>
          <w:lang w:val="en-US" w:eastAsia="zh-CN"/>
        </w:rPr>
        <w:t>2</w:t>
      </w:r>
      <w:r w:rsidR="00141F52">
        <w:rPr>
          <w:rFonts w:hint="eastAsia"/>
          <w:lang w:val="en-US" w:eastAsia="zh-CN"/>
        </w:rPr>
        <w:t>：三个局和跨部门活动的费用是根据时间调查分配至输出成果的；</w:t>
      </w:r>
    </w:p>
    <w:p w14:paraId="5F08547A" w14:textId="3BC5113C" w:rsidR="00EA3076" w:rsidRDefault="00DF6A14" w:rsidP="00C03BCE">
      <w:pPr>
        <w:pStyle w:val="enumlev2"/>
        <w:rPr>
          <w:lang w:eastAsia="zh-CN"/>
        </w:rPr>
      </w:pPr>
      <w:r>
        <w:rPr>
          <w:lang w:eastAsia="zh-CN"/>
        </w:rPr>
        <w:tab/>
      </w:r>
      <w:r w:rsidR="00141F52">
        <w:rPr>
          <w:rFonts w:hint="eastAsia"/>
          <w:lang w:eastAsia="zh-CN"/>
        </w:rPr>
        <w:t>步骤</w:t>
      </w:r>
      <w:r w:rsidR="00141F52">
        <w:rPr>
          <w:lang w:eastAsia="zh-CN"/>
        </w:rPr>
        <w:t>3</w:t>
      </w:r>
      <w:r w:rsidR="00141F52">
        <w:rPr>
          <w:rFonts w:hint="eastAsia"/>
          <w:lang w:eastAsia="zh-CN"/>
        </w:rPr>
        <w:t>：输出成果的费用是根据成本分配驱动因素分配至国际电联《战略规划》的战略目标的；</w:t>
      </w:r>
    </w:p>
    <w:p w14:paraId="5D9DADF3" w14:textId="1232FAD3" w:rsidR="00EA3076" w:rsidRDefault="00DF6A14" w:rsidP="00C03BCE">
      <w:pPr>
        <w:pStyle w:val="enumlev2"/>
        <w:rPr>
          <w:lang w:val="en-US" w:eastAsia="zh-CN"/>
        </w:rPr>
      </w:pPr>
      <w:r>
        <w:rPr>
          <w:lang w:val="en-US" w:eastAsia="zh-CN"/>
        </w:rPr>
        <w:tab/>
      </w:r>
      <w:r w:rsidR="00141F52">
        <w:rPr>
          <w:rFonts w:hint="eastAsia"/>
          <w:lang w:val="en-US" w:eastAsia="zh-CN"/>
        </w:rPr>
        <w:t>步骤</w:t>
      </w:r>
      <w:r w:rsidR="00141F52">
        <w:rPr>
          <w:rFonts w:hint="eastAsia"/>
          <w:lang w:val="en-US" w:eastAsia="zh-CN"/>
        </w:rPr>
        <w:t>4</w:t>
      </w:r>
      <w:r w:rsidR="00141F52">
        <w:rPr>
          <w:rFonts w:hint="eastAsia"/>
          <w:lang w:val="en-US" w:eastAsia="zh-CN"/>
        </w:rPr>
        <w:t>：战略目标的费用是按国际电联《战略规划》所示，根据成本分配驱动因素分配至国际电联总体目标的。</w:t>
      </w:r>
    </w:p>
    <w:p w14:paraId="0527371F" w14:textId="28AB05A5" w:rsidR="00EA3076" w:rsidRDefault="00DF6A14" w:rsidP="00C03BCE">
      <w:pPr>
        <w:pStyle w:val="enumlev1"/>
        <w:rPr>
          <w:szCs w:val="24"/>
          <w:lang w:val="en-US" w:eastAsia="zh-CN"/>
        </w:rPr>
      </w:pPr>
      <w:r>
        <w:rPr>
          <w:rFonts w:hint="eastAsia"/>
          <w:lang w:val="en-US" w:eastAsia="zh-CN"/>
        </w:rPr>
        <w:t>2</w:t>
      </w:r>
      <w:r w:rsidR="002E5ECD">
        <w:rPr>
          <w:lang w:val="en-US" w:eastAsia="zh-CN"/>
        </w:rPr>
        <w:t>)</w:t>
      </w:r>
      <w:r>
        <w:rPr>
          <w:lang w:val="en-US" w:eastAsia="zh-CN"/>
        </w:rPr>
        <w:tab/>
      </w:r>
      <w:r w:rsidR="00141F52">
        <w:rPr>
          <w:rFonts w:hint="eastAsia"/>
          <w:lang w:val="en-US" w:eastAsia="zh-CN"/>
        </w:rPr>
        <w:t>关于改进国际电联基于结果的管理方式的第</w:t>
      </w:r>
      <w:r w:rsidR="00141F52">
        <w:rPr>
          <w:rFonts w:hint="eastAsia"/>
          <w:lang w:val="en-US" w:eastAsia="zh-CN"/>
        </w:rPr>
        <w:t>151</w:t>
      </w:r>
      <w:r w:rsidR="00141F52">
        <w:rPr>
          <w:rFonts w:hint="eastAsia"/>
          <w:lang w:val="en-US" w:eastAsia="zh-CN"/>
        </w:rPr>
        <w:t>号决议，责成秘书长和三个局主任制定全面的国际电联结果框架（</w:t>
      </w:r>
      <w:r w:rsidR="00141F52">
        <w:rPr>
          <w:rFonts w:hint="eastAsia"/>
          <w:lang w:val="en-US" w:eastAsia="zh-CN"/>
        </w:rPr>
        <w:t>RBM</w:t>
      </w:r>
      <w:r w:rsidR="00141F52">
        <w:rPr>
          <w:rFonts w:hint="eastAsia"/>
          <w:lang w:val="en-US" w:eastAsia="zh-CN"/>
        </w:rPr>
        <w:t>），以支持战略规划、财务规划和运作规划及预算的实施，包括列出国际电联各项活动、这些活动的目标以及相关的资源和结果，以便提高国际电联成员评估本组织的总体目标实现进展的能力；</w:t>
      </w:r>
      <w:r w:rsidR="00141F52">
        <w:rPr>
          <w:rFonts w:hint="eastAsia"/>
          <w:lang w:val="en-US" w:eastAsia="zh-CN"/>
        </w:rPr>
        <w:t>CWG-SFP</w:t>
      </w:r>
      <w:r w:rsidR="00141F52">
        <w:rPr>
          <w:rFonts w:hint="eastAsia"/>
          <w:lang w:val="en-US" w:eastAsia="zh-CN"/>
        </w:rPr>
        <w:t>工作组关于国际电联战略规划、财务规划与运作规划的关联（</w:t>
      </w:r>
      <w:hyperlink r:id="rId13" w:history="1">
        <w:r w:rsidR="00141F52" w:rsidRPr="001A78D4">
          <w:rPr>
            <w:rStyle w:val="Hyperlink"/>
            <w:rFonts w:eastAsia="SimSun" w:hint="eastAsia"/>
            <w:u w:val="single"/>
            <w:lang w:val="en-US" w:eastAsia="zh-CN"/>
          </w:rPr>
          <w:t>CWG-SFP-3/6</w:t>
        </w:r>
      </w:hyperlink>
      <w:r w:rsidR="00141F52">
        <w:rPr>
          <w:rFonts w:hint="eastAsia"/>
          <w:lang w:val="en-US" w:eastAsia="zh-CN"/>
        </w:rPr>
        <w:t>）的报告指出，在制定</w:t>
      </w:r>
      <w:r w:rsidR="00141F52">
        <w:rPr>
          <w:rFonts w:hint="eastAsia"/>
          <w:lang w:val="en-US" w:eastAsia="zh-CN"/>
        </w:rPr>
        <w:t>2028</w:t>
      </w:r>
      <w:r w:rsidR="006E5F32">
        <w:rPr>
          <w:rFonts w:hint="eastAsia"/>
          <w:szCs w:val="24"/>
          <w:lang w:val="en-US" w:eastAsia="zh-CN"/>
        </w:rPr>
        <w:t>-</w:t>
      </w:r>
      <w:r w:rsidR="00141F52">
        <w:rPr>
          <w:rFonts w:hint="eastAsia"/>
          <w:lang w:val="en-US" w:eastAsia="zh-CN"/>
        </w:rPr>
        <w:t>2031</w:t>
      </w:r>
      <w:r w:rsidR="00141F52">
        <w:rPr>
          <w:rFonts w:hint="eastAsia"/>
          <w:lang w:val="en-US" w:eastAsia="zh-CN"/>
        </w:rPr>
        <w:t>年战略规划与财务规划时，将重点强化其基于成果的管理（</w:t>
      </w:r>
      <w:r w:rsidR="00141F52">
        <w:rPr>
          <w:rFonts w:hint="eastAsia"/>
          <w:lang w:val="en-US" w:eastAsia="zh-CN"/>
        </w:rPr>
        <w:t>RBM</w:t>
      </w:r>
      <w:r w:rsidR="00141F52">
        <w:rPr>
          <w:rFonts w:hint="eastAsia"/>
          <w:lang w:val="en-US" w:eastAsia="zh-CN"/>
        </w:rPr>
        <w:t>）框架，以确保战略、财务与运作规划的有效整合。具体而言，将采用数据驱动方法，更清晰地区分战略层面的预期成果（战略规划层级的影响与绩效指标）与运作层面的常规工作规划（运作规划层级的产出、活动及其成本）。</w:t>
      </w:r>
    </w:p>
    <w:p w14:paraId="4C7A4CB2" w14:textId="07B63692" w:rsidR="00EA3076" w:rsidRDefault="00DF6A14" w:rsidP="00C03BCE">
      <w:pPr>
        <w:pStyle w:val="enumlev1"/>
        <w:rPr>
          <w:szCs w:val="24"/>
          <w:lang w:val="en-US" w:eastAsia="zh-CN"/>
        </w:rPr>
      </w:pPr>
      <w:r>
        <w:rPr>
          <w:rFonts w:hint="eastAsia"/>
          <w:lang w:eastAsia="zh-CN"/>
        </w:rPr>
        <w:t>3</w:t>
      </w:r>
      <w:r w:rsidR="002E5ECD">
        <w:rPr>
          <w:lang w:eastAsia="zh-CN"/>
        </w:rPr>
        <w:t>)</w:t>
      </w:r>
      <w:r>
        <w:rPr>
          <w:lang w:eastAsia="zh-CN"/>
        </w:rPr>
        <w:tab/>
      </w:r>
      <w:r w:rsidR="00141F52">
        <w:rPr>
          <w:rFonts w:hint="eastAsia"/>
          <w:lang w:eastAsia="zh-CN"/>
        </w:rPr>
        <w:t>《财务规划》是确定年度预算的核心依据，在综合考虑可用资源及相关活动的基础上确立预算基础与财务约束。当前</w:t>
      </w:r>
      <w:r w:rsidR="00141F52">
        <w:rPr>
          <w:rFonts w:hint="eastAsia"/>
          <w:lang w:val="en-US" w:eastAsia="zh-CN"/>
        </w:rPr>
        <w:t>财务规划</w:t>
      </w:r>
      <w:r w:rsidR="00141F52">
        <w:rPr>
          <w:rFonts w:hint="eastAsia"/>
          <w:lang w:eastAsia="zh-CN"/>
        </w:rPr>
        <w:t>草案未充分覆盖部分关键需求，如落实未来大会相关决议、开展人工智能相关举措、</w:t>
      </w:r>
      <w:r w:rsidR="00141F52">
        <w:rPr>
          <w:rFonts w:hint="eastAsia"/>
          <w:lang w:eastAsia="zh-CN"/>
        </w:rPr>
        <w:t>ICT</w:t>
      </w:r>
      <w:r w:rsidR="00141F52">
        <w:rPr>
          <w:rFonts w:hint="eastAsia"/>
          <w:lang w:eastAsia="zh-CN"/>
        </w:rPr>
        <w:t>基础设施投资以及保障总部大楼施工期间的业务连续性等。据此，在编制年度预算时，应进一步优化资源分配并作出相应调整。</w:t>
      </w:r>
    </w:p>
    <w:p w14:paraId="0ADD177E" w14:textId="77777777" w:rsidR="00EA3076" w:rsidRDefault="00141F52">
      <w:pPr>
        <w:pStyle w:val="Heading1"/>
        <w:jc w:val="both"/>
        <w:rPr>
          <w:lang w:val="en-US" w:eastAsia="zh-CN"/>
        </w:rPr>
      </w:pPr>
      <w:r>
        <w:rPr>
          <w:rFonts w:hint="eastAsia"/>
          <w:lang w:val="en-US" w:eastAsia="zh-CN"/>
        </w:rPr>
        <w:t>2</w:t>
      </w:r>
      <w:r>
        <w:rPr>
          <w:lang w:val="en-US" w:eastAsia="zh-CN"/>
        </w:rPr>
        <w:tab/>
      </w:r>
      <w:r>
        <w:rPr>
          <w:rFonts w:hint="eastAsia"/>
          <w:lang w:val="en-US" w:eastAsia="zh-CN"/>
        </w:rPr>
        <w:t>建议</w:t>
      </w:r>
    </w:p>
    <w:p w14:paraId="5EDAF38B" w14:textId="7342D931" w:rsidR="00EA3076" w:rsidRDefault="00141F52">
      <w:pPr>
        <w:tabs>
          <w:tab w:val="left" w:pos="567"/>
          <w:tab w:val="left" w:pos="1134"/>
          <w:tab w:val="left" w:pos="1701"/>
          <w:tab w:val="left" w:pos="2268"/>
          <w:tab w:val="left" w:pos="2835"/>
        </w:tabs>
        <w:ind w:firstLineChars="200" w:firstLine="480"/>
        <w:jc w:val="both"/>
        <w:rPr>
          <w:szCs w:val="24"/>
          <w:lang w:val="en-US" w:eastAsia="zh-CN"/>
        </w:rPr>
      </w:pPr>
      <w:r>
        <w:rPr>
          <w:rFonts w:hint="eastAsia"/>
          <w:szCs w:val="24"/>
          <w:lang w:val="en-US" w:eastAsia="zh-CN"/>
        </w:rPr>
        <w:t>秘书处关于</w:t>
      </w:r>
      <w:r>
        <w:rPr>
          <w:rFonts w:hint="eastAsia"/>
          <w:szCs w:val="24"/>
          <w:lang w:val="en-US" w:eastAsia="zh-CN"/>
        </w:rPr>
        <w:t>2028</w:t>
      </w:r>
      <w:r w:rsidR="006E5F32">
        <w:rPr>
          <w:rFonts w:hint="eastAsia"/>
          <w:szCs w:val="24"/>
          <w:lang w:val="en-US" w:eastAsia="zh-CN"/>
        </w:rPr>
        <w:t>-</w:t>
      </w:r>
      <w:r>
        <w:rPr>
          <w:rFonts w:hint="eastAsia"/>
          <w:szCs w:val="24"/>
          <w:lang w:val="en-US" w:eastAsia="zh-CN"/>
        </w:rPr>
        <w:t>2031</w:t>
      </w:r>
      <w:r>
        <w:rPr>
          <w:rFonts w:hint="eastAsia"/>
          <w:szCs w:val="24"/>
          <w:lang w:val="en-US" w:eastAsia="zh-CN"/>
        </w:rPr>
        <w:t>年财务规划的草案（</w:t>
      </w:r>
      <w:hyperlink r:id="rId14" w:history="1">
        <w:r w:rsidRPr="001A78D4">
          <w:rPr>
            <w:rStyle w:val="Hyperlink"/>
            <w:rFonts w:eastAsia="SimSun" w:hint="eastAsia"/>
            <w:szCs w:val="24"/>
            <w:u w:val="single"/>
            <w:lang w:val="en-US" w:eastAsia="zh-CN"/>
          </w:rPr>
          <w:t>C26/32</w:t>
        </w:r>
      </w:hyperlink>
      <w:r>
        <w:rPr>
          <w:rFonts w:hint="eastAsia"/>
          <w:szCs w:val="24"/>
          <w:lang w:val="en-US" w:eastAsia="zh-CN"/>
        </w:rPr>
        <w:t>）已基于收支预测，对战略规划草案所明确的</w:t>
      </w:r>
      <w:r>
        <w:rPr>
          <w:rFonts w:hint="eastAsia"/>
          <w:szCs w:val="24"/>
          <w:lang w:val="en-US" w:eastAsia="zh-CN"/>
        </w:rPr>
        <w:t>5</w:t>
      </w:r>
      <w:r>
        <w:rPr>
          <w:rFonts w:hint="eastAsia"/>
          <w:szCs w:val="24"/>
          <w:lang w:val="en-US" w:eastAsia="zh-CN"/>
        </w:rPr>
        <w:t>个优先事项进行了初步资源分配，为后续审议提供了良好基础。然而，该文件在以下几方面仍需进一步明确与完善：</w:t>
      </w:r>
    </w:p>
    <w:p w14:paraId="10BE133C" w14:textId="30BF48F8" w:rsidR="00EA3076" w:rsidRDefault="00DF6A14" w:rsidP="00C03BCE">
      <w:pPr>
        <w:pStyle w:val="enumlev1"/>
        <w:rPr>
          <w:lang w:eastAsia="zh-CN"/>
        </w:rPr>
      </w:pPr>
      <w:r>
        <w:rPr>
          <w:rFonts w:hint="eastAsia"/>
          <w:lang w:val="en-US" w:eastAsia="zh-CN"/>
        </w:rPr>
        <w:t>1</w:t>
      </w:r>
      <w:r w:rsidR="002E5ECD">
        <w:rPr>
          <w:lang w:val="en-US" w:eastAsia="zh-CN"/>
        </w:rPr>
        <w:t>)</w:t>
      </w:r>
      <w:r>
        <w:rPr>
          <w:lang w:val="en-US" w:eastAsia="zh-CN"/>
        </w:rPr>
        <w:tab/>
      </w:r>
      <w:r w:rsidR="00141F52">
        <w:rPr>
          <w:rFonts w:hint="eastAsia"/>
          <w:lang w:val="en-US" w:eastAsia="zh-CN"/>
        </w:rPr>
        <w:t>建议基于成果导向管理原则，并遵循第</w:t>
      </w:r>
      <w:r w:rsidR="00141F52">
        <w:rPr>
          <w:rFonts w:hint="eastAsia"/>
          <w:lang w:val="en-US" w:eastAsia="zh-CN"/>
        </w:rPr>
        <w:t>535</w:t>
      </w:r>
      <w:r w:rsidR="00141F52">
        <w:rPr>
          <w:rFonts w:hint="eastAsia"/>
          <w:lang w:val="en-US" w:eastAsia="zh-CN"/>
        </w:rPr>
        <w:t>号决定所确立的成本分配方法，在《财务规划》中分步骤列示财务资源划拨的详细数据信息，以清晰体现资源分配过程及其与优先事项的关联，确保总秘书处及三大部门的工作安排及所需资源与战略目标的落实保持一致。通过步骤化列示，可明确国际电联总体预算在</w:t>
      </w:r>
      <w:r w:rsidR="00141F52">
        <w:rPr>
          <w:rFonts w:hint="eastAsia"/>
          <w:lang w:val="en-US" w:eastAsia="zh-CN"/>
        </w:rPr>
        <w:lastRenderedPageBreak/>
        <w:t>总秘书处及三大部门间的分配依据</w:t>
      </w:r>
      <w:r w:rsidR="006E5F32">
        <w:rPr>
          <w:rFonts w:hint="eastAsia"/>
          <w:lang w:val="en-US" w:eastAsia="zh-CN"/>
        </w:rPr>
        <w:t xml:space="preserve"> </w:t>
      </w:r>
      <w:r w:rsidR="006E5F32" w:rsidRPr="006E5F32">
        <w:rPr>
          <w:lang w:val="en-US" w:eastAsia="zh-CN"/>
        </w:rPr>
        <w:t>–</w:t>
      </w:r>
      <w:r w:rsidR="006E5F32">
        <w:rPr>
          <w:rFonts w:hint="eastAsia"/>
          <w:lang w:val="en-US" w:eastAsia="zh-CN"/>
        </w:rPr>
        <w:t xml:space="preserve"> </w:t>
      </w:r>
      <w:r w:rsidR="00141F52">
        <w:rPr>
          <w:rFonts w:hint="eastAsia"/>
          <w:lang w:val="en-US" w:eastAsia="zh-CN"/>
        </w:rPr>
        <w:t>重点体现总秘书处集中支持的统一服务及跨部门活动相关费用，并阐明输出成果与优先事项对部门资源分配的关联性，从而说明各部门预算划拨额度存在差异的原因。</w:t>
      </w:r>
    </w:p>
    <w:p w14:paraId="66F4A250" w14:textId="75356296" w:rsidR="00EA3076" w:rsidRDefault="00DF6A14" w:rsidP="00C03BCE">
      <w:pPr>
        <w:pStyle w:val="enumlev1"/>
        <w:rPr>
          <w:lang w:eastAsia="zh-CN"/>
        </w:rPr>
      </w:pPr>
      <w:r>
        <w:rPr>
          <w:rFonts w:hint="eastAsia"/>
          <w:lang w:val="en-US" w:eastAsia="zh-CN"/>
        </w:rPr>
        <w:t>2</w:t>
      </w:r>
      <w:r w:rsidR="002E5ECD">
        <w:rPr>
          <w:lang w:val="en-US" w:eastAsia="zh-CN"/>
        </w:rPr>
        <w:t>)</w:t>
      </w:r>
      <w:r>
        <w:rPr>
          <w:lang w:val="en-US" w:eastAsia="zh-CN"/>
        </w:rPr>
        <w:tab/>
      </w:r>
      <w:r w:rsidR="00141F52">
        <w:rPr>
          <w:rFonts w:hint="eastAsia"/>
          <w:lang w:val="en-US" w:eastAsia="zh-CN"/>
        </w:rPr>
        <w:t>为确保国际电联战略与财务规划中确立的目标能够有效转化为组织运作规划与年度预算，在编制双年度预算过程中，</w:t>
      </w:r>
      <w:r w:rsidR="00141F52">
        <w:rPr>
          <w:rFonts w:hint="eastAsia"/>
          <w:lang w:eastAsia="zh-CN"/>
        </w:rPr>
        <w:t>应进一步研究当前财务规划草案</w:t>
      </w:r>
      <w:r w:rsidR="00141F52">
        <w:rPr>
          <w:rFonts w:hint="eastAsia"/>
          <w:lang w:val="en-US" w:eastAsia="zh-CN"/>
        </w:rPr>
        <w:t>中未充分</w:t>
      </w:r>
      <w:r w:rsidR="00141F52">
        <w:rPr>
          <w:rFonts w:hint="eastAsia"/>
          <w:lang w:eastAsia="zh-CN"/>
        </w:rPr>
        <w:t>覆盖</w:t>
      </w:r>
      <w:r w:rsidR="00141F52">
        <w:rPr>
          <w:rFonts w:hint="eastAsia"/>
          <w:lang w:val="en-US" w:eastAsia="zh-CN"/>
        </w:rPr>
        <w:t>的</w:t>
      </w:r>
      <w:r w:rsidR="00141F52">
        <w:rPr>
          <w:rFonts w:hint="eastAsia"/>
          <w:lang w:eastAsia="zh-CN"/>
        </w:rPr>
        <w:t>项目</w:t>
      </w:r>
      <w:r w:rsidR="00141F52">
        <w:rPr>
          <w:rFonts w:hint="eastAsia"/>
          <w:lang w:val="en-US" w:eastAsia="zh-CN"/>
        </w:rPr>
        <w:t>或活动</w:t>
      </w:r>
      <w:r w:rsidR="00141F52">
        <w:rPr>
          <w:rFonts w:hint="eastAsia"/>
          <w:lang w:eastAsia="zh-CN"/>
        </w:rPr>
        <w:t>的落实方案，明确金额</w:t>
      </w:r>
      <w:r w:rsidR="00141F52">
        <w:rPr>
          <w:rFonts w:hint="eastAsia"/>
          <w:lang w:val="en-US" w:eastAsia="zh-CN"/>
        </w:rPr>
        <w:t>需求</w:t>
      </w:r>
      <w:r w:rsidR="00141F52">
        <w:rPr>
          <w:rFonts w:hint="eastAsia"/>
          <w:lang w:eastAsia="zh-CN"/>
        </w:rPr>
        <w:t>，并规范界定相关活动</w:t>
      </w:r>
      <w:r w:rsidR="00141F52">
        <w:rPr>
          <w:rFonts w:hint="eastAsia"/>
          <w:lang w:val="en-US" w:eastAsia="zh-CN"/>
        </w:rPr>
        <w:t>的</w:t>
      </w:r>
      <w:r w:rsidR="00141F52">
        <w:rPr>
          <w:rFonts w:hint="eastAsia"/>
          <w:lang w:eastAsia="zh-CN"/>
        </w:rPr>
        <w:t>资金来源（</w:t>
      </w:r>
      <w:r w:rsidR="00141F52">
        <w:rPr>
          <w:rFonts w:hint="eastAsia"/>
          <w:lang w:val="en-US" w:eastAsia="zh-CN"/>
        </w:rPr>
        <w:t>常规预算或自愿捐款</w:t>
      </w:r>
      <w:r w:rsidR="00141F52">
        <w:rPr>
          <w:rFonts w:hint="eastAsia"/>
          <w:lang w:eastAsia="zh-CN"/>
        </w:rPr>
        <w:t>）。</w:t>
      </w:r>
    </w:p>
    <w:p w14:paraId="5203B5C5" w14:textId="77777777" w:rsidR="00EA3076" w:rsidRDefault="00EA3076" w:rsidP="00DF6A14">
      <w:pPr>
        <w:rPr>
          <w:lang w:eastAsia="zh-CN"/>
        </w:rPr>
      </w:pPr>
    </w:p>
    <w:p w14:paraId="7361372E" w14:textId="77777777" w:rsidR="00EA3076" w:rsidRDefault="00141F52">
      <w:pPr>
        <w:jc w:val="center"/>
      </w:pPr>
      <w:r>
        <w:t>______________</w:t>
      </w:r>
    </w:p>
    <w:sectPr w:rsidR="00EA307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A00A" w14:textId="77777777" w:rsidR="00141F52" w:rsidRDefault="00141F52">
      <w:pPr>
        <w:spacing w:before="0"/>
      </w:pPr>
      <w:r>
        <w:separator/>
      </w:r>
    </w:p>
  </w:endnote>
  <w:endnote w:type="continuationSeparator" w:id="0">
    <w:p w14:paraId="01192BFF" w14:textId="77777777" w:rsidR="00141F52" w:rsidRDefault="00141F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charset w:val="86"/>
    <w:family w:val="auto"/>
    <w:pitch w:val="variable"/>
    <w:sig w:usb0="00000287" w:usb1="080F0000" w:usb2="00000010" w:usb3="00000000" w:csb0="0004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A3076" w14:paraId="565363D3" w14:textId="77777777">
      <w:trPr>
        <w:jc w:val="center"/>
      </w:trPr>
      <w:tc>
        <w:tcPr>
          <w:tcW w:w="1803" w:type="dxa"/>
          <w:vAlign w:val="center"/>
        </w:tcPr>
        <w:p w14:paraId="4D3AB515" w14:textId="4DFA081E" w:rsidR="00EA3076" w:rsidRDefault="00141F52">
          <w:pPr>
            <w:pStyle w:val="Header"/>
            <w:jc w:val="left"/>
            <w:rPr>
              <w:color w:val="808080" w:themeColor="background1" w:themeShade="80"/>
            </w:rPr>
          </w:pPr>
          <w:r>
            <w:rPr>
              <w:color w:val="808080" w:themeColor="background1" w:themeShade="80"/>
            </w:rPr>
            <w:t>gDoc</w:t>
          </w:r>
          <w:r w:rsidR="00DF6A14">
            <w:rPr>
              <w:color w:val="808080" w:themeColor="background1" w:themeShade="80"/>
            </w:rPr>
            <w:t xml:space="preserve"> 2600913</w:t>
          </w:r>
        </w:p>
      </w:tc>
      <w:tc>
        <w:tcPr>
          <w:tcW w:w="8261" w:type="dxa"/>
        </w:tcPr>
        <w:p w14:paraId="6041C5F0" w14:textId="2585E58D" w:rsidR="00EA3076" w:rsidRDefault="00141F52">
          <w:pPr>
            <w:pStyle w:val="Header"/>
            <w:tabs>
              <w:tab w:val="left" w:pos="6731"/>
              <w:tab w:val="right" w:pos="8505"/>
              <w:tab w:val="right" w:pos="9639"/>
            </w:tabs>
            <w:jc w:val="left"/>
            <w:rPr>
              <w:rFonts w:ascii="Arial" w:hAnsi="Arial" w:cs="Arial"/>
              <w:b/>
              <w:bCs/>
              <w:color w:val="808080" w:themeColor="background1" w:themeShade="80"/>
              <w:szCs w:val="18"/>
            </w:rPr>
          </w:pPr>
          <w:r>
            <w:rPr>
              <w:bCs/>
              <w:color w:val="808080" w:themeColor="background1" w:themeShade="80"/>
            </w:rPr>
            <w:tab/>
            <w:t>C26/</w:t>
          </w:r>
          <w:r w:rsidR="00DD0865">
            <w:rPr>
              <w:bCs/>
              <w:color w:val="808080" w:themeColor="background1" w:themeShade="80"/>
            </w:rPr>
            <w:t>81</w:t>
          </w:r>
          <w:r>
            <w:rPr>
              <w:bCs/>
              <w:color w:val="808080" w:themeColor="background1" w:themeShade="80"/>
            </w:rPr>
            <w:t>-C</w:t>
          </w:r>
          <w:r>
            <w:rPr>
              <w:bCs/>
              <w:color w:val="808080" w:themeColor="background1" w:themeShade="80"/>
            </w:rPr>
            <w:tab/>
          </w:r>
          <w:r>
            <w:rPr>
              <w:color w:val="808080" w:themeColor="background1" w:themeShade="80"/>
            </w:rPr>
            <w:fldChar w:fldCharType="begin"/>
          </w:r>
          <w:r>
            <w:rPr>
              <w:color w:val="808080" w:themeColor="background1" w:themeShade="80"/>
            </w:rPr>
            <w:instrText>PAGE</w:instrText>
          </w:r>
          <w:r>
            <w:rPr>
              <w:color w:val="808080" w:themeColor="background1" w:themeShade="80"/>
            </w:rPr>
            <w:fldChar w:fldCharType="separate"/>
          </w:r>
          <w:r>
            <w:rPr>
              <w:color w:val="808080" w:themeColor="background1" w:themeShade="80"/>
            </w:rPr>
            <w:t>1</w:t>
          </w:r>
          <w:r>
            <w:rPr>
              <w:color w:val="808080" w:themeColor="background1" w:themeShade="80"/>
            </w:rPr>
            <w:fldChar w:fldCharType="end"/>
          </w:r>
        </w:p>
      </w:tc>
    </w:tr>
  </w:tbl>
  <w:p w14:paraId="5829751C" w14:textId="77777777" w:rsidR="00EA3076" w:rsidRDefault="00EA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A3076" w14:paraId="55FF9722" w14:textId="77777777">
      <w:trPr>
        <w:jc w:val="center"/>
      </w:trPr>
      <w:tc>
        <w:tcPr>
          <w:tcW w:w="1803" w:type="dxa"/>
          <w:vAlign w:val="center"/>
        </w:tcPr>
        <w:p w14:paraId="35E31F3E" w14:textId="77777777" w:rsidR="00EA3076" w:rsidRDefault="00141F52">
          <w:pPr>
            <w:pStyle w:val="Header"/>
            <w:jc w:val="left"/>
          </w:pPr>
          <w:hyperlink r:id="rId1" w:anchor="/zh" w:history="1">
            <w:r>
              <w:rPr>
                <w:rStyle w:val="Hyperlink"/>
                <w:rFonts w:eastAsia="SimSun"/>
              </w:rPr>
              <w:t>council.itu.int/2026</w:t>
            </w:r>
          </w:hyperlink>
        </w:p>
      </w:tc>
      <w:tc>
        <w:tcPr>
          <w:tcW w:w="8261" w:type="dxa"/>
        </w:tcPr>
        <w:p w14:paraId="65324EA2" w14:textId="389FE4B5" w:rsidR="00EA3076" w:rsidRDefault="00141F52">
          <w:pPr>
            <w:pStyle w:val="Header"/>
            <w:tabs>
              <w:tab w:val="left" w:pos="6731"/>
              <w:tab w:val="right" w:pos="8505"/>
              <w:tab w:val="right" w:pos="9639"/>
            </w:tabs>
            <w:jc w:val="left"/>
            <w:rPr>
              <w:rFonts w:ascii="Arial" w:hAnsi="Arial" w:cs="Arial"/>
              <w:b/>
              <w:bCs/>
              <w:color w:val="808080" w:themeColor="background1" w:themeShade="80"/>
              <w:szCs w:val="18"/>
            </w:rPr>
          </w:pPr>
          <w:r>
            <w:rPr>
              <w:bCs/>
              <w:color w:val="808080" w:themeColor="background1" w:themeShade="80"/>
            </w:rPr>
            <w:tab/>
            <w:t>C26/</w:t>
          </w:r>
          <w:r w:rsidR="00DD0865">
            <w:rPr>
              <w:bCs/>
              <w:color w:val="808080" w:themeColor="background1" w:themeShade="80"/>
            </w:rPr>
            <w:t>81</w:t>
          </w:r>
          <w:r>
            <w:rPr>
              <w:bCs/>
              <w:color w:val="808080" w:themeColor="background1" w:themeShade="80"/>
            </w:rPr>
            <w:t>-C</w:t>
          </w:r>
          <w:r>
            <w:rPr>
              <w:bCs/>
              <w:color w:val="808080" w:themeColor="background1" w:themeShade="80"/>
            </w:rPr>
            <w:tab/>
          </w:r>
          <w:r>
            <w:rPr>
              <w:color w:val="808080" w:themeColor="background1" w:themeShade="80"/>
            </w:rPr>
            <w:fldChar w:fldCharType="begin"/>
          </w:r>
          <w:r>
            <w:rPr>
              <w:color w:val="808080" w:themeColor="background1" w:themeShade="80"/>
            </w:rPr>
            <w:instrText>PAGE</w:instrText>
          </w:r>
          <w:r>
            <w:rPr>
              <w:color w:val="808080" w:themeColor="background1" w:themeShade="80"/>
            </w:rPr>
            <w:fldChar w:fldCharType="separate"/>
          </w:r>
          <w:r>
            <w:rPr>
              <w:color w:val="808080" w:themeColor="background1" w:themeShade="80"/>
            </w:rPr>
            <w:t>1</w:t>
          </w:r>
          <w:r>
            <w:rPr>
              <w:color w:val="808080" w:themeColor="background1" w:themeShade="80"/>
            </w:rPr>
            <w:fldChar w:fldCharType="end"/>
          </w:r>
        </w:p>
      </w:tc>
    </w:tr>
  </w:tbl>
  <w:p w14:paraId="4955DDF9" w14:textId="77777777" w:rsidR="00EA3076" w:rsidRDefault="00EA3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8571" w14:textId="77777777" w:rsidR="00EA3076" w:rsidRDefault="00141F52">
      <w:pPr>
        <w:spacing w:before="0"/>
      </w:pPr>
      <w:r>
        <w:separator/>
      </w:r>
    </w:p>
  </w:footnote>
  <w:footnote w:type="continuationSeparator" w:id="0">
    <w:p w14:paraId="23390F6F" w14:textId="77777777" w:rsidR="00EA3076" w:rsidRDefault="00141F5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229B" w14:textId="77777777" w:rsidR="00EA3076" w:rsidRDefault="00141F52">
    <w:pPr>
      <w:pStyle w:val="Header"/>
    </w:pPr>
    <w:r>
      <w:rPr>
        <w:noProof/>
      </w:rPr>
      <w:drawing>
        <wp:inline distT="0" distB="0" distL="0" distR="0" wp14:anchorId="1B51B30E" wp14:editId="284EDD3B">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783CB"/>
    <w:multiLevelType w:val="singleLevel"/>
    <w:tmpl w:val="A23783CB"/>
    <w:lvl w:ilvl="0">
      <w:start w:val="1"/>
      <w:numFmt w:val="decimal"/>
      <w:lvlText w:val="%1)"/>
      <w:lvlJc w:val="left"/>
    </w:lvl>
  </w:abstractNum>
  <w:abstractNum w:abstractNumId="1" w15:restartNumberingAfterBreak="0">
    <w:nsid w:val="047AC379"/>
    <w:multiLevelType w:val="singleLevel"/>
    <w:tmpl w:val="047AC379"/>
    <w:lvl w:ilvl="0">
      <w:start w:val="1"/>
      <w:numFmt w:val="decimal"/>
      <w:lvlText w:val="%1)"/>
      <w:lvlJc w:val="left"/>
    </w:lvl>
  </w:abstractNum>
  <w:num w:numId="1" w16cid:durableId="1027364844">
    <w:abstractNumId w:val="1"/>
  </w:num>
  <w:num w:numId="2" w16cid:durableId="22036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ZjODNkYjgzYjc4NTVlMTcyNThmYWNlMTIzYTI4YmUifQ=="/>
  </w:docVars>
  <w:rsids>
    <w:rsidRoot w:val="00B818CC"/>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41F52"/>
    <w:rsid w:val="0015333E"/>
    <w:rsid w:val="00157773"/>
    <w:rsid w:val="0018251A"/>
    <w:rsid w:val="00190272"/>
    <w:rsid w:val="00193244"/>
    <w:rsid w:val="00195C6C"/>
    <w:rsid w:val="00195FED"/>
    <w:rsid w:val="001A4BD6"/>
    <w:rsid w:val="001A78D4"/>
    <w:rsid w:val="001B6E2B"/>
    <w:rsid w:val="001B75BB"/>
    <w:rsid w:val="001D5A18"/>
    <w:rsid w:val="00215132"/>
    <w:rsid w:val="00220C45"/>
    <w:rsid w:val="00224449"/>
    <w:rsid w:val="00253319"/>
    <w:rsid w:val="00277DEA"/>
    <w:rsid w:val="00280EB8"/>
    <w:rsid w:val="002916B4"/>
    <w:rsid w:val="002A1D39"/>
    <w:rsid w:val="002A6670"/>
    <w:rsid w:val="002C3F32"/>
    <w:rsid w:val="002C6DF4"/>
    <w:rsid w:val="002E5ECD"/>
    <w:rsid w:val="00303502"/>
    <w:rsid w:val="00316B58"/>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8652C"/>
    <w:rsid w:val="00491BA9"/>
    <w:rsid w:val="00493085"/>
    <w:rsid w:val="004A36EC"/>
    <w:rsid w:val="004D163F"/>
    <w:rsid w:val="004E4BFF"/>
    <w:rsid w:val="004F2598"/>
    <w:rsid w:val="0052033F"/>
    <w:rsid w:val="005403F7"/>
    <w:rsid w:val="00540632"/>
    <w:rsid w:val="00541CF4"/>
    <w:rsid w:val="005451E8"/>
    <w:rsid w:val="005507F2"/>
    <w:rsid w:val="00555C29"/>
    <w:rsid w:val="005759CC"/>
    <w:rsid w:val="00576C08"/>
    <w:rsid w:val="005A72E1"/>
    <w:rsid w:val="005C2CA5"/>
    <w:rsid w:val="005C6632"/>
    <w:rsid w:val="005D1C9E"/>
    <w:rsid w:val="005D36A3"/>
    <w:rsid w:val="00602842"/>
    <w:rsid w:val="00630DD5"/>
    <w:rsid w:val="00637584"/>
    <w:rsid w:val="00654257"/>
    <w:rsid w:val="0065435A"/>
    <w:rsid w:val="00670D8A"/>
    <w:rsid w:val="006A2DD3"/>
    <w:rsid w:val="006A5113"/>
    <w:rsid w:val="006A5AF8"/>
    <w:rsid w:val="006C36CD"/>
    <w:rsid w:val="006E5F32"/>
    <w:rsid w:val="00700D1F"/>
    <w:rsid w:val="00713101"/>
    <w:rsid w:val="007205CB"/>
    <w:rsid w:val="0072138B"/>
    <w:rsid w:val="00726073"/>
    <w:rsid w:val="00734FE8"/>
    <w:rsid w:val="007360CE"/>
    <w:rsid w:val="00740A05"/>
    <w:rsid w:val="0077110E"/>
    <w:rsid w:val="00772315"/>
    <w:rsid w:val="00775157"/>
    <w:rsid w:val="007813AE"/>
    <w:rsid w:val="007A37DB"/>
    <w:rsid w:val="007E189D"/>
    <w:rsid w:val="007E37B6"/>
    <w:rsid w:val="007F0210"/>
    <w:rsid w:val="00806E3F"/>
    <w:rsid w:val="00811259"/>
    <w:rsid w:val="00813AA2"/>
    <w:rsid w:val="008173A3"/>
    <w:rsid w:val="008418F5"/>
    <w:rsid w:val="0084546D"/>
    <w:rsid w:val="0086059C"/>
    <w:rsid w:val="00864589"/>
    <w:rsid w:val="00874C82"/>
    <w:rsid w:val="00877F0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76A8"/>
    <w:rsid w:val="009C2458"/>
    <w:rsid w:val="009C4A7B"/>
    <w:rsid w:val="009C6123"/>
    <w:rsid w:val="009F1E3E"/>
    <w:rsid w:val="00A109AF"/>
    <w:rsid w:val="00A1213C"/>
    <w:rsid w:val="00A13406"/>
    <w:rsid w:val="00A272FF"/>
    <w:rsid w:val="00A5354B"/>
    <w:rsid w:val="00A71B57"/>
    <w:rsid w:val="00AB42C1"/>
    <w:rsid w:val="00AC516F"/>
    <w:rsid w:val="00AE195F"/>
    <w:rsid w:val="00AE2926"/>
    <w:rsid w:val="00B0184B"/>
    <w:rsid w:val="00B035CD"/>
    <w:rsid w:val="00B0769D"/>
    <w:rsid w:val="00B217F8"/>
    <w:rsid w:val="00B332EA"/>
    <w:rsid w:val="00B40A53"/>
    <w:rsid w:val="00B45365"/>
    <w:rsid w:val="00B46A65"/>
    <w:rsid w:val="00B60184"/>
    <w:rsid w:val="00B62D20"/>
    <w:rsid w:val="00B818CC"/>
    <w:rsid w:val="00B81E75"/>
    <w:rsid w:val="00B91673"/>
    <w:rsid w:val="00B93453"/>
    <w:rsid w:val="00B9445B"/>
    <w:rsid w:val="00BD0954"/>
    <w:rsid w:val="00BD1A5A"/>
    <w:rsid w:val="00BD7A9B"/>
    <w:rsid w:val="00BD7BE1"/>
    <w:rsid w:val="00BF416B"/>
    <w:rsid w:val="00C03BCE"/>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268E"/>
    <w:rsid w:val="00D453EE"/>
    <w:rsid w:val="00D5666C"/>
    <w:rsid w:val="00D666BC"/>
    <w:rsid w:val="00D83542"/>
    <w:rsid w:val="00D87C3A"/>
    <w:rsid w:val="00D92F45"/>
    <w:rsid w:val="00D94637"/>
    <w:rsid w:val="00D9725C"/>
    <w:rsid w:val="00DA0E66"/>
    <w:rsid w:val="00DA7006"/>
    <w:rsid w:val="00DB3621"/>
    <w:rsid w:val="00DC6427"/>
    <w:rsid w:val="00DD0865"/>
    <w:rsid w:val="00DD62F5"/>
    <w:rsid w:val="00DD66A1"/>
    <w:rsid w:val="00DE196D"/>
    <w:rsid w:val="00DF6A14"/>
    <w:rsid w:val="00DF6B49"/>
    <w:rsid w:val="00E067C5"/>
    <w:rsid w:val="00E24D59"/>
    <w:rsid w:val="00E265BF"/>
    <w:rsid w:val="00E323D0"/>
    <w:rsid w:val="00E34C96"/>
    <w:rsid w:val="00E378D8"/>
    <w:rsid w:val="00E43A12"/>
    <w:rsid w:val="00E67C67"/>
    <w:rsid w:val="00E77476"/>
    <w:rsid w:val="00E8228B"/>
    <w:rsid w:val="00EA3076"/>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21358C1"/>
    <w:rsid w:val="03852FAF"/>
    <w:rsid w:val="044C0406"/>
    <w:rsid w:val="045264B6"/>
    <w:rsid w:val="080C04E9"/>
    <w:rsid w:val="08C575D5"/>
    <w:rsid w:val="0A8E596D"/>
    <w:rsid w:val="0C5C75EE"/>
    <w:rsid w:val="0CDC0F38"/>
    <w:rsid w:val="0F470958"/>
    <w:rsid w:val="1283439D"/>
    <w:rsid w:val="13615886"/>
    <w:rsid w:val="13F54E26"/>
    <w:rsid w:val="15CC214F"/>
    <w:rsid w:val="17730BE7"/>
    <w:rsid w:val="19FE5729"/>
    <w:rsid w:val="1A9C249F"/>
    <w:rsid w:val="1B966EEF"/>
    <w:rsid w:val="1BBA5486"/>
    <w:rsid w:val="1E1B192D"/>
    <w:rsid w:val="1E6A4663"/>
    <w:rsid w:val="202F16C0"/>
    <w:rsid w:val="22226A41"/>
    <w:rsid w:val="223770AC"/>
    <w:rsid w:val="24275D38"/>
    <w:rsid w:val="26DB6A10"/>
    <w:rsid w:val="281F0867"/>
    <w:rsid w:val="28C74A06"/>
    <w:rsid w:val="2BC532A9"/>
    <w:rsid w:val="2CF95E87"/>
    <w:rsid w:val="2D7D2223"/>
    <w:rsid w:val="2D9D0F6B"/>
    <w:rsid w:val="2E465968"/>
    <w:rsid w:val="30A57FDC"/>
    <w:rsid w:val="31CA78F3"/>
    <w:rsid w:val="33B70F1D"/>
    <w:rsid w:val="33B91D1C"/>
    <w:rsid w:val="34550222"/>
    <w:rsid w:val="34BC4A49"/>
    <w:rsid w:val="36724975"/>
    <w:rsid w:val="36C249A4"/>
    <w:rsid w:val="378A0189"/>
    <w:rsid w:val="3D6848F6"/>
    <w:rsid w:val="3E824AF4"/>
    <w:rsid w:val="3F910A23"/>
    <w:rsid w:val="40610FCA"/>
    <w:rsid w:val="408E7E49"/>
    <w:rsid w:val="41E07A20"/>
    <w:rsid w:val="433B0E3D"/>
    <w:rsid w:val="44093E52"/>
    <w:rsid w:val="4A11580F"/>
    <w:rsid w:val="4BFF3E71"/>
    <w:rsid w:val="4C2D326E"/>
    <w:rsid w:val="4D1A70D0"/>
    <w:rsid w:val="533E6ACD"/>
    <w:rsid w:val="550E16D4"/>
    <w:rsid w:val="55D362EC"/>
    <w:rsid w:val="567C54BB"/>
    <w:rsid w:val="571C7B84"/>
    <w:rsid w:val="58047D5E"/>
    <w:rsid w:val="589C308F"/>
    <w:rsid w:val="5BA10956"/>
    <w:rsid w:val="5D3C30B8"/>
    <w:rsid w:val="5D4526EC"/>
    <w:rsid w:val="613F0A5C"/>
    <w:rsid w:val="62031A89"/>
    <w:rsid w:val="63BC6E48"/>
    <w:rsid w:val="64BD0A97"/>
    <w:rsid w:val="65CF1EB5"/>
    <w:rsid w:val="67BF54E9"/>
    <w:rsid w:val="68DE112C"/>
    <w:rsid w:val="68E70DE7"/>
    <w:rsid w:val="68EC2F12"/>
    <w:rsid w:val="695853E7"/>
    <w:rsid w:val="69B971B6"/>
    <w:rsid w:val="6AD468F3"/>
    <w:rsid w:val="6CF56413"/>
    <w:rsid w:val="6F840835"/>
    <w:rsid w:val="72CF5B7C"/>
    <w:rsid w:val="734F7EA9"/>
    <w:rsid w:val="74153393"/>
    <w:rsid w:val="766655A8"/>
    <w:rsid w:val="771542E1"/>
    <w:rsid w:val="79645963"/>
    <w:rsid w:val="7A321753"/>
    <w:rsid w:val="7B0B75EA"/>
    <w:rsid w:val="7BB27D01"/>
    <w:rsid w:val="7D5C0B47"/>
    <w:rsid w:val="7DC32E5A"/>
    <w:rsid w:val="7DF508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D554D4"/>
  <w15:docId w15:val="{24A1FE61-D99B-47C8-8593-3D17239A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unhideWhenUsed="1"/>
    <w:lsdException w:name="header" w:uiPriority="99"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qFormat="1"/>
    <w:lsdException w:name="page number" w:qFormat="1"/>
    <w:lsdException w:name="endnote reference" w:semiHidden="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link w:val="Heading1Char"/>
    <w:qFormat/>
    <w:pPr>
      <w:keepNext/>
      <w:keepLines/>
      <w:spacing w:before="480"/>
      <w:ind w:left="794" w:hanging="794"/>
      <w:outlineLvl w:val="0"/>
    </w:pPr>
    <w:rPr>
      <w:b/>
      <w:sz w:val="28"/>
    </w:rPr>
  </w:style>
  <w:style w:type="paragraph" w:styleId="Heading2">
    <w:name w:val="heading 2"/>
    <w:basedOn w:val="Heading1"/>
    <w:next w:val="Normal"/>
    <w:link w:val="Heading2Char"/>
    <w:qFormat/>
    <w:pPr>
      <w:spacing w:before="320"/>
      <w:outlineLvl w:val="1"/>
    </w:pPr>
    <w:rPr>
      <w:sz w:val="24"/>
    </w:rPr>
  </w:style>
  <w:style w:type="paragraph" w:styleId="Heading3">
    <w:name w:val="heading 3"/>
    <w:basedOn w:val="Heading1"/>
    <w:next w:val="Normal"/>
    <w:qFormat/>
    <w:pPr>
      <w:spacing w:before="200"/>
      <w:ind w:left="0" w:firstLine="0"/>
      <w:outlineLvl w:val="2"/>
    </w:pPr>
    <w:rPr>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semiHidden/>
    <w:qFormat/>
  </w:style>
  <w:style w:type="paragraph" w:styleId="TOC4">
    <w:name w:val="toc 4"/>
    <w:basedOn w:val="TOC3"/>
    <w:semiHidden/>
    <w:qFormat/>
    <w:pPr>
      <w:spacing w:before="80"/>
    </w:pPr>
  </w:style>
  <w:style w:type="paragraph" w:styleId="TOC3">
    <w:name w:val="toc 3"/>
    <w:basedOn w:val="TOC2"/>
    <w:semiHidden/>
    <w:qFormat/>
  </w:style>
  <w:style w:type="paragraph" w:styleId="TOC2">
    <w:name w:val="toc 2"/>
    <w:basedOn w:val="TOC1"/>
    <w:semiHidden/>
    <w:qFormat/>
    <w:pPr>
      <w:spacing w:before="160"/>
    </w:pPr>
  </w:style>
  <w:style w:type="paragraph" w:styleId="TOC1">
    <w:name w:val="toc 1"/>
    <w:basedOn w:val="Normal"/>
    <w:semiHidden/>
    <w:qFormat/>
    <w:pPr>
      <w:keepLines/>
      <w:tabs>
        <w:tab w:val="clear" w:pos="794"/>
        <w:tab w:val="clear" w:pos="1191"/>
        <w:tab w:val="clear" w:pos="1588"/>
        <w:tab w:val="clear" w:pos="1985"/>
        <w:tab w:val="left" w:leader="dot" w:pos="7938"/>
        <w:tab w:val="center" w:pos="8789"/>
      </w:tabs>
      <w:spacing w:before="240"/>
      <w:ind w:left="567" w:hanging="567"/>
    </w:pPr>
  </w:style>
  <w:style w:type="paragraph" w:styleId="NormalIndent">
    <w:name w:val="Normal Indent"/>
    <w:basedOn w:val="Normal"/>
    <w:qFormat/>
    <w:pPr>
      <w:ind w:left="794"/>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4">
    <w:name w:val="index 4"/>
    <w:basedOn w:val="Normal"/>
    <w:next w:val="Normal"/>
    <w:semiHidden/>
    <w:qFormat/>
    <w:pPr>
      <w:ind w:left="849"/>
    </w:pPr>
  </w:style>
  <w:style w:type="paragraph" w:styleId="TOC5">
    <w:name w:val="toc 5"/>
    <w:basedOn w:val="TOC4"/>
    <w:semiHidden/>
    <w:qFormat/>
  </w:style>
  <w:style w:type="paragraph" w:styleId="TOC8">
    <w:name w:val="toc 8"/>
    <w:basedOn w:val="TOC4"/>
    <w:semiHidden/>
    <w:qFormat/>
  </w:style>
  <w:style w:type="paragraph" w:styleId="Index3">
    <w:name w:val="index 3"/>
    <w:basedOn w:val="Normal"/>
    <w:next w:val="Normal"/>
    <w:semiHidden/>
    <w:qFormat/>
    <w:pPr>
      <w:ind w:left="566"/>
    </w:pPr>
  </w:style>
  <w:style w:type="paragraph" w:styleId="Footer">
    <w:name w:val="footer"/>
    <w:basedOn w:val="Normal"/>
    <w:link w:val="FooterChar"/>
    <w:qFormat/>
    <w:pPr>
      <w:tabs>
        <w:tab w:val="clear" w:pos="794"/>
        <w:tab w:val="clear" w:pos="1191"/>
        <w:tab w:val="clear" w:pos="1588"/>
        <w:tab w:val="clear" w:pos="1985"/>
        <w:tab w:val="left" w:pos="5954"/>
        <w:tab w:val="right" w:pos="9639"/>
      </w:tabs>
      <w:spacing w:before="0"/>
    </w:pPr>
    <w:rPr>
      <w:caps/>
      <w:sz w:val="16"/>
      <w:lang w:val="fr-FR"/>
    </w:rPr>
  </w:style>
  <w:style w:type="paragraph" w:styleId="Header">
    <w:name w:val="header"/>
    <w:basedOn w:val="Normal"/>
    <w:link w:val="HeaderChar"/>
    <w:uiPriority w:val="99"/>
    <w:qFormat/>
    <w:pPr>
      <w:tabs>
        <w:tab w:val="clear" w:pos="794"/>
        <w:tab w:val="clear" w:pos="1191"/>
        <w:tab w:val="clear" w:pos="1588"/>
        <w:tab w:val="clear" w:pos="1985"/>
      </w:tabs>
      <w:spacing w:before="0"/>
      <w:jc w:val="center"/>
    </w:pPr>
    <w:rPr>
      <w:sz w:val="18"/>
      <w:lang w:val="fr-FR"/>
    </w:rPr>
  </w:style>
  <w:style w:type="paragraph" w:styleId="IndexHeading">
    <w:name w:val="index heading"/>
    <w:basedOn w:val="Normal"/>
    <w:next w:val="Index1"/>
    <w:semiHidden/>
    <w:qFormat/>
  </w:style>
  <w:style w:type="paragraph" w:styleId="Index1">
    <w:name w:val="index 1"/>
    <w:basedOn w:val="Normal"/>
    <w:next w:val="Normal"/>
    <w:semiHidden/>
    <w:qFormat/>
  </w:style>
  <w:style w:type="paragraph" w:styleId="List">
    <w:name w:val="List"/>
    <w:basedOn w:val="Normal"/>
    <w:qFormat/>
    <w:pPr>
      <w:tabs>
        <w:tab w:val="clear" w:pos="794"/>
        <w:tab w:val="clear" w:pos="1191"/>
        <w:tab w:val="clear" w:pos="1588"/>
        <w:tab w:val="clear" w:pos="1985"/>
        <w:tab w:val="left" w:pos="1701"/>
        <w:tab w:val="left" w:pos="2127"/>
      </w:tabs>
      <w:ind w:left="2127" w:hanging="2127"/>
    </w:pPr>
  </w:style>
  <w:style w:type="paragraph" w:styleId="FootnoteText">
    <w:name w:val="footnote text"/>
    <w:basedOn w:val="Normal"/>
    <w:link w:val="FootnoteTextChar"/>
    <w:semiHidden/>
    <w:qFormat/>
    <w:pPr>
      <w:keepLines/>
      <w:tabs>
        <w:tab w:val="left" w:pos="255"/>
      </w:tabs>
      <w:ind w:left="255" w:hanging="255"/>
    </w:pPr>
  </w:style>
  <w:style w:type="paragraph" w:styleId="TOC6">
    <w:name w:val="toc 6"/>
    <w:basedOn w:val="TOC4"/>
    <w:semiHidden/>
    <w:qFormat/>
  </w:style>
  <w:style w:type="paragraph" w:styleId="BodyTextIndent3">
    <w:name w:val="Body Text Indent 3"/>
    <w:basedOn w:val="Normal"/>
    <w:link w:val="BodyTextIndent3Char"/>
    <w:qFormat/>
    <w:pPr>
      <w:spacing w:before="0"/>
      <w:ind w:firstLine="601"/>
      <w:textAlignment w:val="auto"/>
    </w:pPr>
    <w:rPr>
      <w:sz w:val="22"/>
      <w:lang w:val="fr-FR" w:eastAsia="zh-CN"/>
    </w:rPr>
  </w:style>
  <w:style w:type="paragraph" w:styleId="Index7">
    <w:name w:val="index 7"/>
    <w:basedOn w:val="Normal"/>
    <w:next w:val="Normal"/>
    <w:semiHidden/>
    <w:qFormat/>
    <w:pPr>
      <w:ind w:left="1698"/>
    </w:pPr>
  </w:style>
  <w:style w:type="paragraph" w:styleId="TOC9">
    <w:name w:val="toc 9"/>
    <w:basedOn w:val="TOC4"/>
    <w:semiHidden/>
    <w:qFormat/>
  </w:style>
  <w:style w:type="paragraph" w:styleId="Index2">
    <w:name w:val="index 2"/>
    <w:basedOn w:val="Normal"/>
    <w:next w:val="Normal"/>
    <w:semiHidden/>
    <w:qFormat/>
    <w:pPr>
      <w:ind w:left="283"/>
    </w:p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rFonts w:ascii="Calibri" w:hAnsi="Calibri"/>
      <w:color w:val="800080"/>
      <w:u w:val="single"/>
    </w:rPr>
  </w:style>
  <w:style w:type="character" w:styleId="LineNumber">
    <w:name w:val="line number"/>
    <w:basedOn w:val="DefaultParagraphFont"/>
    <w:qFormat/>
  </w:style>
  <w:style w:type="character" w:styleId="Hyperlink">
    <w:name w:val="Hyperlink"/>
    <w:basedOn w:val="DefaultParagraphFont"/>
    <w:qFormat/>
    <w:rPr>
      <w:rFonts w:eastAsia="Times New Roman"/>
      <w:color w:val="4F81BD" w:themeColor="accent1"/>
    </w:rPr>
  </w:style>
  <w:style w:type="character" w:styleId="FootnoteReference">
    <w:name w:val="footnote reference"/>
    <w:basedOn w:val="DefaultParagraphFont"/>
    <w:semiHidden/>
    <w:qFormat/>
    <w:rPr>
      <w:position w:val="6"/>
      <w:sz w:val="18"/>
    </w:rPr>
  </w:style>
  <w:style w:type="paragraph" w:customStyle="1" w:styleId="enumlev1">
    <w:name w:val="enumlev1"/>
    <w:basedOn w:val="Normal"/>
    <w:qFormat/>
    <w:pPr>
      <w:tabs>
        <w:tab w:val="left" w:pos="2608"/>
        <w:tab w:val="left" w:pos="3345"/>
      </w:tabs>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 after title"/>
    <w:basedOn w:val="Normal"/>
    <w:next w:val="Normal"/>
    <w:link w:val="NormalaftertitleChar"/>
    <w:qFormat/>
    <w:pPr>
      <w:spacing w:before="320"/>
    </w:pPr>
  </w:style>
  <w:style w:type="paragraph" w:customStyle="1" w:styleId="Equation">
    <w:name w:val="Equation"/>
    <w:basedOn w:val="Normal"/>
    <w:qFormat/>
    <w:pPr>
      <w:tabs>
        <w:tab w:val="clear" w:pos="1191"/>
        <w:tab w:val="clear" w:pos="1588"/>
        <w:tab w:val="clear" w:pos="1985"/>
        <w:tab w:val="center" w:pos="4820"/>
        <w:tab w:val="right" w:pos="9639"/>
      </w:tabs>
    </w:p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1191"/>
        <w:tab w:val="clear" w:pos="1588"/>
        <w:tab w:val="clear" w:pos="1985"/>
        <w:tab w:val="center" w:pos="8789"/>
      </w:tabs>
    </w:pPr>
    <w:rPr>
      <w:b/>
    </w:rPr>
  </w:style>
  <w:style w:type="paragraph" w:customStyle="1" w:styleId="Part">
    <w:name w:val="Part"/>
    <w:basedOn w:val="Normal"/>
    <w:qFormat/>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qFormat/>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qFormat/>
    <w:pPr>
      <w:spacing w:before="480"/>
      <w:jc w:val="center"/>
    </w:pPr>
    <w:rPr>
      <w:b/>
      <w:sz w:val="28"/>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Reasons">
    <w:name w:val="Reasons"/>
    <w:basedOn w:val="Normal"/>
    <w:qFormat/>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FirstFooter">
    <w:name w:val="FirstFooter"/>
    <w:basedOn w:val="Footer"/>
    <w:qFormat/>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pPr>
      <w:tabs>
        <w:tab w:val="clear" w:pos="794"/>
        <w:tab w:val="clear" w:pos="1191"/>
        <w:tab w:val="clear" w:pos="1588"/>
        <w:tab w:val="clear" w:pos="1985"/>
      </w:tabs>
      <w:spacing w:before="80"/>
    </w:pPr>
  </w:style>
  <w:style w:type="paragraph" w:customStyle="1" w:styleId="Headingb">
    <w:name w:val="Heading_b"/>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qFormat/>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qFormat/>
    <w:pPr>
      <w:spacing w:before="240"/>
    </w:pPr>
    <w:rPr>
      <w:caps w:val="0"/>
    </w:rPr>
  </w:style>
  <w:style w:type="paragraph" w:customStyle="1" w:styleId="Title4">
    <w:name w:val="Title 4"/>
    <w:basedOn w:val="Title3"/>
    <w:next w:val="Heading1"/>
    <w:qFormat/>
    <w:rPr>
      <w:b/>
    </w:rPr>
  </w:style>
  <w:style w:type="paragraph" w:customStyle="1" w:styleId="dnum">
    <w:name w:val="dnum"/>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pPr>
      <w:keepNext/>
      <w:keepLines/>
      <w:spacing w:before="480" w:after="80"/>
      <w:jc w:val="center"/>
    </w:pPr>
    <w:rPr>
      <w:caps/>
      <w:sz w:val="28"/>
    </w:rPr>
  </w:style>
  <w:style w:type="paragraph" w:customStyle="1" w:styleId="Annextitle">
    <w:name w:val="Annex_title"/>
    <w:basedOn w:val="Normal"/>
    <w:next w:val="Annexref"/>
    <w:link w:val="AnnextitleChar"/>
    <w:qFormat/>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qFormat/>
    <w:pPr>
      <w:keepNext/>
      <w:keepLines/>
      <w:spacing w:after="280"/>
      <w:jc w:val="center"/>
    </w:pPr>
  </w:style>
  <w:style w:type="paragraph" w:customStyle="1" w:styleId="AppendixNo">
    <w:name w:val="Appendix_No"/>
    <w:basedOn w:val="AnnexNo"/>
    <w:next w:val="Appendixtitle"/>
    <w:qFormat/>
  </w:style>
  <w:style w:type="paragraph" w:customStyle="1" w:styleId="Appendixtitle">
    <w:name w:val="Appendix_title"/>
    <w:basedOn w:val="Annextitle"/>
    <w:next w:val="Appendixref"/>
    <w:qFormat/>
  </w:style>
  <w:style w:type="paragraph" w:customStyle="1" w:styleId="Appendixref">
    <w:name w:val="Appendix_ref"/>
    <w:basedOn w:val="Annexref"/>
    <w:next w:val="Normalaftertitle"/>
    <w:qFormat/>
  </w:style>
  <w:style w:type="paragraph" w:customStyle="1" w:styleId="Call">
    <w:name w:val="Call"/>
    <w:basedOn w:val="Normal"/>
    <w:next w:val="Normal"/>
    <w:link w:val="CallChar"/>
    <w:qFormat/>
    <w:pPr>
      <w:keepNext/>
      <w:keepLines/>
      <w:spacing w:before="160"/>
      <w:ind w:left="794"/>
    </w:pPr>
    <w:rPr>
      <w:rFonts w:ascii="STKaiti" w:hAnsi="STKaiti"/>
    </w:rPr>
  </w:style>
  <w:style w:type="paragraph" w:customStyle="1" w:styleId="Equationlegend">
    <w:name w:val="Equation_legend"/>
    <w:basedOn w:val="Normal"/>
    <w:qFormat/>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rPr>
      <w:rFonts w:ascii="Calibri" w:hAnsi="Calibri"/>
    </w:rPr>
  </w:style>
  <w:style w:type="paragraph" w:customStyle="1" w:styleId="Tabletitle">
    <w:name w:val="Table_title"/>
    <w:basedOn w:val="TableNo"/>
    <w:next w:val="Tabletext"/>
    <w:qFormat/>
    <w:pPr>
      <w:spacing w:before="0"/>
    </w:pPr>
    <w:rPr>
      <w:rFonts w:ascii="Times New Roman Bold" w:hAnsi="Times New Roman Bold"/>
      <w:b/>
      <w:caps w:val="0"/>
    </w:rPr>
  </w:style>
  <w:style w:type="paragraph" w:customStyle="1" w:styleId="TableNo">
    <w:name w:val="Table_No"/>
    <w:basedOn w:val="Normal"/>
    <w:next w:val="Tabletitle"/>
    <w:qFormat/>
    <w:pPr>
      <w:keepNext/>
      <w:spacing w:before="360" w:after="120"/>
      <w:jc w:val="center"/>
    </w:pPr>
    <w:rPr>
      <w:caps/>
    </w:rPr>
  </w:style>
  <w:style w:type="paragraph" w:customStyle="1" w:styleId="Tabletext">
    <w:name w:val="Table_text"/>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pPr>
    <w:rPr>
      <w:rFonts w:ascii="STKaiti" w:hAnsi="STKaiti"/>
      <w:b w:val="0"/>
    </w:rPr>
  </w:style>
  <w:style w:type="paragraph" w:customStyle="1" w:styleId="PartNo">
    <w:name w:val="Part_No"/>
    <w:basedOn w:val="AnnexNo"/>
    <w:next w:val="Parttitle"/>
    <w:qFormat/>
  </w:style>
  <w:style w:type="paragraph" w:customStyle="1" w:styleId="Parttitle">
    <w:name w:val="Part_title"/>
    <w:basedOn w:val="Annextitle"/>
    <w:next w:val="Partref"/>
    <w:qFormat/>
    <w:rPr>
      <w:rFonts w:ascii="Calibri" w:hAnsi="Calibri"/>
    </w:rPr>
  </w:style>
  <w:style w:type="paragraph" w:customStyle="1" w:styleId="Partref">
    <w:name w:val="Part_ref"/>
    <w:basedOn w:val="Annexref"/>
    <w:next w:val="Normalaftertitle"/>
    <w:qFormat/>
  </w:style>
  <w:style w:type="paragraph" w:customStyle="1" w:styleId="RecNo">
    <w:name w:val="Rec_No"/>
    <w:basedOn w:val="Normal"/>
    <w:next w:val="Rectitle"/>
    <w:qFormat/>
    <w:pPr>
      <w:keepNext/>
      <w:keepLines/>
      <w:spacing w:before="480"/>
      <w:jc w:val="center"/>
    </w:pPr>
    <w:rPr>
      <w:caps/>
      <w:sz w:val="28"/>
    </w:rPr>
  </w:style>
  <w:style w:type="paragraph" w:customStyle="1" w:styleId="Rectitle">
    <w:name w:val="Rec_title"/>
    <w:basedOn w:val="RecNo"/>
    <w:next w:val="Recref"/>
    <w:qFormat/>
    <w:pPr>
      <w:spacing w:before="240"/>
    </w:pPr>
    <w:rPr>
      <w:b/>
      <w:caps w:val="0"/>
    </w:rPr>
  </w:style>
  <w:style w:type="paragraph" w:customStyle="1" w:styleId="Recref">
    <w:name w:val="Rec_ref"/>
    <w:basedOn w:val="Rectitle"/>
    <w:next w:val="Recdate"/>
    <w:qFormat/>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794" w:hanging="794"/>
    </w:pPr>
  </w:style>
  <w:style w:type="paragraph" w:customStyle="1" w:styleId="Reftitle">
    <w:name w:val="Ref_title"/>
    <w:basedOn w:val="Normal"/>
    <w:next w:val="Reftext"/>
    <w:qFormat/>
    <w:pPr>
      <w:spacing w:before="480"/>
      <w:jc w:val="center"/>
    </w:pPr>
    <w:rPr>
      <w:caps/>
    </w:rPr>
  </w:style>
  <w:style w:type="paragraph" w:customStyle="1" w:styleId="Repdate">
    <w:name w:val="Rep_date"/>
    <w:basedOn w:val="Recdate"/>
    <w:next w:val="Normalaftertitle"/>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RecNo"/>
    <w:next w:val="Restitle"/>
    <w:qFormat/>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pPr>
      <w:keepNext/>
      <w:spacing w:before="80" w:after="8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spacing w:before="480"/>
      <w:jc w:val="center"/>
    </w:pPr>
    <w:rPr>
      <w:rFonts w:ascii="Times New Roman Bold" w:hAnsi="Times New Roman Bold"/>
      <w:b/>
      <w:sz w:val="28"/>
    </w:rPr>
  </w:style>
  <w:style w:type="paragraph" w:customStyle="1" w:styleId="ArtNo">
    <w:name w:val="Art_No"/>
    <w:basedOn w:val="Normal"/>
    <w:next w:val="Normal"/>
    <w:qFormat/>
    <w:pPr>
      <w:keepNext/>
      <w:keepLines/>
      <w:spacing w:before="480"/>
      <w:jc w:val="center"/>
    </w:pPr>
    <w:rPr>
      <w:caps/>
      <w:sz w:val="28"/>
    </w:rPr>
  </w:style>
  <w:style w:type="paragraph" w:customStyle="1" w:styleId="Arttitle">
    <w:name w:val="Art_title"/>
    <w:basedOn w:val="Normal"/>
    <w:next w:val="Normalaftertitle"/>
    <w:qFormat/>
    <w:pPr>
      <w:keepNext/>
      <w:keepLines/>
      <w:spacing w:before="240"/>
      <w:jc w:val="center"/>
    </w:pPr>
    <w:rPr>
      <w:b/>
      <w:sz w:val="28"/>
    </w:rPr>
  </w:style>
  <w:style w:type="paragraph" w:customStyle="1" w:styleId="ChapNo">
    <w:name w:val="Chap_No"/>
    <w:basedOn w:val="ArtNo"/>
    <w:next w:val="Chaptitle"/>
    <w:qFormat/>
    <w:rPr>
      <w:b/>
    </w:rPr>
  </w:style>
  <w:style w:type="paragraph" w:customStyle="1" w:styleId="Chaptitle">
    <w:name w:val="Chap_title"/>
    <w:basedOn w:val="Arttitle"/>
    <w:next w:val="Normalaftertitle"/>
    <w:qFormat/>
  </w:style>
  <w:style w:type="paragraph" w:customStyle="1" w:styleId="NormalCH">
    <w:name w:val="NormalCH"/>
    <w:basedOn w:val="Normal"/>
    <w:next w:val="Normal"/>
    <w:qFormat/>
    <w:pPr>
      <w:ind w:firstLineChars="200" w:firstLine="200"/>
    </w:pPr>
    <w:rPr>
      <w:szCs w:val="19"/>
      <w:lang w:eastAsia="zh-CN"/>
    </w:rPr>
  </w:style>
  <w:style w:type="character" w:customStyle="1" w:styleId="Heading1Char">
    <w:name w:val="Heading 1 Char"/>
    <w:basedOn w:val="DefaultParagraphFont"/>
    <w:link w:val="Heading1"/>
    <w:qFormat/>
    <w:rPr>
      <w:rFonts w:ascii="Calibri" w:hAnsi="Calibri"/>
      <w:b/>
      <w:sz w:val="28"/>
      <w:lang w:val="en-GB" w:eastAsia="en-US"/>
    </w:rPr>
  </w:style>
  <w:style w:type="character" w:customStyle="1" w:styleId="Heading2Char">
    <w:name w:val="Heading 2 Char"/>
    <w:basedOn w:val="DefaultParagraphFont"/>
    <w:link w:val="Heading2"/>
    <w:qFormat/>
    <w:rPr>
      <w:rFonts w:ascii="Calibri" w:hAnsi="Calibri"/>
      <w:b/>
      <w:sz w:val="24"/>
      <w:lang w:val="en-GB" w:eastAsia="en-US"/>
    </w:rPr>
  </w:style>
  <w:style w:type="character" w:customStyle="1" w:styleId="FootnoteTextChar">
    <w:name w:val="Footnote Text Char"/>
    <w:basedOn w:val="DefaultParagraphFont"/>
    <w:link w:val="FootnoteText"/>
    <w:semiHidden/>
    <w:qFormat/>
    <w:rPr>
      <w:rFonts w:ascii="Calibri" w:hAnsi="Calibri"/>
      <w:sz w:val="24"/>
      <w:lang w:val="en-GB" w:eastAsia="en-US"/>
    </w:rPr>
  </w:style>
  <w:style w:type="paragraph" w:styleId="ListParagraph">
    <w:name w:val="List Paragraph"/>
    <w:basedOn w:val="Normal"/>
    <w:uiPriority w:val="34"/>
    <w:qFormat/>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character" w:customStyle="1" w:styleId="NormalaftertitleChar">
    <w:name w:val="Normal after title Char"/>
    <w:link w:val="Normalaftertitle"/>
    <w:qFormat/>
    <w:locked/>
    <w:rPr>
      <w:rFonts w:ascii="Calibri" w:hAnsi="Calibri"/>
      <w:sz w:val="24"/>
      <w:lang w:val="en-GB" w:eastAsia="en-US"/>
    </w:rPr>
  </w:style>
  <w:style w:type="character" w:customStyle="1" w:styleId="CallChar">
    <w:name w:val="Call Char"/>
    <w:basedOn w:val="DefaultParagraphFont"/>
    <w:link w:val="Call"/>
    <w:qFormat/>
    <w:rPr>
      <w:rFonts w:ascii="STKaiti" w:hAnsi="STKaiti"/>
      <w:sz w:val="24"/>
      <w:lang w:val="en-GB" w:eastAsia="en-US"/>
    </w:rPr>
  </w:style>
  <w:style w:type="character" w:customStyle="1" w:styleId="AnnextitleChar">
    <w:name w:val="Annex_title Char"/>
    <w:basedOn w:val="DefaultParagraphFont"/>
    <w:link w:val="Annextitle"/>
    <w:qFormat/>
    <w:locked/>
    <w:rPr>
      <w:rFonts w:ascii="Times New Roman Bold" w:hAnsi="Times New Roman Bold"/>
      <w:b/>
      <w:sz w:val="28"/>
      <w:lang w:val="en-GB" w:eastAsia="en-US"/>
    </w:rPr>
  </w:style>
  <w:style w:type="character" w:customStyle="1" w:styleId="FooterChar">
    <w:name w:val="Footer Char"/>
    <w:basedOn w:val="DefaultParagraphFont"/>
    <w:link w:val="Footer"/>
    <w:qFormat/>
    <w:rPr>
      <w:rFonts w:ascii="Calibri" w:hAnsi="Calibri"/>
      <w:caps/>
      <w:sz w:val="16"/>
      <w:lang w:val="fr-FR" w:eastAsia="en-US"/>
    </w:rPr>
  </w:style>
  <w:style w:type="character" w:customStyle="1" w:styleId="BodyTextIndent3Char">
    <w:name w:val="Body Text Indent 3 Char"/>
    <w:basedOn w:val="DefaultParagraphFont"/>
    <w:link w:val="BodyTextIndent3"/>
    <w:qFormat/>
    <w:rPr>
      <w:rFonts w:ascii="Calibri" w:hAnsi="Calibri"/>
      <w:sz w:val="22"/>
      <w:lang w:val="fr-FR"/>
    </w:rPr>
  </w:style>
  <w:style w:type="character" w:customStyle="1" w:styleId="HeaderChar">
    <w:name w:val="Header Char"/>
    <w:basedOn w:val="DefaultParagraphFont"/>
    <w:link w:val="Header"/>
    <w:uiPriority w:val="99"/>
    <w:qFormat/>
    <w:rPr>
      <w:rFonts w:ascii="Calibri" w:hAnsi="Calibri"/>
      <w:sz w:val="18"/>
      <w:lang w:val="fr-FR" w:eastAsia="en-US"/>
    </w:rPr>
  </w:style>
  <w:style w:type="paragraph" w:customStyle="1" w:styleId="Subtitle">
    <w:name w:val="Sub_title"/>
    <w:basedOn w:val="Title1"/>
    <w:qFormat/>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uiPriority w:val="1"/>
    <w:qFormat/>
    <w:rPr>
      <w:rFonts w:ascii="CG Times" w:eastAsia="Times New Roman" w:hAnsi="CG Times" w:cs="Times New Roman"/>
    </w:rPr>
  </w:style>
  <w:style w:type="character" w:styleId="UnresolvedMention">
    <w:name w:val="Unresolved Mention"/>
    <w:basedOn w:val="DefaultParagraphFont"/>
    <w:uiPriority w:val="99"/>
    <w:semiHidden/>
    <w:unhideWhenUsed/>
    <w:rsid w:val="0048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C.pdf" TargetMode="External"/><Relationship Id="rId13" Type="http://schemas.openxmlformats.org/officeDocument/2006/relationships/hyperlink" Target="https://www.itu.int/md/S25-CWGSFP3-C-0006/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5-CWGSFP3-C-0006/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139/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dmsweb.itu.int/dms_pub/itu-s/opb/conf/S-CONF-CL-2025-PDF-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2023/RES-151-C.pdf" TargetMode="External"/><Relationship Id="rId14" Type="http://schemas.openxmlformats.org/officeDocument/2006/relationships/hyperlink" Target="https://www.itu.int/md/S26-CL-C-003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1604</Words>
  <Characters>711</Characters>
  <Application>Microsoft Office Word</Application>
  <DocSecurity>0</DocSecurity>
  <Lines>29</Lines>
  <Paragraphs>35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on Further Optimizing the Draft Financial Plan for 2028-2031</dc:title>
  <dc:subject>ITU Council 2026</dc:subject>
  <dc:creator/>
  <cp:keywords>C26; C2026; Council 2026; PP26</cp:keywords>
  <cp:lastModifiedBy>GBS</cp:lastModifiedBy>
  <cp:revision>3</cp:revision>
  <cp:lastPrinted>2015-02-24T13:23:00Z</cp:lastPrinted>
  <dcterms:created xsi:type="dcterms:W3CDTF">2026-04-21T17:38:00Z</dcterms:created>
  <dcterms:modified xsi:type="dcterms:W3CDTF">2026-04-21T17:40:00Z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y fmtid="{D5CDD505-2E9C-101B-9397-08002B2CF9AE}" pid="9" name="KSOTemplateDocerSaveRecord">
    <vt:lpwstr>eyJoZGlkIjoiZTIxYWY5YzE1YjQ5N2E5M2M3Mjk1MTQ5ODg3ZmEzMWYiLCJ1c2VySWQiOiIyNDI4MTg4ODUifQ==</vt:lpwstr>
  </property>
  <property fmtid="{D5CDD505-2E9C-101B-9397-08002B2CF9AE}" pid="10" name="KSOProductBuildVer">
    <vt:lpwstr>2052-12.1.0.18276</vt:lpwstr>
  </property>
  <property fmtid="{D5CDD505-2E9C-101B-9397-08002B2CF9AE}" pid="11" name="ICV">
    <vt:lpwstr>DB03DC43C2CE49F397D5C5748C858048_13</vt:lpwstr>
  </property>
</Properties>
</file>