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6300E6" w14:paraId="161CDBCC" w14:textId="77777777" w:rsidTr="00C4421B">
        <w:trPr>
          <w:cantSplit/>
          <w:trHeight w:val="23"/>
        </w:trPr>
        <w:tc>
          <w:tcPr>
            <w:tcW w:w="3969" w:type="dxa"/>
            <w:vMerge w:val="restart"/>
            <w:tcMar>
              <w:left w:w="0" w:type="dxa"/>
            </w:tcMar>
          </w:tcPr>
          <w:p w14:paraId="36BD5494" w14:textId="0662B721" w:rsidR="00FE57F6" w:rsidRPr="006300E6" w:rsidRDefault="00CC1FAF" w:rsidP="00C4421B">
            <w:pPr>
              <w:tabs>
                <w:tab w:val="left" w:pos="851"/>
              </w:tabs>
              <w:spacing w:before="0" w:line="240" w:lineRule="atLeast"/>
              <w:rPr>
                <w:b/>
                <w:lang w:val="es-ES"/>
              </w:rPr>
            </w:pPr>
            <w:bookmarkStart w:id="0" w:name="_Hlk133421839"/>
            <w:r w:rsidRPr="006300E6">
              <w:rPr>
                <w:b/>
                <w:lang w:val="es-ES"/>
              </w:rPr>
              <w:t>Punto del o</w:t>
            </w:r>
            <w:r w:rsidR="00BB6FD8" w:rsidRPr="006300E6">
              <w:rPr>
                <w:b/>
                <w:lang w:val="es-ES"/>
              </w:rPr>
              <w:t>rden del día</w:t>
            </w:r>
            <w:r w:rsidR="00FE57F6" w:rsidRPr="006300E6">
              <w:rPr>
                <w:b/>
                <w:lang w:val="es-ES"/>
              </w:rPr>
              <w:t xml:space="preserve">: </w:t>
            </w:r>
            <w:r w:rsidR="004D288B" w:rsidRPr="006300E6">
              <w:rPr>
                <w:b/>
                <w:lang w:val="es-ES"/>
              </w:rPr>
              <w:t>ADM 1</w:t>
            </w:r>
          </w:p>
        </w:tc>
        <w:tc>
          <w:tcPr>
            <w:tcW w:w="5245" w:type="dxa"/>
          </w:tcPr>
          <w:p w14:paraId="186281DE" w14:textId="19F7D207" w:rsidR="00FE57F6" w:rsidRPr="006300E6" w:rsidRDefault="00FE57F6" w:rsidP="00C4421B">
            <w:pPr>
              <w:tabs>
                <w:tab w:val="left" w:pos="851"/>
              </w:tabs>
              <w:spacing w:before="0" w:line="240" w:lineRule="atLeast"/>
              <w:jc w:val="right"/>
              <w:rPr>
                <w:b/>
                <w:lang w:val="es-ES"/>
              </w:rPr>
            </w:pPr>
            <w:r w:rsidRPr="006300E6">
              <w:rPr>
                <w:b/>
                <w:lang w:val="es-ES"/>
              </w:rPr>
              <w:t>Document</w:t>
            </w:r>
            <w:r w:rsidR="00F24B71" w:rsidRPr="006300E6">
              <w:rPr>
                <w:b/>
                <w:lang w:val="es-ES"/>
              </w:rPr>
              <w:t>o</w:t>
            </w:r>
            <w:r w:rsidRPr="006300E6">
              <w:rPr>
                <w:b/>
                <w:lang w:val="es-ES"/>
              </w:rPr>
              <w:t xml:space="preserve"> C2</w:t>
            </w:r>
            <w:r w:rsidR="00F85E5C" w:rsidRPr="006300E6">
              <w:rPr>
                <w:b/>
                <w:lang w:val="es-ES"/>
              </w:rPr>
              <w:t>6</w:t>
            </w:r>
            <w:r w:rsidRPr="006300E6">
              <w:rPr>
                <w:b/>
                <w:lang w:val="es-ES"/>
              </w:rPr>
              <w:t>/</w:t>
            </w:r>
            <w:r w:rsidR="004D288B" w:rsidRPr="006300E6">
              <w:rPr>
                <w:b/>
                <w:lang w:val="es-ES"/>
              </w:rPr>
              <w:t>80</w:t>
            </w:r>
            <w:r w:rsidRPr="006300E6">
              <w:rPr>
                <w:b/>
                <w:lang w:val="es-ES"/>
              </w:rPr>
              <w:t>-</w:t>
            </w:r>
            <w:r w:rsidR="00F24B71" w:rsidRPr="006300E6">
              <w:rPr>
                <w:b/>
                <w:lang w:val="es-ES"/>
              </w:rPr>
              <w:t>S</w:t>
            </w:r>
          </w:p>
        </w:tc>
      </w:tr>
      <w:tr w:rsidR="00FE57F6" w:rsidRPr="006300E6" w14:paraId="1A26476D" w14:textId="77777777" w:rsidTr="00C4421B">
        <w:trPr>
          <w:cantSplit/>
        </w:trPr>
        <w:tc>
          <w:tcPr>
            <w:tcW w:w="3969" w:type="dxa"/>
            <w:vMerge/>
          </w:tcPr>
          <w:p w14:paraId="6C28D2C9" w14:textId="77777777" w:rsidR="00FE57F6" w:rsidRPr="006300E6" w:rsidRDefault="00FE57F6" w:rsidP="00C4421B">
            <w:pPr>
              <w:tabs>
                <w:tab w:val="left" w:pos="851"/>
              </w:tabs>
              <w:spacing w:line="240" w:lineRule="atLeast"/>
              <w:rPr>
                <w:b/>
                <w:lang w:val="es-ES"/>
              </w:rPr>
            </w:pPr>
          </w:p>
        </w:tc>
        <w:tc>
          <w:tcPr>
            <w:tcW w:w="5245" w:type="dxa"/>
          </w:tcPr>
          <w:p w14:paraId="752B5344" w14:textId="3BA94244" w:rsidR="00FE57F6" w:rsidRPr="006300E6" w:rsidRDefault="004D288B" w:rsidP="00C4421B">
            <w:pPr>
              <w:tabs>
                <w:tab w:val="left" w:pos="851"/>
              </w:tabs>
              <w:spacing w:before="0"/>
              <w:jc w:val="right"/>
              <w:rPr>
                <w:b/>
                <w:lang w:val="es-ES"/>
              </w:rPr>
            </w:pPr>
            <w:r w:rsidRPr="006300E6">
              <w:rPr>
                <w:b/>
                <w:lang w:val="es-ES"/>
              </w:rPr>
              <w:t>14 de abril de 2026</w:t>
            </w:r>
          </w:p>
        </w:tc>
      </w:tr>
      <w:tr w:rsidR="00FE57F6" w:rsidRPr="006300E6" w14:paraId="3A83B06A" w14:textId="77777777" w:rsidTr="00C4421B">
        <w:trPr>
          <w:cantSplit/>
          <w:trHeight w:val="23"/>
        </w:trPr>
        <w:tc>
          <w:tcPr>
            <w:tcW w:w="3969" w:type="dxa"/>
            <w:vMerge/>
          </w:tcPr>
          <w:p w14:paraId="498ECD7B" w14:textId="77777777" w:rsidR="00FE57F6" w:rsidRPr="006300E6" w:rsidRDefault="00FE57F6" w:rsidP="00C4421B">
            <w:pPr>
              <w:tabs>
                <w:tab w:val="left" w:pos="851"/>
              </w:tabs>
              <w:spacing w:line="240" w:lineRule="atLeast"/>
              <w:rPr>
                <w:b/>
                <w:lang w:val="es-ES"/>
              </w:rPr>
            </w:pPr>
          </w:p>
        </w:tc>
        <w:tc>
          <w:tcPr>
            <w:tcW w:w="5245" w:type="dxa"/>
          </w:tcPr>
          <w:p w14:paraId="066DB9F5" w14:textId="04E1029F" w:rsidR="00FE57F6" w:rsidRPr="006300E6" w:rsidRDefault="00F24B71" w:rsidP="00C4421B">
            <w:pPr>
              <w:tabs>
                <w:tab w:val="left" w:pos="851"/>
              </w:tabs>
              <w:spacing w:before="0" w:line="240" w:lineRule="atLeast"/>
              <w:jc w:val="right"/>
              <w:rPr>
                <w:b/>
                <w:bCs/>
                <w:lang w:val="es-ES"/>
              </w:rPr>
            </w:pPr>
            <w:r w:rsidRPr="006300E6">
              <w:rPr>
                <w:rFonts w:cstheme="minorHAnsi"/>
                <w:b/>
                <w:bCs/>
                <w:lang w:val="es-ES"/>
              </w:rPr>
              <w:t xml:space="preserve">Original: </w:t>
            </w:r>
            <w:r w:rsidR="004D288B" w:rsidRPr="006300E6">
              <w:rPr>
                <w:rFonts w:cstheme="minorHAnsi"/>
                <w:b/>
                <w:bCs/>
                <w:lang w:val="es-ES"/>
              </w:rPr>
              <w:t>chino/</w:t>
            </w:r>
            <w:r w:rsidRPr="006300E6">
              <w:rPr>
                <w:rFonts w:cstheme="minorHAnsi"/>
                <w:b/>
                <w:bCs/>
                <w:lang w:val="es-ES"/>
              </w:rPr>
              <w:t>inglés</w:t>
            </w:r>
          </w:p>
        </w:tc>
      </w:tr>
      <w:tr w:rsidR="00FE57F6" w:rsidRPr="006300E6" w14:paraId="6F173ED3" w14:textId="77777777" w:rsidTr="00C4421B">
        <w:trPr>
          <w:cantSplit/>
          <w:trHeight w:val="23"/>
        </w:trPr>
        <w:tc>
          <w:tcPr>
            <w:tcW w:w="3969" w:type="dxa"/>
          </w:tcPr>
          <w:p w14:paraId="6913A620" w14:textId="77777777" w:rsidR="00FE57F6" w:rsidRPr="006300E6" w:rsidRDefault="00FE57F6" w:rsidP="00C4421B">
            <w:pPr>
              <w:tabs>
                <w:tab w:val="left" w:pos="851"/>
              </w:tabs>
              <w:spacing w:line="240" w:lineRule="atLeast"/>
              <w:rPr>
                <w:b/>
                <w:lang w:val="es-ES"/>
              </w:rPr>
            </w:pPr>
          </w:p>
        </w:tc>
        <w:tc>
          <w:tcPr>
            <w:tcW w:w="5245" w:type="dxa"/>
          </w:tcPr>
          <w:p w14:paraId="31D90EBD" w14:textId="77777777" w:rsidR="00FE57F6" w:rsidRPr="006300E6" w:rsidRDefault="00FE57F6" w:rsidP="00C4421B">
            <w:pPr>
              <w:tabs>
                <w:tab w:val="left" w:pos="851"/>
              </w:tabs>
              <w:spacing w:before="0" w:line="240" w:lineRule="atLeast"/>
              <w:jc w:val="right"/>
              <w:rPr>
                <w:b/>
                <w:lang w:val="es-ES"/>
              </w:rPr>
            </w:pPr>
          </w:p>
        </w:tc>
      </w:tr>
      <w:tr w:rsidR="00FE57F6" w:rsidRPr="006300E6" w14:paraId="3D35FECF" w14:textId="77777777" w:rsidTr="00C4421B">
        <w:trPr>
          <w:cantSplit/>
        </w:trPr>
        <w:tc>
          <w:tcPr>
            <w:tcW w:w="9214" w:type="dxa"/>
            <w:gridSpan w:val="2"/>
            <w:tcMar>
              <w:left w:w="0" w:type="dxa"/>
            </w:tcMar>
          </w:tcPr>
          <w:p w14:paraId="69D22082" w14:textId="514497BF" w:rsidR="00FE57F6" w:rsidRPr="006300E6" w:rsidRDefault="004D288B" w:rsidP="004D288B">
            <w:pPr>
              <w:pStyle w:val="Source"/>
              <w:jc w:val="left"/>
              <w:rPr>
                <w:sz w:val="34"/>
                <w:szCs w:val="34"/>
                <w:lang w:val="es-ES"/>
              </w:rPr>
            </w:pPr>
            <w:r w:rsidRPr="006300E6">
              <w:rPr>
                <w:rFonts w:cstheme="minorHAnsi"/>
                <w:bCs/>
                <w:sz w:val="34"/>
                <w:szCs w:val="34"/>
                <w:lang w:val="es-ES"/>
              </w:rPr>
              <w:t>Contribución de China (República Popular de)</w:t>
            </w:r>
            <w:r w:rsidR="00803E9B">
              <w:rPr>
                <w:rFonts w:cstheme="minorHAnsi"/>
                <w:bCs/>
                <w:sz w:val="34"/>
                <w:szCs w:val="34"/>
                <w:lang w:val="es-ES"/>
              </w:rPr>
              <w:t xml:space="preserve">, </w:t>
            </w:r>
            <w:r w:rsidR="00803E9B" w:rsidRPr="00803E9B">
              <w:rPr>
                <w:rFonts w:cstheme="minorHAnsi"/>
                <w:bCs/>
                <w:sz w:val="34"/>
                <w:szCs w:val="34"/>
                <w:lang w:val="es-ES"/>
              </w:rPr>
              <w:t>Brasil (República Federativa del)</w:t>
            </w:r>
            <w:r w:rsidR="00803E9B">
              <w:rPr>
                <w:rFonts w:cstheme="minorHAnsi"/>
                <w:bCs/>
                <w:sz w:val="34"/>
                <w:szCs w:val="34"/>
                <w:lang w:val="es-ES"/>
              </w:rPr>
              <w:t>, y Cuba</w:t>
            </w:r>
          </w:p>
        </w:tc>
      </w:tr>
      <w:tr w:rsidR="00FE57F6" w:rsidRPr="006300E6" w14:paraId="67904A01" w14:textId="77777777" w:rsidTr="00C4421B">
        <w:trPr>
          <w:cantSplit/>
        </w:trPr>
        <w:tc>
          <w:tcPr>
            <w:tcW w:w="9214" w:type="dxa"/>
            <w:gridSpan w:val="2"/>
            <w:tcMar>
              <w:left w:w="0" w:type="dxa"/>
            </w:tcMar>
          </w:tcPr>
          <w:p w14:paraId="5B7D0E09" w14:textId="41BAB280" w:rsidR="00FE57F6" w:rsidRPr="006300E6" w:rsidRDefault="004D288B" w:rsidP="004D288B">
            <w:pPr>
              <w:pStyle w:val="Subtitle"/>
              <w:framePr w:hSpace="0" w:wrap="auto" w:hAnchor="text" w:xAlign="left" w:yAlign="inline"/>
              <w:rPr>
                <w:lang w:val="es-ES"/>
              </w:rPr>
            </w:pPr>
            <w:r w:rsidRPr="006300E6">
              <w:rPr>
                <w:lang w:val="es-ES"/>
              </w:rPr>
              <w:t>RECOMENDACIONES PARA MEJORAR LA TRANSPARENCIA DE LA GESTIÓN FINANCIERA DE LA UIT</w:t>
            </w:r>
          </w:p>
        </w:tc>
      </w:tr>
      <w:tr w:rsidR="00FE57F6" w:rsidRPr="006300E6" w14:paraId="58C16D1E" w14:textId="77777777" w:rsidTr="00C4421B">
        <w:trPr>
          <w:cantSplit/>
        </w:trPr>
        <w:tc>
          <w:tcPr>
            <w:tcW w:w="9214" w:type="dxa"/>
            <w:gridSpan w:val="2"/>
            <w:tcBorders>
              <w:top w:val="single" w:sz="4" w:space="0" w:color="auto"/>
              <w:bottom w:val="single" w:sz="4" w:space="0" w:color="auto"/>
            </w:tcBorders>
            <w:tcMar>
              <w:left w:w="0" w:type="dxa"/>
            </w:tcMar>
          </w:tcPr>
          <w:p w14:paraId="2574074B" w14:textId="77777777" w:rsidR="00FE57F6" w:rsidRPr="006300E6" w:rsidRDefault="00F24B71" w:rsidP="00C4421B">
            <w:pPr>
              <w:spacing w:before="160"/>
              <w:rPr>
                <w:b/>
                <w:bCs/>
                <w:sz w:val="26"/>
                <w:szCs w:val="26"/>
                <w:lang w:val="es-ES"/>
              </w:rPr>
            </w:pPr>
            <w:r w:rsidRPr="006300E6">
              <w:rPr>
                <w:b/>
                <w:bCs/>
                <w:sz w:val="26"/>
                <w:szCs w:val="26"/>
                <w:lang w:val="es-ES"/>
              </w:rPr>
              <w:t>Finalidad</w:t>
            </w:r>
          </w:p>
          <w:p w14:paraId="6F48968B" w14:textId="64781029" w:rsidR="00FE57F6" w:rsidRPr="006300E6" w:rsidRDefault="004D288B" w:rsidP="00C4421B">
            <w:pPr>
              <w:rPr>
                <w:lang w:val="es-ES"/>
              </w:rPr>
            </w:pPr>
            <w:r w:rsidRPr="006300E6">
              <w:rPr>
                <w:color w:val="000000"/>
                <w:lang w:val="es-ES"/>
              </w:rPr>
              <w:t>La transparencia en la gestión financiera y la eficiencia en la asignación de recursos son esenciales para cumplir los objetivos estratégicos de la UIT y reforzar la confianza de sus Miembros. Dado que se espera que la Conferencia de Plenipotenciarios de 2026 ofrezca orientación sobre gestión financiera para el próximo ciclo cuadrienal, en esta contribución se proponen recomendaciones concretas basadas en los debates mantenidos en las reuniones del Grupo de Trabajo del Consejo sobre Recursos Humanos y Financieros (GTC-RHF) y del Consejo de la UIT desde 2023.</w:t>
            </w:r>
          </w:p>
          <w:p w14:paraId="4EC44B94" w14:textId="77777777" w:rsidR="00FE57F6" w:rsidRPr="006300E6" w:rsidRDefault="00F24B71" w:rsidP="00C4421B">
            <w:pPr>
              <w:spacing w:before="160"/>
              <w:rPr>
                <w:b/>
                <w:bCs/>
                <w:sz w:val="26"/>
                <w:szCs w:val="26"/>
                <w:lang w:val="es-ES"/>
              </w:rPr>
            </w:pPr>
            <w:r w:rsidRPr="006300E6">
              <w:rPr>
                <w:b/>
                <w:bCs/>
                <w:sz w:val="26"/>
                <w:szCs w:val="26"/>
                <w:lang w:val="es-ES"/>
              </w:rPr>
              <w:t xml:space="preserve">Acción solicitada </w:t>
            </w:r>
            <w:r w:rsidR="00677A97" w:rsidRPr="006300E6">
              <w:rPr>
                <w:b/>
                <w:bCs/>
                <w:sz w:val="26"/>
                <w:szCs w:val="26"/>
                <w:lang w:val="es-ES"/>
              </w:rPr>
              <w:t>al</w:t>
            </w:r>
            <w:r w:rsidRPr="006300E6">
              <w:rPr>
                <w:b/>
                <w:bCs/>
                <w:sz w:val="26"/>
                <w:szCs w:val="26"/>
                <w:lang w:val="es-ES"/>
              </w:rPr>
              <w:t xml:space="preserve"> Consejo</w:t>
            </w:r>
          </w:p>
          <w:p w14:paraId="5B945AFC" w14:textId="218F08E5" w:rsidR="00F92BED" w:rsidRPr="006300E6" w:rsidRDefault="004D288B" w:rsidP="00C4421B">
            <w:pPr>
              <w:spacing w:before="160"/>
              <w:rPr>
                <w:szCs w:val="24"/>
                <w:lang w:val="es-ES"/>
              </w:rPr>
            </w:pPr>
            <w:r w:rsidRPr="006300E6">
              <w:rPr>
                <w:color w:val="000000"/>
                <w:lang w:val="es-ES"/>
              </w:rPr>
              <w:t xml:space="preserve">Se invita al Consejo a </w:t>
            </w:r>
            <w:r w:rsidRPr="006300E6">
              <w:rPr>
                <w:b/>
                <w:bCs/>
                <w:color w:val="000000"/>
                <w:lang w:val="es-ES"/>
              </w:rPr>
              <w:t xml:space="preserve">examinar </w:t>
            </w:r>
            <w:r w:rsidRPr="006300E6">
              <w:rPr>
                <w:color w:val="000000"/>
                <w:lang w:val="es-ES"/>
              </w:rPr>
              <w:t>las recomendaciones formuladas en la presente contribución y a tomar las medidas necesarias.</w:t>
            </w:r>
          </w:p>
          <w:p w14:paraId="4E7C3D21" w14:textId="77777777" w:rsidR="00FE57F6" w:rsidRPr="006300E6" w:rsidRDefault="00FE57F6" w:rsidP="00C4421B">
            <w:pPr>
              <w:spacing w:before="160"/>
              <w:rPr>
                <w:caps/>
                <w:sz w:val="22"/>
                <w:lang w:val="es-ES"/>
              </w:rPr>
            </w:pPr>
            <w:r w:rsidRPr="006300E6">
              <w:rPr>
                <w:sz w:val="22"/>
                <w:lang w:val="es-ES"/>
              </w:rPr>
              <w:t>__________________</w:t>
            </w:r>
          </w:p>
          <w:p w14:paraId="0F41E745" w14:textId="1B65A3B9" w:rsidR="00FE57F6" w:rsidRPr="006300E6" w:rsidRDefault="00F24B71" w:rsidP="00C4421B">
            <w:pPr>
              <w:spacing w:before="160"/>
              <w:rPr>
                <w:b/>
                <w:bCs/>
                <w:sz w:val="26"/>
                <w:szCs w:val="26"/>
                <w:lang w:val="es-ES"/>
              </w:rPr>
            </w:pPr>
            <w:r w:rsidRPr="006300E6">
              <w:rPr>
                <w:b/>
                <w:bCs/>
                <w:sz w:val="26"/>
                <w:szCs w:val="26"/>
                <w:lang w:val="es-ES"/>
              </w:rPr>
              <w:t>Referencia</w:t>
            </w:r>
            <w:r w:rsidR="00F92BED" w:rsidRPr="006300E6">
              <w:rPr>
                <w:b/>
                <w:bCs/>
                <w:sz w:val="26"/>
                <w:szCs w:val="26"/>
                <w:lang w:val="es-ES"/>
              </w:rPr>
              <w:t>s</w:t>
            </w:r>
          </w:p>
          <w:p w14:paraId="6E51F218" w14:textId="4D49CBA9" w:rsidR="00FE57F6" w:rsidRPr="006300E6" w:rsidRDefault="004D288B" w:rsidP="004D288B">
            <w:pPr>
              <w:spacing w:after="160"/>
              <w:rPr>
                <w:i/>
                <w:iCs/>
                <w:sz w:val="22"/>
                <w:szCs w:val="22"/>
                <w:lang w:val="es-ES"/>
              </w:rPr>
            </w:pPr>
            <w:hyperlink r:id="rId6" w:history="1">
              <w:r w:rsidRPr="006300E6">
                <w:rPr>
                  <w:rStyle w:val="Hyperlink"/>
                  <w:rFonts w:eastAsia="Times New Roman" w:cs="Times New Roman"/>
                  <w:i/>
                  <w:iCs/>
                  <w:sz w:val="22"/>
                  <w:lang w:val="es-ES"/>
                </w:rPr>
                <w:t>Artículo 28 de la Constitución</w:t>
              </w:r>
            </w:hyperlink>
            <w:r w:rsidRPr="006300E6">
              <w:rPr>
                <w:i/>
                <w:iCs/>
                <w:sz w:val="22"/>
                <w:szCs w:val="22"/>
                <w:lang w:val="es-ES"/>
              </w:rPr>
              <w:t xml:space="preserve">, </w:t>
            </w:r>
            <w:hyperlink r:id="rId7" w:history="1">
              <w:r w:rsidRPr="006300E6">
                <w:rPr>
                  <w:rStyle w:val="Hyperlink"/>
                  <w:rFonts w:eastAsia="Times New Roman" w:cs="Times New Roman"/>
                  <w:i/>
                  <w:iCs/>
                  <w:sz w:val="22"/>
                  <w:lang w:val="es-ES"/>
                </w:rPr>
                <w:t>número 63 del Convenio</w:t>
              </w:r>
            </w:hyperlink>
            <w:r w:rsidRPr="006300E6">
              <w:rPr>
                <w:i/>
                <w:iCs/>
                <w:sz w:val="22"/>
                <w:szCs w:val="22"/>
                <w:lang w:val="es-ES"/>
              </w:rPr>
              <w:t xml:space="preserve">, Decisión </w:t>
            </w:r>
            <w:hyperlink r:id="rId8" w:history="1">
              <w:r w:rsidRPr="006300E6">
                <w:rPr>
                  <w:rStyle w:val="Hyperlink"/>
                  <w:rFonts w:eastAsia="Times New Roman" w:cs="Times New Roman"/>
                  <w:i/>
                  <w:iCs/>
                  <w:sz w:val="22"/>
                  <w:lang w:val="es-ES"/>
                </w:rPr>
                <w:t>5 (Rev. Bucarest, 2022)</w:t>
              </w:r>
            </w:hyperlink>
            <w:r w:rsidRPr="006300E6">
              <w:rPr>
                <w:i/>
                <w:iCs/>
                <w:sz w:val="22"/>
                <w:szCs w:val="22"/>
                <w:lang w:val="es-ES"/>
              </w:rPr>
              <w:t xml:space="preserve"> y Resoluciones </w:t>
            </w:r>
            <w:hyperlink r:id="rId9" w:history="1">
              <w:r w:rsidRPr="006300E6">
                <w:rPr>
                  <w:rStyle w:val="Hyperlink"/>
                  <w:rFonts w:eastAsia="Times New Roman" w:cs="Times New Roman"/>
                  <w:i/>
                  <w:iCs/>
                  <w:sz w:val="22"/>
                  <w:lang w:val="es-ES"/>
                </w:rPr>
                <w:t>94 (Rev. Bucarest, 2022)</w:t>
              </w:r>
            </w:hyperlink>
            <w:r w:rsidRPr="006300E6">
              <w:rPr>
                <w:i/>
                <w:iCs/>
                <w:sz w:val="22"/>
                <w:szCs w:val="22"/>
                <w:lang w:val="es-ES"/>
              </w:rPr>
              <w:t xml:space="preserve">, </w:t>
            </w:r>
            <w:hyperlink r:id="rId10" w:history="1">
              <w:r w:rsidRPr="006300E6">
                <w:rPr>
                  <w:rStyle w:val="Hyperlink"/>
                  <w:rFonts w:eastAsia="Times New Roman" w:cs="Times New Roman"/>
                  <w:i/>
                  <w:iCs/>
                  <w:sz w:val="22"/>
                  <w:lang w:val="es-ES"/>
                </w:rPr>
                <w:t>151 (Rev. Bucarest, 2022)</w:t>
              </w:r>
            </w:hyperlink>
            <w:r w:rsidRPr="006300E6">
              <w:rPr>
                <w:i/>
                <w:iCs/>
                <w:sz w:val="22"/>
                <w:szCs w:val="22"/>
                <w:lang w:val="es-ES"/>
              </w:rPr>
              <w:t xml:space="preserve">, </w:t>
            </w:r>
            <w:hyperlink r:id="rId11" w:history="1">
              <w:r w:rsidRPr="006300E6">
                <w:rPr>
                  <w:rStyle w:val="Hyperlink"/>
                  <w:rFonts w:eastAsia="Times New Roman" w:cs="Times New Roman"/>
                  <w:i/>
                  <w:iCs/>
                  <w:sz w:val="22"/>
                  <w:lang w:val="es-ES"/>
                </w:rPr>
                <w:t>158 (Rev. Bucarest, 2014)</w:t>
              </w:r>
            </w:hyperlink>
            <w:r w:rsidRPr="006300E6">
              <w:rPr>
                <w:i/>
                <w:iCs/>
                <w:sz w:val="22"/>
                <w:szCs w:val="22"/>
                <w:lang w:val="es-ES"/>
              </w:rPr>
              <w:t xml:space="preserve"> y </w:t>
            </w:r>
            <w:hyperlink r:id="rId12" w:history="1">
              <w:r w:rsidRPr="006300E6">
                <w:rPr>
                  <w:rStyle w:val="Hyperlink"/>
                  <w:rFonts w:eastAsia="Times New Roman" w:cs="Times New Roman"/>
                  <w:i/>
                  <w:iCs/>
                  <w:sz w:val="22"/>
                  <w:lang w:val="es-ES"/>
                </w:rPr>
                <w:t>162 (Rev. Bucarest, 2022)</w:t>
              </w:r>
            </w:hyperlink>
            <w:r w:rsidRPr="006300E6">
              <w:rPr>
                <w:i/>
                <w:iCs/>
                <w:sz w:val="22"/>
                <w:szCs w:val="22"/>
                <w:lang w:val="es-ES"/>
              </w:rPr>
              <w:t xml:space="preserve"> de la Conferencia de Plenipotenciarios; Documentos </w:t>
            </w:r>
            <w:hyperlink r:id="rId13" w:history="1">
              <w:r w:rsidRPr="006300E6">
                <w:rPr>
                  <w:rStyle w:val="Hyperlink"/>
                  <w:rFonts w:eastAsia="Times New Roman" w:cs="Times New Roman"/>
                  <w:i/>
                  <w:iCs/>
                  <w:sz w:val="22"/>
                  <w:lang w:val="es-ES"/>
                </w:rPr>
                <w:t>C26/55</w:t>
              </w:r>
            </w:hyperlink>
            <w:r w:rsidRPr="006300E6">
              <w:rPr>
                <w:i/>
                <w:iCs/>
                <w:sz w:val="22"/>
                <w:szCs w:val="22"/>
                <w:lang w:val="es-ES"/>
              </w:rPr>
              <w:t xml:space="preserve"> del Consejo sobre las Novedades sobre la transformación de la UIT, </w:t>
            </w:r>
            <w:hyperlink r:id="rId14" w:history="1">
              <w:r w:rsidRPr="006300E6">
                <w:rPr>
                  <w:rStyle w:val="Hyperlink"/>
                  <w:rFonts w:eastAsia="Times New Roman" w:cs="Times New Roman"/>
                  <w:i/>
                  <w:iCs/>
                  <w:sz w:val="22"/>
                  <w:lang w:val="es-ES"/>
                </w:rPr>
                <w:t>C26/42</w:t>
              </w:r>
            </w:hyperlink>
            <w:r w:rsidRPr="006300E6">
              <w:rPr>
                <w:i/>
                <w:iCs/>
                <w:sz w:val="22"/>
                <w:szCs w:val="22"/>
                <w:lang w:val="es-ES"/>
              </w:rPr>
              <w:t xml:space="preserve"> sobre la asignación de los ahorros logrados en la ejecución del presupuesto de 2025, </w:t>
            </w:r>
            <w:hyperlink r:id="rId15" w:history="1">
              <w:r w:rsidRPr="006300E6">
                <w:rPr>
                  <w:rStyle w:val="Hyperlink"/>
                  <w:rFonts w:eastAsia="Times New Roman" w:cs="Times New Roman"/>
                  <w:i/>
                  <w:iCs/>
                  <w:sz w:val="22"/>
                  <w:lang w:val="es-ES"/>
                </w:rPr>
                <w:t>C26/22</w:t>
              </w:r>
            </w:hyperlink>
            <w:r w:rsidRPr="006300E6">
              <w:rPr>
                <w:i/>
                <w:iCs/>
                <w:sz w:val="22"/>
                <w:szCs w:val="22"/>
                <w:lang w:val="es-ES"/>
              </w:rPr>
              <w:t xml:space="preserve">, que contiene el 15.º Informe del Comité Asesor Independiente sobre la Gestión (CAIG), </w:t>
            </w:r>
            <w:hyperlink r:id="rId16" w:history="1">
              <w:r w:rsidRPr="006300E6">
                <w:rPr>
                  <w:rStyle w:val="Hyperlink"/>
                  <w:rFonts w:eastAsia="Times New Roman" w:cs="Times New Roman"/>
                  <w:i/>
                  <w:iCs/>
                  <w:sz w:val="22"/>
                  <w:lang w:val="es-ES"/>
                </w:rPr>
                <w:t>C25/40</w:t>
              </w:r>
            </w:hyperlink>
            <w:r w:rsidRPr="006300E6">
              <w:rPr>
                <w:i/>
                <w:iCs/>
                <w:sz w:val="22"/>
                <w:szCs w:val="22"/>
                <w:lang w:val="es-ES"/>
              </w:rPr>
              <w:t xml:space="preserve"> que contiene el Informe de gestión financiera y los estados financieros auditados para el ejercicio 2024; resúmenes de los debates pertinentes del Consejo: </w:t>
            </w:r>
            <w:hyperlink r:id="rId17" w:history="1">
              <w:r w:rsidRPr="006300E6">
                <w:rPr>
                  <w:rStyle w:val="Hyperlink"/>
                  <w:rFonts w:eastAsia="Times New Roman" w:cs="Times New Roman"/>
                  <w:i/>
                  <w:iCs/>
                  <w:sz w:val="22"/>
                  <w:lang w:val="es-ES"/>
                </w:rPr>
                <w:t>C25/105</w:t>
              </w:r>
            </w:hyperlink>
            <w:r w:rsidRPr="006300E6">
              <w:rPr>
                <w:i/>
                <w:iCs/>
                <w:sz w:val="22"/>
                <w:szCs w:val="22"/>
                <w:lang w:val="es-ES"/>
              </w:rPr>
              <w:t xml:space="preserve">, </w:t>
            </w:r>
            <w:hyperlink r:id="rId18" w:history="1">
              <w:r w:rsidRPr="006300E6">
                <w:rPr>
                  <w:rStyle w:val="Hyperlink"/>
                  <w:rFonts w:eastAsia="Times New Roman" w:cs="Times New Roman"/>
                  <w:i/>
                  <w:iCs/>
                  <w:sz w:val="22"/>
                  <w:lang w:val="es-ES"/>
                </w:rPr>
                <w:t>C24/109</w:t>
              </w:r>
            </w:hyperlink>
            <w:r w:rsidRPr="006300E6">
              <w:rPr>
                <w:i/>
                <w:iCs/>
                <w:sz w:val="22"/>
                <w:szCs w:val="22"/>
                <w:lang w:val="es-ES"/>
              </w:rPr>
              <w:t xml:space="preserve">, </w:t>
            </w:r>
            <w:hyperlink r:id="rId19" w:history="1">
              <w:r w:rsidRPr="006300E6">
                <w:rPr>
                  <w:rStyle w:val="Hyperlink"/>
                  <w:rFonts w:eastAsia="Times New Roman" w:cs="Times New Roman"/>
                  <w:i/>
                  <w:iCs/>
                  <w:sz w:val="22"/>
                  <w:lang w:val="es-ES"/>
                </w:rPr>
                <w:t>C23/104</w:t>
              </w:r>
            </w:hyperlink>
            <w:r w:rsidRPr="006300E6">
              <w:rPr>
                <w:i/>
                <w:iCs/>
                <w:sz w:val="22"/>
                <w:szCs w:val="22"/>
                <w:lang w:val="es-ES"/>
              </w:rPr>
              <w:t xml:space="preserve">; resúmenes de las reuniones del GTC-RHF: </w:t>
            </w:r>
            <w:hyperlink r:id="rId20" w:history="1">
              <w:r w:rsidRPr="006300E6">
                <w:rPr>
                  <w:rStyle w:val="Hyperlink"/>
                  <w:rFonts w:eastAsia="Times New Roman" w:cs="Times New Roman"/>
                  <w:i/>
                  <w:iCs/>
                  <w:sz w:val="22"/>
                  <w:lang w:val="es-ES"/>
                </w:rPr>
                <w:t>CWG-FHR-22/36</w:t>
              </w:r>
            </w:hyperlink>
            <w:r w:rsidRPr="006300E6">
              <w:rPr>
                <w:i/>
                <w:iCs/>
                <w:sz w:val="22"/>
                <w:szCs w:val="22"/>
                <w:lang w:val="es-ES"/>
              </w:rPr>
              <w:t xml:space="preserve">, </w:t>
            </w:r>
            <w:hyperlink r:id="rId21" w:history="1">
              <w:r w:rsidRPr="006300E6">
                <w:rPr>
                  <w:rStyle w:val="Hyperlink"/>
                  <w:rFonts w:eastAsia="Times New Roman" w:cs="Times New Roman"/>
                  <w:i/>
                  <w:iCs/>
                  <w:sz w:val="22"/>
                  <w:lang w:val="es-ES"/>
                </w:rPr>
                <w:t>CWG-FHR-21/25</w:t>
              </w:r>
            </w:hyperlink>
            <w:r w:rsidRPr="006300E6">
              <w:rPr>
                <w:i/>
                <w:iCs/>
                <w:sz w:val="22"/>
                <w:szCs w:val="22"/>
                <w:lang w:val="es-ES"/>
              </w:rPr>
              <w:t xml:space="preserve">, </w:t>
            </w:r>
            <w:hyperlink r:id="rId22" w:history="1">
              <w:r w:rsidRPr="006300E6">
                <w:rPr>
                  <w:rStyle w:val="Hyperlink"/>
                  <w:rFonts w:eastAsia="Times New Roman" w:cs="Times New Roman"/>
                  <w:i/>
                  <w:iCs/>
                  <w:sz w:val="22"/>
                  <w:lang w:val="es-ES"/>
                </w:rPr>
                <w:t>CWG-FHR-20/32</w:t>
              </w:r>
            </w:hyperlink>
            <w:r w:rsidRPr="006300E6">
              <w:rPr>
                <w:i/>
                <w:iCs/>
                <w:sz w:val="22"/>
                <w:szCs w:val="22"/>
                <w:lang w:val="es-ES"/>
              </w:rPr>
              <w:t xml:space="preserve">, </w:t>
            </w:r>
            <w:hyperlink r:id="rId23" w:history="1">
              <w:r w:rsidRPr="006300E6">
                <w:rPr>
                  <w:rStyle w:val="Hyperlink"/>
                  <w:rFonts w:eastAsia="Times New Roman" w:cs="Times New Roman"/>
                  <w:i/>
                  <w:iCs/>
                  <w:sz w:val="22"/>
                  <w:lang w:val="es-ES"/>
                </w:rPr>
                <w:t>CWG-FHR-19/15</w:t>
              </w:r>
            </w:hyperlink>
            <w:r w:rsidRPr="006300E6">
              <w:rPr>
                <w:i/>
                <w:iCs/>
                <w:sz w:val="22"/>
                <w:szCs w:val="22"/>
                <w:lang w:val="es-ES"/>
              </w:rPr>
              <w:t xml:space="preserve">, </w:t>
            </w:r>
            <w:hyperlink r:id="rId24" w:history="1">
              <w:r w:rsidRPr="006300E6">
                <w:rPr>
                  <w:rStyle w:val="Hyperlink"/>
                  <w:rFonts w:eastAsia="Times New Roman" w:cs="Times New Roman"/>
                  <w:i/>
                  <w:iCs/>
                  <w:sz w:val="22"/>
                  <w:lang w:val="es-ES"/>
                </w:rPr>
                <w:t>CWG-FHR-17/24</w:t>
              </w:r>
            </w:hyperlink>
            <w:r w:rsidRPr="006300E6">
              <w:rPr>
                <w:i/>
                <w:iCs/>
                <w:sz w:val="22"/>
                <w:szCs w:val="22"/>
                <w:lang w:val="es-ES"/>
              </w:rPr>
              <w:t>.</w:t>
            </w:r>
          </w:p>
        </w:tc>
      </w:tr>
      <w:bookmarkEnd w:id="0"/>
    </w:tbl>
    <w:p w14:paraId="0F83EF0B" w14:textId="77777777" w:rsidR="00093EEB" w:rsidRPr="006300E6" w:rsidRDefault="00093EEB">
      <w:pPr>
        <w:rPr>
          <w:lang w:val="es-ES"/>
        </w:rPr>
      </w:pPr>
    </w:p>
    <w:p w14:paraId="537635FD" w14:textId="77777777" w:rsidR="001559F5" w:rsidRPr="006300E6"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6300E6">
        <w:rPr>
          <w:lang w:val="es-ES"/>
        </w:rPr>
        <w:br w:type="page"/>
      </w:r>
    </w:p>
    <w:p w14:paraId="44F30458" w14:textId="77777777" w:rsidR="004D288B" w:rsidRPr="006300E6" w:rsidRDefault="004D288B" w:rsidP="004D288B">
      <w:pPr>
        <w:pStyle w:val="Heading1"/>
        <w:rPr>
          <w:lang w:val="es-ES"/>
        </w:rPr>
      </w:pPr>
      <w:r w:rsidRPr="006300E6">
        <w:rPr>
          <w:lang w:val="es-ES"/>
        </w:rPr>
        <w:lastRenderedPageBreak/>
        <w:t>1</w:t>
      </w:r>
      <w:r w:rsidRPr="006300E6">
        <w:rPr>
          <w:lang w:val="es-ES"/>
        </w:rPr>
        <w:tab/>
        <w:t>Antecedentes</w:t>
      </w:r>
    </w:p>
    <w:p w14:paraId="39FA8E38" w14:textId="2AADD177" w:rsidR="004D288B" w:rsidRPr="006300E6" w:rsidRDefault="004D288B" w:rsidP="004D288B">
      <w:pPr>
        <w:rPr>
          <w:lang w:val="es-ES"/>
        </w:rPr>
      </w:pPr>
      <w:r w:rsidRPr="006300E6">
        <w:rPr>
          <w:lang w:val="es-ES"/>
        </w:rPr>
        <w:t>Como organismo especializado de las Naciones Unidas, la UIT se enfrenta a restricciones financieras estrictas. En los últimos años, a medida que aumentaban el gasto en transformación institucional, desarrollo institucional y expansión funcional, la UIT ha estado expuesta a cada vez más presiones respecto de la ejecución del presupuesto. Según el Informe de gestión financiera y los estados financieros auditados para 2024 (</w:t>
      </w:r>
      <w:hyperlink r:id="rId25" w:history="1">
        <w:r w:rsidRPr="006300E6">
          <w:rPr>
            <w:rStyle w:val="Hyperlink"/>
            <w:lang w:val="es-ES"/>
          </w:rPr>
          <w:t>C25/40</w:t>
        </w:r>
      </w:hyperlink>
      <w:r w:rsidRPr="006300E6">
        <w:rPr>
          <w:lang w:val="es-ES"/>
        </w:rPr>
        <w:t>), la UIT registró activos netos negativos por valor de 318 millones CHF, lo que supone un aumento de 60,6 millones CHF del déficit con respecto a 2023. En 2025, la UIT anotó un superávit presupuestario de 10,8 millones CHF. Sin embargo, tanto el informe de la Secretaria General (</w:t>
      </w:r>
      <w:hyperlink r:id="rId26" w:history="1">
        <w:r w:rsidRPr="006300E6">
          <w:rPr>
            <w:rStyle w:val="Hyperlink"/>
            <w:lang w:val="es-ES"/>
          </w:rPr>
          <w:t>C26/42</w:t>
        </w:r>
      </w:hyperlink>
      <w:r w:rsidRPr="006300E6">
        <w:rPr>
          <w:lang w:val="es-ES"/>
        </w:rPr>
        <w:t>) como el informe del Comité Asesor Independiente sobre la Gestión (CAIG) (</w:t>
      </w:r>
      <w:hyperlink r:id="rId27" w:history="1">
        <w:r w:rsidRPr="006300E6">
          <w:rPr>
            <w:rStyle w:val="Hyperlink"/>
            <w:lang w:val="es-ES"/>
          </w:rPr>
          <w:t>C26/22</w:t>
        </w:r>
      </w:hyperlink>
      <w:r w:rsidRPr="006300E6">
        <w:rPr>
          <w:lang w:val="es-ES"/>
        </w:rPr>
        <w:t>) señalaban que este resultado se debía principalmente al retraso en la contratación y en la ejecución, no a una mayor eficiencia estructural; este superávit tampoco representa reducciones estructurales en el gasto básico en curso de la Unión. Además, actualmente la UIT presenta una dependencia considerable de la externalización de servicios en ámbitos críticos como estrategia y finanzas, por ejemplo, se abonaron 480 000 CHF para contratar a Ernst &amp; Young para la elaboración de estados financieros conformes a las Normas Internacionales de Contabilidad del Sector Público (NICSP) en 2023 y 230 000 CHF para encomendar a Dalberg Group la evaluación de la estructura institucional en 2024. Por otra parte, se dispone de poca información sobre las repercusiones presupuestarias y los niveles de dotación de personal en relación con el gasto en acuerdos de servicios especiales (SSA).</w:t>
      </w:r>
      <w:hyperlink r:id="rId28" w:history="1"/>
      <w:hyperlink r:id="rId29" w:history="1"/>
      <w:hyperlink r:id="rId30" w:history="1"/>
    </w:p>
    <w:p w14:paraId="5C2EC38C" w14:textId="77777777" w:rsidR="004D288B" w:rsidRPr="006300E6" w:rsidRDefault="004D288B" w:rsidP="004D288B">
      <w:pPr>
        <w:rPr>
          <w:lang w:val="es-ES"/>
        </w:rPr>
      </w:pPr>
      <w:r w:rsidRPr="006300E6">
        <w:rPr>
          <w:lang w:val="es-ES"/>
        </w:rPr>
        <w:t>Los Textos fundamentales de la UIT en vigor establecen requisitos para mejorar la transparencia de la gestión financiera y la eficiencia en la utilización de los recursos. De conformidad con la Resolución 151 (Rev. Bucarest, 2022) de la Conferencia de Plenipotenciarios, la Secretaria General y los Directores de las tres Oficinas deben seguir elaborando un marco completo de resultados de la UIT que apoye la ejecución de los Planes Estratégico, Financiero y Operacional y el presupuesto, a fin de definir las actividades de la Unión, los objetivos de esas actividades y los recursos y resultados correspondientes, así como velar por la transparencia de los informes publicando información detallada, incluidos todos los gastos correspondientes a la utilización o el despliegue de recursos humanos y financieros (externos o internos). La Resolución 158 (Rev. Busán, 2014) de la Conferencia de Plenipotenciarios encarga al Consejo que estudie la posibilidad de establecer mecanismos que permitan aumentar la estabilidad financiera de la Unión y formular recomendaciones al respecto.</w:t>
      </w:r>
    </w:p>
    <w:p w14:paraId="0910BD76" w14:textId="77777777" w:rsidR="004D288B" w:rsidRPr="006300E6" w:rsidRDefault="004D288B" w:rsidP="004D288B">
      <w:pPr>
        <w:rPr>
          <w:rFonts w:eastAsia="SimSun"/>
          <w:lang w:val="es-ES"/>
        </w:rPr>
      </w:pPr>
      <w:r w:rsidRPr="006300E6">
        <w:rPr>
          <w:lang w:val="es-ES"/>
        </w:rPr>
        <w:t>Los Estados Miembros dan prioridad a la transparencia en la gestión financiera y piden que se continúe mejorando la eficiencia financiera. Desde 2023, el Consejo y el Grupo de Trabajo del Consejo sobre Recursos Humanos y Financieros (GTC-RHF) han mantenido amplios debates sobre esta cuestión, y han llegado al acuerdo general de focalizar los limitados recursos de la UIT en sus mandatos fundamentales. En este tiempo, la Dirección ha lanzado una iniciativa de transformación de la gestión financiera para mejorar la coherencia de la planificación estratégica, financiera y operacional. Sin embargo, a medida que la UIT reestructura y amplía su ámbito de trabajo, los Estados Miembros necesitan más claridad en tres frentes críticos, a saber, si las actuales actividades de gran repercusión siguen estando en consonancia con el mandato fundamental; los efectos directos o indirectos que tienen los proyectos, actividades y acuerdos de importancia estratégica y financiera en los Estados Miembros y otras categorías de miembros; y si la posición financiera de la UIT sigue siendo sostenible con los marcos estratégico, financiero y operacional existentes.</w:t>
      </w:r>
    </w:p>
    <w:p w14:paraId="6241050C" w14:textId="77777777" w:rsidR="004D288B" w:rsidRPr="006300E6" w:rsidRDefault="004D288B" w:rsidP="004D288B">
      <w:pPr>
        <w:pStyle w:val="Heading1"/>
        <w:rPr>
          <w:lang w:val="es-ES"/>
        </w:rPr>
      </w:pPr>
      <w:r w:rsidRPr="006300E6">
        <w:rPr>
          <w:lang w:val="es-ES"/>
        </w:rPr>
        <w:lastRenderedPageBreak/>
        <w:t>2</w:t>
      </w:r>
      <w:r w:rsidRPr="006300E6">
        <w:rPr>
          <w:lang w:val="es-ES"/>
        </w:rPr>
        <w:tab/>
        <w:t>Propuesta</w:t>
      </w:r>
    </w:p>
    <w:p w14:paraId="736B8B80" w14:textId="77777777" w:rsidR="004D288B" w:rsidRPr="006300E6" w:rsidRDefault="004D288B" w:rsidP="004D288B">
      <w:pPr>
        <w:rPr>
          <w:lang w:val="es-ES"/>
        </w:rPr>
      </w:pPr>
      <w:r w:rsidRPr="006300E6">
        <w:rPr>
          <w:lang w:val="es-ES"/>
        </w:rPr>
        <w:t>La gestión financiera de la UIT debe procurar no sólo aliviar las presiones a corto plazo, sino también establecer un marco prospectivo que mejore la sostenibilidad financiera. En consecuencia, recomendamos que la Secretaria General, en estrecha coordinación con los Directores de las tres Oficinas, ayude a los Estados Miembros a mejorar la supervisión del rendimiento financiero, la asignación de recursos y la sostenibilidad operativa.</w:t>
      </w:r>
    </w:p>
    <w:p w14:paraId="7FD3AE26" w14:textId="77777777" w:rsidR="004D288B" w:rsidRPr="006300E6" w:rsidRDefault="004D288B" w:rsidP="004D288B">
      <w:pPr>
        <w:pStyle w:val="enumlev1"/>
        <w:rPr>
          <w:lang w:val="es-ES"/>
        </w:rPr>
      </w:pPr>
      <w:r w:rsidRPr="006300E6">
        <w:rPr>
          <w:lang w:val="es-ES"/>
        </w:rPr>
        <w:t>1)</w:t>
      </w:r>
      <w:r w:rsidRPr="006300E6">
        <w:rPr>
          <w:lang w:val="es-ES"/>
        </w:rPr>
        <w:tab/>
        <w:t>Mejorar la coherencia del presupuesto con las prioridades estratégicas para garantizar que, en toda la Unión, los recursos se asignan en función del grado de urgencia e importancia, con financiación suficiente para las funciones básicas.</w:t>
      </w:r>
    </w:p>
    <w:p w14:paraId="76CCE35C" w14:textId="77777777" w:rsidR="004D288B" w:rsidRPr="006300E6" w:rsidRDefault="004D288B" w:rsidP="004D288B">
      <w:pPr>
        <w:pStyle w:val="enumlev1"/>
        <w:rPr>
          <w:lang w:val="es-ES"/>
        </w:rPr>
      </w:pPr>
      <w:r w:rsidRPr="006300E6">
        <w:rPr>
          <w:lang w:val="es-ES"/>
        </w:rPr>
        <w:t>2)</w:t>
      </w:r>
      <w:r w:rsidRPr="006300E6">
        <w:rPr>
          <w:lang w:val="es-ES"/>
        </w:rPr>
        <w:tab/>
        <w:t>Aumentar la transparencia en relación con los proyectos, las actividades y los acuerdos que tiene repercusiones financieras o estratégicas significativas. La Secretaría General y las tres Oficinas realizarán una evaluación de su alineación con las funciones básicas y las tareas prioritarias de la UIT y presentarán las conclusiones en forma de contribuciones a las reuniones anuales del Consejo.</w:t>
      </w:r>
    </w:p>
    <w:p w14:paraId="2D3B2E7E" w14:textId="77777777" w:rsidR="004D288B" w:rsidRPr="006300E6" w:rsidRDefault="004D288B" w:rsidP="004D288B">
      <w:pPr>
        <w:pStyle w:val="enumlev1"/>
        <w:rPr>
          <w:lang w:val="es-ES"/>
        </w:rPr>
      </w:pPr>
      <w:r w:rsidRPr="006300E6">
        <w:rPr>
          <w:lang w:val="es-ES"/>
        </w:rPr>
        <w:t>3)</w:t>
      </w:r>
      <w:r w:rsidRPr="006300E6">
        <w:rPr>
          <w:lang w:val="es-ES"/>
        </w:rPr>
        <w:tab/>
        <w:t>Garantizar que los Estados Miembros tienen acceso a datos financieros e informes de rendimiento completos, precisos y oportunos. La creación de nuevos fondos o reservas se ajustará a los Textos fundamentales y al Reglamento Financiero y Reglas Financieras de la Unión y estará sujeta a la aprobación del Consejo.</w:t>
      </w:r>
    </w:p>
    <w:p w14:paraId="3D1E2459" w14:textId="0D80AEA7" w:rsidR="00F92BED" w:rsidRPr="006300E6" w:rsidRDefault="004D288B" w:rsidP="004D288B">
      <w:pPr>
        <w:pStyle w:val="enumlev1"/>
        <w:rPr>
          <w:lang w:val="es-ES"/>
        </w:rPr>
      </w:pPr>
      <w:r w:rsidRPr="006300E6">
        <w:rPr>
          <w:lang w:val="es-ES"/>
        </w:rPr>
        <w:t>4)</w:t>
      </w:r>
      <w:r w:rsidRPr="006300E6">
        <w:rPr>
          <w:lang w:val="es-ES"/>
        </w:rPr>
        <w:tab/>
        <w:t>Al iniciar actividades o proyectos financiados nuevos, se tendrán debidamente en cuenta las consecuencias financieras indirectas derivadas de la asignación de recursos humanos de la UIT a dichas actividades o proyectos, aunque no tengan repercusiones directas en el presupuesto financiero anual.</w:t>
      </w:r>
    </w:p>
    <w:p w14:paraId="7CBF3A2C" w14:textId="77777777" w:rsidR="004D288B" w:rsidRPr="006300E6" w:rsidRDefault="004D288B" w:rsidP="00411C49">
      <w:pPr>
        <w:pStyle w:val="Reasons"/>
        <w:rPr>
          <w:lang w:val="es-ES"/>
        </w:rPr>
      </w:pPr>
    </w:p>
    <w:p w14:paraId="4F27A3F8" w14:textId="77777777" w:rsidR="004D288B" w:rsidRPr="006300E6" w:rsidRDefault="004D288B">
      <w:pPr>
        <w:jc w:val="center"/>
        <w:rPr>
          <w:lang w:val="es-ES"/>
        </w:rPr>
      </w:pPr>
      <w:r w:rsidRPr="006300E6">
        <w:rPr>
          <w:lang w:val="es-ES"/>
        </w:rPr>
        <w:t>______________</w:t>
      </w:r>
    </w:p>
    <w:sectPr w:rsidR="004D288B" w:rsidRPr="006300E6" w:rsidSect="00C538FC">
      <w:footerReference w:type="default" r:id="rId31"/>
      <w:headerReference w:type="first" r:id="rId32"/>
      <w:footerReference w:type="first" r:id="rId3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A3402" w14:textId="77777777" w:rsidR="00310920" w:rsidRDefault="00310920">
      <w:r>
        <w:separator/>
      </w:r>
    </w:p>
  </w:endnote>
  <w:endnote w:type="continuationSeparator" w:id="0">
    <w:p w14:paraId="296E1356" w14:textId="77777777" w:rsidR="00310920" w:rsidRDefault="0031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621F39BE" w14:textId="77777777" w:rsidTr="00E31DCE">
      <w:trPr>
        <w:jc w:val="center"/>
      </w:trPr>
      <w:tc>
        <w:tcPr>
          <w:tcW w:w="1803" w:type="dxa"/>
          <w:vAlign w:val="center"/>
        </w:tcPr>
        <w:p w14:paraId="3C421E71" w14:textId="10F22710" w:rsidR="003273A4" w:rsidRDefault="002946E2" w:rsidP="003273A4">
          <w:pPr>
            <w:pStyle w:val="Header"/>
            <w:jc w:val="left"/>
            <w:rPr>
              <w:noProof/>
            </w:rPr>
          </w:pPr>
          <w:r>
            <w:rPr>
              <w:noProof/>
            </w:rPr>
            <w:t xml:space="preserve">gDoc </w:t>
          </w:r>
          <w:r w:rsidR="004D288B">
            <w:rPr>
              <w:noProof/>
            </w:rPr>
            <w:t>2600911</w:t>
          </w:r>
        </w:p>
      </w:tc>
      <w:tc>
        <w:tcPr>
          <w:tcW w:w="8261" w:type="dxa"/>
        </w:tcPr>
        <w:p w14:paraId="4F96AAB1" w14:textId="3E2D255C"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4D288B">
            <w:rPr>
              <w:bCs/>
            </w:rPr>
            <w:t>80</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62F70803"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10DDB112" w14:textId="77777777" w:rsidTr="00E31DCE">
      <w:trPr>
        <w:jc w:val="center"/>
      </w:trPr>
      <w:tc>
        <w:tcPr>
          <w:tcW w:w="1803" w:type="dxa"/>
          <w:vAlign w:val="center"/>
        </w:tcPr>
        <w:p w14:paraId="7F8D5402"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6BDCCE27" w14:textId="3BD2F94E"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4D288B">
            <w:rPr>
              <w:bCs/>
            </w:rPr>
            <w:t>80</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23DEBF9B"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52E24" w14:textId="77777777" w:rsidR="00310920" w:rsidRDefault="00310920">
      <w:r>
        <w:t>____________________</w:t>
      </w:r>
    </w:p>
  </w:footnote>
  <w:footnote w:type="continuationSeparator" w:id="0">
    <w:p w14:paraId="04A1F392" w14:textId="77777777" w:rsidR="00310920" w:rsidRDefault="00310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B62C" w14:textId="77777777" w:rsidR="001559F5" w:rsidRPr="00B1560D" w:rsidRDefault="00B1560D" w:rsidP="00B1560D">
    <w:pPr>
      <w:pStyle w:val="Header"/>
    </w:pPr>
    <w:r>
      <w:rPr>
        <w:noProof/>
      </w:rPr>
      <w:drawing>
        <wp:inline distT="0" distB="0" distL="0" distR="0" wp14:anchorId="6BC27CBE" wp14:editId="1F3866F5">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20"/>
    <w:rsid w:val="000007D1"/>
    <w:rsid w:val="0006007D"/>
    <w:rsid w:val="00093EEB"/>
    <w:rsid w:val="000B0D00"/>
    <w:rsid w:val="000B7C15"/>
    <w:rsid w:val="000D1D0F"/>
    <w:rsid w:val="000E3F07"/>
    <w:rsid w:val="000F5290"/>
    <w:rsid w:val="000F5A95"/>
    <w:rsid w:val="0010165C"/>
    <w:rsid w:val="00146BFB"/>
    <w:rsid w:val="001559F5"/>
    <w:rsid w:val="00157AC4"/>
    <w:rsid w:val="0016169C"/>
    <w:rsid w:val="001958F5"/>
    <w:rsid w:val="001B6E2B"/>
    <w:rsid w:val="001F14A2"/>
    <w:rsid w:val="00277DEA"/>
    <w:rsid w:val="002801AA"/>
    <w:rsid w:val="002946E2"/>
    <w:rsid w:val="002C3F32"/>
    <w:rsid w:val="002C4676"/>
    <w:rsid w:val="002C70B0"/>
    <w:rsid w:val="002F3CC4"/>
    <w:rsid w:val="003032E2"/>
    <w:rsid w:val="00310920"/>
    <w:rsid w:val="0031300A"/>
    <w:rsid w:val="003273A4"/>
    <w:rsid w:val="0034796E"/>
    <w:rsid w:val="003F5FD5"/>
    <w:rsid w:val="004571B0"/>
    <w:rsid w:val="00465C35"/>
    <w:rsid w:val="00473962"/>
    <w:rsid w:val="004B5D49"/>
    <w:rsid w:val="004D288B"/>
    <w:rsid w:val="004D3A3C"/>
    <w:rsid w:val="00513630"/>
    <w:rsid w:val="00560125"/>
    <w:rsid w:val="00585553"/>
    <w:rsid w:val="005B34D9"/>
    <w:rsid w:val="005D0CCF"/>
    <w:rsid w:val="005F0915"/>
    <w:rsid w:val="005F3BCB"/>
    <w:rsid w:val="005F410F"/>
    <w:rsid w:val="005F466D"/>
    <w:rsid w:val="0060149A"/>
    <w:rsid w:val="00601924"/>
    <w:rsid w:val="006300E6"/>
    <w:rsid w:val="006447EA"/>
    <w:rsid w:val="0064481D"/>
    <w:rsid w:val="0064731F"/>
    <w:rsid w:val="00664572"/>
    <w:rsid w:val="00666D09"/>
    <w:rsid w:val="00670579"/>
    <w:rsid w:val="006710F6"/>
    <w:rsid w:val="00677A97"/>
    <w:rsid w:val="006C1B56"/>
    <w:rsid w:val="006D4761"/>
    <w:rsid w:val="00726872"/>
    <w:rsid w:val="00760F1C"/>
    <w:rsid w:val="007657F0"/>
    <w:rsid w:val="0077110E"/>
    <w:rsid w:val="0077252D"/>
    <w:rsid w:val="007955DA"/>
    <w:rsid w:val="007E5DD3"/>
    <w:rsid w:val="007F350B"/>
    <w:rsid w:val="00803E9B"/>
    <w:rsid w:val="00820BE4"/>
    <w:rsid w:val="008451E8"/>
    <w:rsid w:val="0084546D"/>
    <w:rsid w:val="008F6ABC"/>
    <w:rsid w:val="00913B9C"/>
    <w:rsid w:val="00927F93"/>
    <w:rsid w:val="00956E77"/>
    <w:rsid w:val="009A338E"/>
    <w:rsid w:val="009A76A8"/>
    <w:rsid w:val="009E22B3"/>
    <w:rsid w:val="009F4811"/>
    <w:rsid w:val="00A01F4F"/>
    <w:rsid w:val="00A109AF"/>
    <w:rsid w:val="00A94438"/>
    <w:rsid w:val="00AA390C"/>
    <w:rsid w:val="00AD5A4D"/>
    <w:rsid w:val="00AF0EAC"/>
    <w:rsid w:val="00B0200A"/>
    <w:rsid w:val="00B060DF"/>
    <w:rsid w:val="00B1560D"/>
    <w:rsid w:val="00B574DB"/>
    <w:rsid w:val="00B826C2"/>
    <w:rsid w:val="00B8298E"/>
    <w:rsid w:val="00BB6FD8"/>
    <w:rsid w:val="00BD0723"/>
    <w:rsid w:val="00BD2518"/>
    <w:rsid w:val="00BF1D1C"/>
    <w:rsid w:val="00C20C59"/>
    <w:rsid w:val="00C2727F"/>
    <w:rsid w:val="00C4421B"/>
    <w:rsid w:val="00C538FC"/>
    <w:rsid w:val="00C55B1F"/>
    <w:rsid w:val="00CC1FAF"/>
    <w:rsid w:val="00CF1A67"/>
    <w:rsid w:val="00D2750E"/>
    <w:rsid w:val="00D375E0"/>
    <w:rsid w:val="00D50A36"/>
    <w:rsid w:val="00D62446"/>
    <w:rsid w:val="00DA4EA2"/>
    <w:rsid w:val="00DC3D3E"/>
    <w:rsid w:val="00DE2C90"/>
    <w:rsid w:val="00DE3B24"/>
    <w:rsid w:val="00DE7376"/>
    <w:rsid w:val="00E06947"/>
    <w:rsid w:val="00E11319"/>
    <w:rsid w:val="00E21444"/>
    <w:rsid w:val="00E34072"/>
    <w:rsid w:val="00E3592D"/>
    <w:rsid w:val="00E50D76"/>
    <w:rsid w:val="00E8018B"/>
    <w:rsid w:val="00E92DE8"/>
    <w:rsid w:val="00EB1212"/>
    <w:rsid w:val="00ED65AB"/>
    <w:rsid w:val="00F12850"/>
    <w:rsid w:val="00F24B71"/>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BABD75"/>
  <w15:docId w15:val="{712D16AD-C865-45B9-8055-2E69A00A9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6-CL-C-0055/es" TargetMode="External"/><Relationship Id="rId18" Type="http://schemas.openxmlformats.org/officeDocument/2006/relationships/hyperlink" Target="https://www.itu.int/md/S24-CL-C-0109/es" TargetMode="External"/><Relationship Id="rId26" Type="http://schemas.openxmlformats.org/officeDocument/2006/relationships/hyperlink" Target="https://www.itu.int/md/S26-CL-C-0042/es" TargetMode="External"/><Relationship Id="rId3" Type="http://schemas.openxmlformats.org/officeDocument/2006/relationships/webSettings" Target="webSettings.xml"/><Relationship Id="rId21" Type="http://schemas.openxmlformats.org/officeDocument/2006/relationships/hyperlink" Target="https://www.itu.int/md/S25-CWGFHR21-C-0025/es" TargetMode="External"/><Relationship Id="rId34" Type="http://schemas.openxmlformats.org/officeDocument/2006/relationships/fontTable" Target="fontTable.xml"/><Relationship Id="rId7" Type="http://schemas.openxmlformats.org/officeDocument/2006/relationships/hyperlink" Target="https://www.itu.int/en/council/Documents/basic-texts/Convention-s.pdf" TargetMode="External"/><Relationship Id="rId12" Type="http://schemas.openxmlformats.org/officeDocument/2006/relationships/hyperlink" Target="https://www.itu.int/en/council/Documents/basic-texts-2023/RES-162-s.pdf" TargetMode="External"/><Relationship Id="rId17" Type="http://schemas.openxmlformats.org/officeDocument/2006/relationships/hyperlink" Target="https://www.itu.int/md/S25-CL-C-0105/es" TargetMode="External"/><Relationship Id="rId25" Type="http://schemas.openxmlformats.org/officeDocument/2006/relationships/hyperlink" Target="https://www.itu.int/md/S25-CL-C-0040/en" TargetMode="Externa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www.itu.int/md/S25-CL-C-0040/es" TargetMode="External"/><Relationship Id="rId20" Type="http://schemas.openxmlformats.org/officeDocument/2006/relationships/hyperlink" Target="https://www.itu.int/md/S26-CWGFHR22-C-0036/es" TargetMode="External"/><Relationship Id="rId29" Type="http://schemas.openxmlformats.org/officeDocument/2006/relationships/hyperlink" Target="https://www.itu.int/md/S26-CL-C-0042/en" TargetMode="External"/><Relationship Id="rId1" Type="http://schemas.openxmlformats.org/officeDocument/2006/relationships/styles" Target="styles.xml"/><Relationship Id="rId6" Type="http://schemas.openxmlformats.org/officeDocument/2006/relationships/hyperlink" Target="https://www.itu.int/en/council/Documents/basic-texts/Constitution-s.pdf" TargetMode="External"/><Relationship Id="rId11" Type="http://schemas.openxmlformats.org/officeDocument/2006/relationships/hyperlink" Target="https://www.itu.int/en/council/Documents/basic-texts-2023/RES-158-s.pdf" TargetMode="External"/><Relationship Id="rId24" Type="http://schemas.openxmlformats.org/officeDocument/2006/relationships/hyperlink" Target="https://www.itu.int/md/S24-CWGFHR17-C-0024/es" TargetMode="External"/><Relationship Id="rId32"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www.itu.int/md/S26-CL-C-0022/es" TargetMode="External"/><Relationship Id="rId23" Type="http://schemas.openxmlformats.org/officeDocument/2006/relationships/hyperlink" Target="https://www.itu.int/md/S24-CWGFHR19-C-0015/es" TargetMode="External"/><Relationship Id="rId28" Type="http://schemas.openxmlformats.org/officeDocument/2006/relationships/hyperlink" Target="https://www.itu.int/md/S25-CL-C-0040/en" TargetMode="External"/><Relationship Id="rId10" Type="http://schemas.openxmlformats.org/officeDocument/2006/relationships/hyperlink" Target="https://www.itu.int/en/council/Documents/basic-texts-2023/RES-151-s.pdf" TargetMode="External"/><Relationship Id="rId19" Type="http://schemas.openxmlformats.org/officeDocument/2006/relationships/hyperlink" Target="https://www.itu.int/md/S23-CL-C-0104/es"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itu.int/en/council/Documents/basic-texts-2023/RES-094-s.pdf" TargetMode="External"/><Relationship Id="rId14" Type="http://schemas.openxmlformats.org/officeDocument/2006/relationships/hyperlink" Target="https://www.itu.int/md/S26-CL-C-0042/es" TargetMode="External"/><Relationship Id="rId22" Type="http://schemas.openxmlformats.org/officeDocument/2006/relationships/hyperlink" Target="https://www.itu.int/md/S25-CWGFHR20-C-0032/es" TargetMode="External"/><Relationship Id="rId27" Type="http://schemas.openxmlformats.org/officeDocument/2006/relationships/hyperlink" Target="https://www.itu.int/md/S26-CL-C-0022/es" TargetMode="External"/><Relationship Id="rId30" Type="http://schemas.openxmlformats.org/officeDocument/2006/relationships/hyperlink" Target="https://www.itu.int/md/S26-CL-C-0022/en" TargetMode="External"/><Relationship Id="rId35" Type="http://schemas.openxmlformats.org/officeDocument/2006/relationships/theme" Target="theme/theme1.xml"/><Relationship Id="rId8" Type="http://schemas.openxmlformats.org/officeDocument/2006/relationships/hyperlink" Target="https://www.itu.int/en/council/Documents/basic-texts-2023/DEC-005-s.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Template>
  <TotalTime>3</TotalTime>
  <Pages>3</Pages>
  <Words>1124</Words>
  <Characters>8028</Characters>
  <Application>Microsoft Office Word</Application>
  <DocSecurity>0</DocSecurity>
  <Lines>116</Lines>
  <Paragraphs>130</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9022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Recomendaciones para mejorar la transparencia de la gestión financiera de la UIT</dc:title>
  <dc:subject>Consejo 2026 de la UIT</dc:subject>
  <dc:creator/>
  <cp:keywords>C26; C2026; Council 2026; PP26</cp:keywords>
  <dc:description/>
  <cp:lastModifiedBy>GBS</cp:lastModifiedBy>
  <cp:revision>3</cp:revision>
  <cp:lastPrinted>2006-03-24T09:51:00Z</cp:lastPrinted>
  <dcterms:created xsi:type="dcterms:W3CDTF">2026-04-26T13:03:00Z</dcterms:created>
  <dcterms:modified xsi:type="dcterms:W3CDTF">2026-04-26T13:04:00Z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