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66DAA" w14:paraId="7D027461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2526D81" w14:textId="29972F48" w:rsidR="00796BD3" w:rsidRPr="00D66DA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66DAA">
              <w:rPr>
                <w:b/>
                <w:lang w:val="ru-RU"/>
              </w:rPr>
              <w:t>Пункт повестки дня:</w:t>
            </w:r>
            <w:r w:rsidR="000F6729" w:rsidRPr="00D66DAA">
              <w:rPr>
                <w:b/>
                <w:bCs/>
                <w:color w:val="000000"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6F3FC8AC" w14:textId="5F1BB566" w:rsidR="00796BD3" w:rsidRPr="00D66DA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6DAA">
              <w:rPr>
                <w:b/>
                <w:lang w:val="ru-RU"/>
              </w:rPr>
              <w:t xml:space="preserve">Документ </w:t>
            </w:r>
            <w:r w:rsidR="00796BD3" w:rsidRPr="00D66DAA">
              <w:rPr>
                <w:b/>
                <w:lang w:val="ru-RU"/>
              </w:rPr>
              <w:t>C2</w:t>
            </w:r>
            <w:r w:rsidR="00BE00DD" w:rsidRPr="00D66DAA">
              <w:rPr>
                <w:b/>
                <w:lang w:val="ru-RU"/>
              </w:rPr>
              <w:t>6</w:t>
            </w:r>
            <w:r w:rsidR="00796BD3" w:rsidRPr="00D66DAA">
              <w:rPr>
                <w:b/>
                <w:lang w:val="ru-RU"/>
              </w:rPr>
              <w:t>/</w:t>
            </w:r>
            <w:r w:rsidR="000F6729" w:rsidRPr="00D66DAA">
              <w:rPr>
                <w:b/>
                <w:lang w:val="ru-RU"/>
              </w:rPr>
              <w:t>80</w:t>
            </w:r>
            <w:r w:rsidR="00796BD3" w:rsidRPr="00D66DAA">
              <w:rPr>
                <w:b/>
                <w:lang w:val="ru-RU"/>
              </w:rPr>
              <w:t>-R</w:t>
            </w:r>
          </w:p>
        </w:tc>
      </w:tr>
      <w:tr w:rsidR="00796BD3" w:rsidRPr="00D66DAA" w14:paraId="11B3FE36" w14:textId="77777777" w:rsidTr="00D17718">
        <w:trPr>
          <w:cantSplit/>
        </w:trPr>
        <w:tc>
          <w:tcPr>
            <w:tcW w:w="3969" w:type="dxa"/>
            <w:vMerge/>
          </w:tcPr>
          <w:p w14:paraId="62379DDB" w14:textId="77777777" w:rsidR="00796BD3" w:rsidRPr="00D66DA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AFB4B3" w14:textId="6A13500F" w:rsidR="00796BD3" w:rsidRPr="00D66DAA" w:rsidRDefault="000F672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66DAA">
              <w:rPr>
                <w:b/>
                <w:lang w:val="ru-RU"/>
              </w:rPr>
              <w:t>14 апреля 2026 года</w:t>
            </w:r>
          </w:p>
        </w:tc>
      </w:tr>
      <w:tr w:rsidR="00796BD3" w:rsidRPr="00D66DAA" w14:paraId="759EFD7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12C2686" w14:textId="77777777" w:rsidR="00796BD3" w:rsidRPr="00D66DA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5CEB267" w14:textId="4261A130" w:rsidR="00796BD3" w:rsidRPr="00D66DA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6DAA">
              <w:rPr>
                <w:b/>
                <w:lang w:val="ru-RU"/>
              </w:rPr>
              <w:t xml:space="preserve">Оригинал: </w:t>
            </w:r>
            <w:r w:rsidR="000F6729" w:rsidRPr="00D66DAA">
              <w:rPr>
                <w:b/>
                <w:lang w:val="ru-RU"/>
              </w:rPr>
              <w:t>китайский/</w:t>
            </w:r>
            <w:r w:rsidRPr="00D66DAA">
              <w:rPr>
                <w:b/>
                <w:lang w:val="ru-RU"/>
              </w:rPr>
              <w:t>английский</w:t>
            </w:r>
          </w:p>
        </w:tc>
      </w:tr>
      <w:tr w:rsidR="00796BD3" w:rsidRPr="00D66DAA" w14:paraId="2849E749" w14:textId="77777777" w:rsidTr="00D17718">
        <w:trPr>
          <w:cantSplit/>
          <w:trHeight w:val="23"/>
        </w:trPr>
        <w:tc>
          <w:tcPr>
            <w:tcW w:w="3969" w:type="dxa"/>
          </w:tcPr>
          <w:p w14:paraId="6F6DEB0F" w14:textId="77777777" w:rsidR="00796BD3" w:rsidRPr="00D66DA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6DF86F9" w14:textId="77777777" w:rsidR="00796BD3" w:rsidRPr="00D66DA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E480B" w14:paraId="003636AF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63A936B" w14:textId="40CD0577" w:rsidR="00796BD3" w:rsidRPr="00D66DAA" w:rsidRDefault="000F6729" w:rsidP="002E480B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D66DAA">
              <w:rPr>
                <w:bCs/>
                <w:color w:val="000000"/>
              </w:rPr>
              <w:t>Вклад Китайской Народной Республики, Бразилии (Федеративной Республики) и Кубы</w:t>
            </w:r>
          </w:p>
        </w:tc>
      </w:tr>
      <w:tr w:rsidR="00796BD3" w:rsidRPr="002E480B" w14:paraId="37CCBA8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ADC7DA3" w14:textId="241BBB0A" w:rsidR="00796BD3" w:rsidRPr="00D66DAA" w:rsidRDefault="000F6729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D66DAA">
              <w:rPr>
                <w:color w:val="000000"/>
              </w:rPr>
              <w:t>РЕКОМЕНДАЦИИ ПО ПОВЫШЕНИЮ ПРОЗРАЧНОСТИ ФИНАНСОВОГО УПРАВЛЕНИЯ В МСЭ</w:t>
            </w:r>
          </w:p>
        </w:tc>
      </w:tr>
      <w:tr w:rsidR="00796BD3" w:rsidRPr="002E480B" w14:paraId="0FAAA160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41D570A" w14:textId="77777777" w:rsidR="00796BD3" w:rsidRPr="00D66DA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DA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4A0EDBB" w14:textId="125CC2CD" w:rsidR="00796BD3" w:rsidRPr="00D66DAA" w:rsidRDefault="000F6729" w:rsidP="00D17718">
            <w:pPr>
              <w:rPr>
                <w:lang w:val="ru-RU"/>
              </w:rPr>
            </w:pPr>
            <w:r w:rsidRPr="00D66DAA">
              <w:rPr>
                <w:color w:val="000000"/>
                <w:lang w:val="ru-RU"/>
              </w:rPr>
              <w:t>Прозрачность финансового управления и эффективность распределения ресурсов имеют важнейшее значение для достижения стратегических целей МСЭ и укрепления доверия членов. Поскольку на Полномочной конференции 2026 года должен быть задан вектор финансового управления на следующий четырехгодичный цикл, в настоящем вкладе предлагаются конкретные рекомендации, подготовленные по итогам обсуждений на собраниях Совета МСЭ и Рабочей группы Совета по финансовым и людским ресурсам (РГС-ФЛР) с 2023 года.</w:t>
            </w:r>
          </w:p>
          <w:p w14:paraId="1CCCE345" w14:textId="77777777" w:rsidR="00796BD3" w:rsidRPr="00D66DA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DA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7B379AB7" w14:textId="64C57741" w:rsidR="00796BD3" w:rsidRPr="00D66DAA" w:rsidRDefault="000F6729" w:rsidP="00D17718">
            <w:pPr>
              <w:rPr>
                <w:lang w:val="ru-RU"/>
              </w:rPr>
            </w:pPr>
            <w:r w:rsidRPr="00D66DAA">
              <w:rPr>
                <w:color w:val="000000"/>
                <w:lang w:val="ru-RU"/>
              </w:rPr>
              <w:t xml:space="preserve">Совету предлагается </w:t>
            </w:r>
            <w:r w:rsidRPr="00D66DAA">
              <w:rPr>
                <w:b/>
                <w:bCs/>
                <w:color w:val="000000"/>
                <w:lang w:val="ru-RU"/>
              </w:rPr>
              <w:t>рассмотреть</w:t>
            </w:r>
            <w:r w:rsidRPr="00D66DAA">
              <w:rPr>
                <w:color w:val="000000"/>
                <w:lang w:val="ru-RU"/>
              </w:rPr>
              <w:t xml:space="preserve"> рекомендации, содержащиеся в настоящем вкладе, и принять соответствующие меры.</w:t>
            </w:r>
          </w:p>
          <w:p w14:paraId="172B67A9" w14:textId="77777777" w:rsidR="00796BD3" w:rsidRPr="00D66DAA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D66DAA">
              <w:rPr>
                <w:sz w:val="20"/>
                <w:szCs w:val="18"/>
                <w:lang w:val="ru-RU"/>
              </w:rPr>
              <w:t>__________________</w:t>
            </w:r>
          </w:p>
          <w:p w14:paraId="77348174" w14:textId="77777777" w:rsidR="00796BD3" w:rsidRPr="00D66DAA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D66DAA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4572EC9" w14:textId="0BC39822" w:rsidR="00796BD3" w:rsidRPr="00D66DAA" w:rsidRDefault="000F6729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D66DAA">
                <w:rPr>
                  <w:rStyle w:val="Hyperlink"/>
                  <w:i/>
                  <w:iCs/>
                  <w:lang w:val="ru-RU"/>
                </w:rPr>
                <w:t>Статья 28 Устава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8" w:history="1">
              <w:r w:rsidRPr="00D66DAA">
                <w:rPr>
                  <w:rStyle w:val="Hyperlink"/>
                  <w:i/>
                  <w:iCs/>
                  <w:lang w:val="ru-RU"/>
                </w:rPr>
                <w:t>пункт 63 Конвенции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Решение </w:t>
            </w:r>
            <w:hyperlink r:id="rId9" w:history="1">
              <w:r w:rsidRPr="00D66DAA">
                <w:rPr>
                  <w:rStyle w:val="Hyperlink"/>
                  <w:i/>
                  <w:iCs/>
                  <w:lang w:val="ru-RU"/>
                </w:rPr>
                <w:t>5 (Пересм. Бухарест, 2022 г.)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и Резолюции </w:t>
            </w:r>
            <w:hyperlink r:id="rId10" w:history="1">
              <w:r w:rsidRPr="00D66DAA">
                <w:rPr>
                  <w:rStyle w:val="Hyperlink"/>
                  <w:i/>
                  <w:iCs/>
                  <w:lang w:val="ru-RU"/>
                </w:rPr>
                <w:t>94 (Пересм. Бухарест, 2022 г.)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1" w:history="1">
              <w:r w:rsidRPr="00D66DAA">
                <w:rPr>
                  <w:rStyle w:val="Hyperlink"/>
                  <w:i/>
                  <w:iCs/>
                  <w:lang w:val="ru-RU"/>
                </w:rPr>
                <w:t>151 (Пересм. Бухарест, 2022 г.)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2" w:history="1">
              <w:r w:rsidRPr="00D66DAA">
                <w:rPr>
                  <w:rStyle w:val="Hyperlink"/>
                  <w:i/>
                  <w:iCs/>
                  <w:lang w:val="ru-RU"/>
                </w:rPr>
                <w:t>158 (Пересм. Пусан, 2014 г.)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3" w:history="1">
              <w:r w:rsidRPr="00D66DAA">
                <w:rPr>
                  <w:rStyle w:val="Hyperlink"/>
                  <w:i/>
                  <w:iCs/>
                  <w:lang w:val="ru-RU"/>
                </w:rPr>
                <w:t>162 (Пересм. Бухарест, 2022 г.)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Полномочной конференции; Документ </w:t>
            </w:r>
            <w:hyperlink r:id="rId14" w:history="1">
              <w:r w:rsidRPr="00D66DAA">
                <w:rPr>
                  <w:rStyle w:val="Hyperlink"/>
                  <w:i/>
                  <w:iCs/>
                  <w:lang w:val="ru-RU"/>
                </w:rPr>
                <w:t>C26/55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Совета с обновленной информацией о трансформации МСЭ, Документ </w:t>
            </w:r>
            <w:hyperlink r:id="rId15" w:history="1">
              <w:r w:rsidRPr="00D66DAA">
                <w:rPr>
                  <w:rStyle w:val="Hyperlink"/>
                  <w:i/>
                  <w:iCs/>
                  <w:lang w:val="ru-RU"/>
                </w:rPr>
                <w:t>C26/42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Совета о распределении средств, сэкономленных при исполнении бюджета на 2025 год, Документ </w:t>
            </w:r>
            <w:hyperlink r:id="rId16" w:history="1">
              <w:r w:rsidRPr="00D66DAA">
                <w:rPr>
                  <w:rStyle w:val="Hyperlink"/>
                  <w:i/>
                  <w:iCs/>
                  <w:lang w:val="ru-RU"/>
                </w:rPr>
                <w:t>C26/22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Совета, содержащий 15-й отчет Независимого консультативного комитета по управлению (IMAC), Документ </w:t>
            </w:r>
            <w:hyperlink r:id="rId17" w:history="1">
              <w:r w:rsidRPr="00D66DAA">
                <w:rPr>
                  <w:rStyle w:val="Hyperlink"/>
                  <w:i/>
                  <w:iCs/>
                  <w:lang w:val="ru-RU"/>
                </w:rPr>
                <w:t>C25/40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 Совета, содержащий отчет о финансовой деятельности и проверенную финансовую отчетность за 2024 финансовый год; краткий обзор соответствующих обсуждений в Совете: </w:t>
            </w:r>
            <w:hyperlink r:id="rId18" w:history="1">
              <w:r w:rsidRPr="00D66DAA">
                <w:rPr>
                  <w:rStyle w:val="Hyperlink"/>
                  <w:i/>
                  <w:iCs/>
                  <w:lang w:val="ru-RU"/>
                </w:rPr>
                <w:t>C25/105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9" w:history="1">
              <w:r w:rsidRPr="00D66DAA">
                <w:rPr>
                  <w:rStyle w:val="Hyperlink"/>
                  <w:i/>
                  <w:iCs/>
                  <w:lang w:val="ru-RU"/>
                </w:rPr>
                <w:t>C24/109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20" w:history="1">
              <w:r w:rsidRPr="00D66DAA">
                <w:rPr>
                  <w:rStyle w:val="Hyperlink"/>
                  <w:i/>
                  <w:iCs/>
                  <w:lang w:val="ru-RU"/>
                </w:rPr>
                <w:t>C23/104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; краткий обзор собраний РГС-ФЛР: </w:t>
            </w:r>
            <w:hyperlink r:id="rId21" w:history="1">
              <w:r w:rsidRPr="00D66DAA">
                <w:rPr>
                  <w:rStyle w:val="Hyperlink"/>
                  <w:i/>
                  <w:iCs/>
                  <w:lang w:val="ru-RU"/>
                </w:rPr>
                <w:t>CWG-FHR-22/36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22" w:history="1">
              <w:r w:rsidRPr="00D66DAA">
                <w:rPr>
                  <w:rStyle w:val="Hyperlink"/>
                  <w:i/>
                  <w:iCs/>
                  <w:lang w:val="ru-RU"/>
                </w:rPr>
                <w:t>CWG-FHR-21/25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23" w:history="1">
              <w:r w:rsidRPr="00D66DAA">
                <w:rPr>
                  <w:rStyle w:val="Hyperlink"/>
                  <w:i/>
                  <w:iCs/>
                  <w:lang w:val="ru-RU"/>
                </w:rPr>
                <w:t>CWG-FHR-20/32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24" w:history="1">
              <w:r w:rsidRPr="00D66DAA">
                <w:rPr>
                  <w:rStyle w:val="Hyperlink"/>
                  <w:i/>
                  <w:iCs/>
                  <w:lang w:val="ru-RU"/>
                </w:rPr>
                <w:t>CWG-FHR-19/15</w:t>
              </w:r>
            </w:hyperlink>
            <w:r w:rsidRPr="00D66DAA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25" w:history="1">
              <w:r w:rsidRPr="00D66DAA">
                <w:rPr>
                  <w:rStyle w:val="Hyperlink"/>
                  <w:i/>
                  <w:iCs/>
                  <w:lang w:val="ru-RU"/>
                </w:rPr>
                <w:t>CWG-FHR-17/24</w:t>
              </w:r>
            </w:hyperlink>
          </w:p>
        </w:tc>
      </w:tr>
      <w:bookmarkEnd w:id="2"/>
      <w:bookmarkEnd w:id="6"/>
    </w:tbl>
    <w:p w14:paraId="1FFD96E0" w14:textId="77777777" w:rsidR="00796BD3" w:rsidRPr="00D66DAA" w:rsidRDefault="00796BD3" w:rsidP="00796BD3">
      <w:pPr>
        <w:rPr>
          <w:lang w:val="ru-RU"/>
        </w:rPr>
      </w:pPr>
    </w:p>
    <w:p w14:paraId="1ACA2167" w14:textId="77777777" w:rsidR="00165D06" w:rsidRPr="00D66DA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66DAA">
        <w:rPr>
          <w:lang w:val="ru-RU"/>
        </w:rPr>
        <w:br w:type="page"/>
      </w:r>
    </w:p>
    <w:p w14:paraId="1E69A350" w14:textId="77777777" w:rsidR="000F6729" w:rsidRPr="00D66DAA" w:rsidRDefault="000F6729" w:rsidP="000F6729">
      <w:pPr>
        <w:pStyle w:val="Heading1"/>
        <w:rPr>
          <w:lang w:val="ru-RU"/>
        </w:rPr>
      </w:pPr>
      <w:r w:rsidRPr="00D66DAA">
        <w:rPr>
          <w:bCs/>
          <w:lang w:val="ru-RU"/>
        </w:rPr>
        <w:lastRenderedPageBreak/>
        <w:t>1</w:t>
      </w:r>
      <w:r w:rsidRPr="00D66DAA">
        <w:rPr>
          <w:lang w:val="ru-RU"/>
        </w:rPr>
        <w:tab/>
      </w:r>
      <w:r w:rsidRPr="00D66DAA">
        <w:rPr>
          <w:bCs/>
          <w:lang w:val="ru-RU"/>
        </w:rPr>
        <w:t>Базовая информация</w:t>
      </w:r>
    </w:p>
    <w:p w14:paraId="55AAFB51" w14:textId="23D69015" w:rsidR="000F6729" w:rsidRPr="00D66DAA" w:rsidRDefault="000F6729" w:rsidP="000F6729">
      <w:pPr>
        <w:rPr>
          <w:lang w:val="ru-RU"/>
        </w:rPr>
      </w:pPr>
      <w:r w:rsidRPr="00D66DAA">
        <w:rPr>
          <w:lang w:val="ru-RU"/>
        </w:rPr>
        <w:t>МСЭ как специализированное учреждение Организации Объединенных Наций работает в условиях жестких финансовых ограничений. В последние годы, по мере роста расходов на организационную трансформацию, институциональное развитие и расширение функционала, МСЭ сталкивается со все возрастающей нагрузкой при исполнении бюджета. Согласно Отчету о</w:t>
      </w:r>
      <w:r w:rsidR="00D66DAA" w:rsidRPr="00D66DAA">
        <w:rPr>
          <w:lang w:val="ru-RU"/>
        </w:rPr>
        <w:t> </w:t>
      </w:r>
      <w:r w:rsidRPr="00D66DAA">
        <w:rPr>
          <w:lang w:val="ru-RU"/>
        </w:rPr>
        <w:t>финансовой деятельности и проверенной финансовой отчетности за 2024 год (</w:t>
      </w:r>
      <w:hyperlink r:id="rId26" w:history="1">
        <w:r w:rsidRPr="00D66DAA">
          <w:rPr>
            <w:rStyle w:val="Hyperlink"/>
            <w:lang w:val="ru-RU"/>
          </w:rPr>
          <w:t>C25/40</w:t>
        </w:r>
      </w:hyperlink>
      <w:r w:rsidRPr="00D66DAA">
        <w:rPr>
          <w:lang w:val="ru-RU"/>
        </w:rPr>
        <w:t>), в МСЭ зафиксировано отрицательное значение чистых активов в размере 318 млн. швейцарских франков, что на 60,6 млн. швейцарских франков больше, чем в 2023 году. В 2025 году активное сальдо бюджета МСЭ составило 10,8 млн. швейцарских франков. Однако как в отчете Генерального секретаря (</w:t>
      </w:r>
      <w:hyperlink r:id="rId27" w:history="1">
        <w:r w:rsidRPr="00D66DAA">
          <w:rPr>
            <w:rStyle w:val="Hyperlink"/>
            <w:lang w:val="ru-RU"/>
          </w:rPr>
          <w:t>C26/42</w:t>
        </w:r>
      </w:hyperlink>
      <w:r w:rsidRPr="00D66DAA">
        <w:rPr>
          <w:lang w:val="ru-RU"/>
        </w:rPr>
        <w:t>), так и в отчете Независимого консультативного комитета по управлению (IMAC) (</w:t>
      </w:r>
      <w:hyperlink r:id="rId28" w:history="1">
        <w:r w:rsidRPr="00D66DAA">
          <w:rPr>
            <w:rStyle w:val="Hyperlink"/>
            <w:lang w:val="ru-RU"/>
          </w:rPr>
          <w:t>C26/22</w:t>
        </w:r>
      </w:hyperlink>
      <w:r w:rsidRPr="00D66DAA">
        <w:rPr>
          <w:lang w:val="ru-RU"/>
        </w:rPr>
        <w:t>) подчеркивается, что такой результат был обусловлен в первую очередь задержкой набора персонала и отсрочками, а не повышением структурной эффективности; этот результат также не представляет собой структурного сокращения текущих базовых расходов Союза. Кроме того, в настоящее время в важнейших областях, таких как стратегия и финансы, МСЭ в значительной степени полагается на услуги внешних исполнителей (например, 480 000 швейцарских франков в 2023 году для привлечения компании Ernst &amp; Young для составления финансовой отчетности в соответствии со стандартами IPSAS и 230</w:t>
      </w:r>
      <w:r w:rsidR="00D66DAA" w:rsidRPr="00D66DAA">
        <w:rPr>
          <w:lang w:val="ru-RU"/>
        </w:rPr>
        <w:t> </w:t>
      </w:r>
      <w:r w:rsidRPr="00D66DAA">
        <w:rPr>
          <w:lang w:val="ru-RU"/>
        </w:rPr>
        <w:t>000</w:t>
      </w:r>
      <w:r w:rsidR="00D66DAA" w:rsidRPr="00D66DAA">
        <w:rPr>
          <w:lang w:val="ru-RU"/>
        </w:rPr>
        <w:t> </w:t>
      </w:r>
      <w:r w:rsidRPr="00D66DAA">
        <w:rPr>
          <w:lang w:val="ru-RU"/>
        </w:rPr>
        <w:t>швейцарских франков в 2024 году для привлечения Dalberg Group для проведения оценки организационной структуры). Кроме того, в отношении расходов по соглашениям о специальных услугах (ССУ) раскрыта лишь ограниченная информация, связанная с влиянием на бюджет и численность персонала.</w:t>
      </w:r>
      <w:hyperlink r:id="rId29" w:history="1"/>
      <w:hyperlink r:id="rId30" w:history="1"/>
      <w:hyperlink r:id="rId31" w:history="1"/>
    </w:p>
    <w:p w14:paraId="1B7848AA" w14:textId="489002CC" w:rsidR="000F6729" w:rsidRPr="00D66DAA" w:rsidRDefault="000F6729" w:rsidP="000F6729">
      <w:pPr>
        <w:rPr>
          <w:lang w:val="ru-RU"/>
        </w:rPr>
      </w:pPr>
      <w:r w:rsidRPr="00D66DAA">
        <w:rPr>
          <w:lang w:val="ru-RU"/>
        </w:rPr>
        <w:t>В действующих основных текстах документов МСЭ установлены требования по повышению прозрачности финансового управления и эффективности использования ресурсов. В</w:t>
      </w:r>
      <w:r w:rsidR="00D66DAA" w:rsidRPr="00D66DAA">
        <w:rPr>
          <w:lang w:val="ru-RU"/>
        </w:rPr>
        <w:t> </w:t>
      </w:r>
      <w:r w:rsidRPr="00D66DAA">
        <w:rPr>
          <w:lang w:val="ru-RU"/>
        </w:rPr>
        <w:t>соответствии с Резолюцией 151 (Пересм. Бухарест, 2022 г.) Полномочной конференции Генеральному секретарю и Директорам трех Бюро следует продолжать разработку комплексной структуры результатов деятельности МСЭ для обеспечения выполнения Стратегического, Финансового и оперативных планов и бюджета, чтобы указывать виды деятельности Союза, цели этих видов деятельности, соответствующие ресурсы и результаты, и обеспечивать прозрачность отчетности путем публикации подробной информации, в том числе обо всех затратах, понесенных при использовании или задействовании финансовых и людских ресурсов (внешних или внутренних). В Резолюции 158 (Пересм. Пусан, 2014 г.) Полномочной конференции Совету поручается изучить возможность создания механизмов для обеспечения большей финансовой стабильности Союза и для подготовки рекомендаций в этом отношении.</w:t>
      </w:r>
    </w:p>
    <w:p w14:paraId="70886D5C" w14:textId="77777777" w:rsidR="000F6729" w:rsidRPr="00D66DAA" w:rsidRDefault="000F6729" w:rsidP="000F6729">
      <w:pPr>
        <w:rPr>
          <w:rFonts w:eastAsia="SimSun"/>
          <w:lang w:val="ru-RU"/>
        </w:rPr>
      </w:pPr>
      <w:r w:rsidRPr="00D66DAA">
        <w:rPr>
          <w:lang w:val="ru-RU"/>
        </w:rPr>
        <w:t>Государства-Члены уделяют первоочередное внимание прозрачности финансового управления и призывают к постоянному повышению финансовой эффективности. С 2023 года Совет и Рабочая группа Совета по финансовым и людским ресурсам (РГС-ФЛР) вели расширенные обсуждения этого вопроса, достигнув общего согласия относительно того, что ограниченные ресурсы МСЭ должны направляться на выполнение ключевых задач. После этого руководство приступило к осуществлению инициативы по трансформации финансового управления для улучшения согласованности стратегического, финансового и оперативного планирования. Тем не менее по мере реорганизации и расширения сферы деятельности МСЭ Государствам-Членам требуется бóльшая ясность по трем важнейшим вопросам: продолжает ли текущая деятельность, оказывающая значительное воздействие, оставаться согласованной с основным мандатом; какое прямое либо косвенное воздействие оказывают проекты, виды деятельности и соглашения, имеющие стратегические и финансовые последствия, на Государства-Члены и другие категории членов; и продолжает ли финансовое положение МСЭ оставаться устойчивым в рамках существующих стратегических, финансовых и оперативных механизмов.</w:t>
      </w:r>
    </w:p>
    <w:p w14:paraId="3CD846D4" w14:textId="77777777" w:rsidR="000F6729" w:rsidRPr="00D66DAA" w:rsidRDefault="000F6729" w:rsidP="000F6729">
      <w:pPr>
        <w:pStyle w:val="Heading1"/>
        <w:rPr>
          <w:lang w:val="ru-RU"/>
        </w:rPr>
      </w:pPr>
      <w:r w:rsidRPr="00D66DAA">
        <w:rPr>
          <w:bCs/>
          <w:lang w:val="ru-RU"/>
        </w:rPr>
        <w:lastRenderedPageBreak/>
        <w:t>2</w:t>
      </w:r>
      <w:r w:rsidRPr="00D66DAA">
        <w:rPr>
          <w:lang w:val="ru-RU"/>
        </w:rPr>
        <w:tab/>
      </w:r>
      <w:r w:rsidRPr="00D66DAA">
        <w:rPr>
          <w:bCs/>
          <w:lang w:val="ru-RU"/>
        </w:rPr>
        <w:t>Предложение</w:t>
      </w:r>
    </w:p>
    <w:p w14:paraId="5021F5C7" w14:textId="3281C2AD" w:rsidR="000F6729" w:rsidRPr="00D66DAA" w:rsidRDefault="000F6729" w:rsidP="000F6729">
      <w:pPr>
        <w:rPr>
          <w:lang w:val="ru-RU"/>
        </w:rPr>
      </w:pPr>
      <w:r w:rsidRPr="00D66DAA">
        <w:rPr>
          <w:lang w:val="ru-RU"/>
        </w:rPr>
        <w:t>Управление финансами МСЭ должно быть направлено не только на смягчение краткосрочных проблем, но и на внедрение ориентированных на будущее механизмов, которые повысят финансовую устойчивость. В связи с этим мы рекомендуем, чтобы Генеральный секретарь, в</w:t>
      </w:r>
      <w:r w:rsidR="00D66DAA" w:rsidRPr="00D66DAA">
        <w:rPr>
          <w:lang w:val="ru-RU"/>
        </w:rPr>
        <w:t> </w:t>
      </w:r>
      <w:r w:rsidRPr="00D66DAA">
        <w:rPr>
          <w:lang w:val="ru-RU"/>
        </w:rPr>
        <w:t>тесном сотрудничестве с Директорами трех Бюро, оказал поддержку Государствам-Членам в совершенствовании мониторинга финансовой деятельности, распределения ресурсов и операционной устойчивости.</w:t>
      </w:r>
    </w:p>
    <w:p w14:paraId="41DEA710" w14:textId="77777777" w:rsidR="000F6729" w:rsidRPr="00D66DAA" w:rsidRDefault="000F6729" w:rsidP="000F6729">
      <w:pPr>
        <w:pStyle w:val="enumlev1"/>
        <w:rPr>
          <w:lang w:val="ru-RU"/>
        </w:rPr>
      </w:pPr>
      <w:r w:rsidRPr="00D66DAA">
        <w:rPr>
          <w:lang w:val="ru-RU"/>
        </w:rPr>
        <w:t>1)</w:t>
      </w:r>
      <w:r w:rsidRPr="00D66DAA">
        <w:rPr>
          <w:lang w:val="ru-RU"/>
        </w:rPr>
        <w:tab/>
        <w:t>Укрепление согласованности бюджета со стратегическими приоритетами для обеспечения того, чтобы ресурсы распределялись в рамках Союза в зависимости от срочности и важности задач, при обеспечении достаточного финансирования ключевых функций.</w:t>
      </w:r>
    </w:p>
    <w:p w14:paraId="15BBED80" w14:textId="77777777" w:rsidR="000F6729" w:rsidRPr="00D66DAA" w:rsidRDefault="000F6729" w:rsidP="000F6729">
      <w:pPr>
        <w:pStyle w:val="enumlev1"/>
        <w:rPr>
          <w:lang w:val="ru-RU"/>
        </w:rPr>
      </w:pPr>
      <w:r w:rsidRPr="00D66DAA">
        <w:rPr>
          <w:lang w:val="ru-RU"/>
        </w:rPr>
        <w:t>2)</w:t>
      </w:r>
      <w:r w:rsidRPr="00D66DAA">
        <w:rPr>
          <w:lang w:val="ru-RU"/>
        </w:rPr>
        <w:tab/>
        <w:t>Повышение прозрачности в отношении проектов, видов деятельности и соглашений, имеющих значительные финансовые или стратегические последствия. Генеральный секретариат и три Бюро должны проводить оценку их соответствия ключевым функциям и приоритетным задачам МСЭ и представлять результаты этих оценок в качестве входных документов для рассмотрения Советом на его ежегодных сессиях.</w:t>
      </w:r>
    </w:p>
    <w:p w14:paraId="6593156C" w14:textId="77777777" w:rsidR="000F6729" w:rsidRPr="00D66DAA" w:rsidRDefault="000F6729" w:rsidP="000F6729">
      <w:pPr>
        <w:pStyle w:val="enumlev1"/>
        <w:rPr>
          <w:lang w:val="ru-RU"/>
        </w:rPr>
      </w:pPr>
      <w:r w:rsidRPr="00D66DAA">
        <w:rPr>
          <w:lang w:val="ru-RU"/>
        </w:rPr>
        <w:t>3)</w:t>
      </w:r>
      <w:r w:rsidRPr="00D66DAA">
        <w:rPr>
          <w:lang w:val="ru-RU"/>
        </w:rPr>
        <w:tab/>
        <w:t>Обеспечение Государствам-Членам доступа ко всеобъемлющей, точной и актуальной финансовой информации и отчетам о результатах деятельности. Создание любого нового фонда или резерва должно осуществляться в соответствии с основными текстами документов Союза, Финансовым регламентом и Финансовыми правилами и подлежит утверждению Советом.</w:t>
      </w:r>
    </w:p>
    <w:p w14:paraId="56A9CCD7" w14:textId="77777777" w:rsidR="000F6729" w:rsidRPr="00D66DAA" w:rsidRDefault="000F6729" w:rsidP="000F6729">
      <w:pPr>
        <w:pStyle w:val="enumlev1"/>
        <w:rPr>
          <w:lang w:val="ru-RU"/>
        </w:rPr>
      </w:pPr>
      <w:r w:rsidRPr="00D66DAA">
        <w:rPr>
          <w:lang w:val="ru-RU"/>
        </w:rPr>
        <w:t>4)</w:t>
      </w:r>
      <w:r w:rsidRPr="00D66DAA">
        <w:rPr>
          <w:lang w:val="ru-RU"/>
        </w:rPr>
        <w:tab/>
        <w:t>При начале новых финансируемых видов деятельности или проектов, даже если они не оказывают прямого воздействия на годовой финансовый бюджет, следует должным образом учитывать косвенные финансовые последствия, возникающие в связи с использованием людских ресурсов МСЭ в рамках таких видов деятельности.</w:t>
      </w:r>
    </w:p>
    <w:p w14:paraId="7F45BFED" w14:textId="77777777" w:rsidR="00796BD3" w:rsidRPr="00D66DAA" w:rsidRDefault="00C462C5" w:rsidP="000F6729">
      <w:pPr>
        <w:spacing w:before="480"/>
        <w:jc w:val="center"/>
        <w:rPr>
          <w:lang w:val="ru-RU"/>
        </w:rPr>
      </w:pPr>
      <w:r w:rsidRPr="00D66DAA">
        <w:rPr>
          <w:lang w:val="ru-RU"/>
        </w:rPr>
        <w:t>______________</w:t>
      </w:r>
    </w:p>
    <w:sectPr w:rsidR="00796BD3" w:rsidRPr="00D66DAA" w:rsidSect="00796BD3">
      <w:footerReference w:type="default" r:id="rId32"/>
      <w:headerReference w:type="first" r:id="rId33"/>
      <w:footerReference w:type="first" r:id="rId3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DB44" w14:textId="77777777" w:rsidR="000F6729" w:rsidRDefault="000F6729">
      <w:r>
        <w:separator/>
      </w:r>
    </w:p>
  </w:endnote>
  <w:endnote w:type="continuationSeparator" w:id="0">
    <w:p w14:paraId="0AEA8F68" w14:textId="77777777" w:rsidR="000F6729" w:rsidRDefault="000F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236592A" w14:textId="77777777" w:rsidTr="00E31DCE">
      <w:trPr>
        <w:jc w:val="center"/>
      </w:trPr>
      <w:tc>
        <w:tcPr>
          <w:tcW w:w="1803" w:type="dxa"/>
          <w:vAlign w:val="center"/>
        </w:tcPr>
        <w:p w14:paraId="0F582923" w14:textId="1C2C23AA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0F6729">
            <w:rPr>
              <w:noProof/>
            </w:rPr>
            <w:t xml:space="preserve"> 2600911</w:t>
          </w:r>
        </w:p>
      </w:tc>
      <w:tc>
        <w:tcPr>
          <w:tcW w:w="8261" w:type="dxa"/>
        </w:tcPr>
        <w:p w14:paraId="442ECB34" w14:textId="448A94E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F6729">
            <w:rPr>
              <w:bCs/>
            </w:rPr>
            <w:t>80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A0780D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A0AD296" w14:textId="77777777" w:rsidTr="00E31DCE">
      <w:trPr>
        <w:jc w:val="center"/>
      </w:trPr>
      <w:tc>
        <w:tcPr>
          <w:tcW w:w="1803" w:type="dxa"/>
          <w:vAlign w:val="center"/>
        </w:tcPr>
        <w:p w14:paraId="4EBAC351" w14:textId="35DBA356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</w:p>
      </w:tc>
      <w:tc>
        <w:tcPr>
          <w:tcW w:w="8261" w:type="dxa"/>
        </w:tcPr>
        <w:p w14:paraId="6DE3DFBA" w14:textId="18E21F6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F6729">
            <w:rPr>
              <w:bCs/>
            </w:rPr>
            <w:t>80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C3DB39C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C92D" w14:textId="77777777" w:rsidR="000F6729" w:rsidRDefault="000F6729">
      <w:r>
        <w:t>____________________</w:t>
      </w:r>
    </w:p>
  </w:footnote>
  <w:footnote w:type="continuationSeparator" w:id="0">
    <w:p w14:paraId="542541F7" w14:textId="77777777" w:rsidR="000F6729" w:rsidRDefault="000F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19A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0F6729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2E480B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C0E4B"/>
    <w:rsid w:val="00CD2009"/>
    <w:rsid w:val="00CF629C"/>
    <w:rsid w:val="00D17718"/>
    <w:rsid w:val="00D631AA"/>
    <w:rsid w:val="00D66D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285D1"/>
  <w15:docId w15:val="{6A86941B-91DE-47C3-8413-1DCDD7C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Documents/basic-texts-2023/RES-162-R.pdf" TargetMode="External"/><Relationship Id="rId18" Type="http://schemas.openxmlformats.org/officeDocument/2006/relationships/hyperlink" Target="https://www.itu.int/md/S25-CL-C-0105/en" TargetMode="External"/><Relationship Id="rId26" Type="http://schemas.openxmlformats.org/officeDocument/2006/relationships/hyperlink" Target="https://www.itu.int/md/S25-CL-C-0040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S26-CWGFHR22-C-0036/en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itu.int/en/council/Documents/basic-texts/Constitution-R.pdf" TargetMode="External"/><Relationship Id="rId12" Type="http://schemas.openxmlformats.org/officeDocument/2006/relationships/hyperlink" Target="https://www.itu.int/en/council/Documents/basic-texts-2023/RES-158-R.pdf" TargetMode="External"/><Relationship Id="rId17" Type="http://schemas.openxmlformats.org/officeDocument/2006/relationships/hyperlink" Target="https://www.itu.int/md/S25-CL-C-0040/en" TargetMode="External"/><Relationship Id="rId25" Type="http://schemas.openxmlformats.org/officeDocument/2006/relationships/hyperlink" Target="https://www.itu.int/md/S24-CWGFHR17-C-0024/en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26-CL-C-0022/en" TargetMode="External"/><Relationship Id="rId20" Type="http://schemas.openxmlformats.org/officeDocument/2006/relationships/hyperlink" Target="https://www.itu.int/md/S23-CL-C-0104/en" TargetMode="External"/><Relationship Id="rId29" Type="http://schemas.openxmlformats.org/officeDocument/2006/relationships/hyperlink" Target="https://www.itu.int/md/S25-CL-C-0040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Documents/basic-texts-2023/RES-151-R.pdf" TargetMode="External"/><Relationship Id="rId24" Type="http://schemas.openxmlformats.org/officeDocument/2006/relationships/hyperlink" Target="https://www.itu.int/md/S24-CWGFHR19-C-0015/en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CL-C-0042/en" TargetMode="External"/><Relationship Id="rId23" Type="http://schemas.openxmlformats.org/officeDocument/2006/relationships/hyperlink" Target="https://www.itu.int/md/S25-CWGFHR20-C-0032/en" TargetMode="External"/><Relationship Id="rId28" Type="http://schemas.openxmlformats.org/officeDocument/2006/relationships/hyperlink" Target="https://www.itu.int/md/S26-CL-C-0022/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tu.int/en/council/Documents/basic-texts-2023/RES-094-R.pdf" TargetMode="External"/><Relationship Id="rId19" Type="http://schemas.openxmlformats.org/officeDocument/2006/relationships/hyperlink" Target="https://www.itu.int/md/S24-CL-C-0109/en" TargetMode="External"/><Relationship Id="rId31" Type="http://schemas.openxmlformats.org/officeDocument/2006/relationships/hyperlink" Target="https://www.itu.int/md/S26-CL-C-002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DEC-005-R.pdf" TargetMode="External"/><Relationship Id="rId14" Type="http://schemas.openxmlformats.org/officeDocument/2006/relationships/hyperlink" Target="https://www.itu.int/md/S26-CL-C-0055/en" TargetMode="External"/><Relationship Id="rId22" Type="http://schemas.openxmlformats.org/officeDocument/2006/relationships/hyperlink" Target="https://www.itu.int/md/S25-CWGFHR21-C-0025/en" TargetMode="External"/><Relationship Id="rId27" Type="http://schemas.openxmlformats.org/officeDocument/2006/relationships/hyperlink" Target="https://www.itu.int/md/S26-CL-C-0042/en" TargetMode="External"/><Relationship Id="rId30" Type="http://schemas.openxmlformats.org/officeDocument/2006/relationships/hyperlink" Target="https://www.itu.int/md/S26-CL-C-0042/e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tu.int/en/council/Documents/basic-texts/Convention-R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1108</Words>
  <Characters>7896</Characters>
  <Application>Microsoft Office Word</Application>
  <DocSecurity>0</DocSecurity>
  <Lines>136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8971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on enhancing transparency in the financial management of the ITU</dc:title>
  <dc:subject>ITU Council 2026</dc:subject>
  <cp:keywords>C26; C2026; Council 2026; PP26</cp:keywords>
  <dc:description/>
  <cp:lastPrinted>2006-03-28T16:12:00Z</cp:lastPrinted>
  <dcterms:created xsi:type="dcterms:W3CDTF">2026-04-28T17:51:00Z</dcterms:created>
  <dcterms:modified xsi:type="dcterms:W3CDTF">2026-04-28T17:51:00Z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