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4360E8" w14:paraId="390EB43C" w14:textId="77777777" w:rsidTr="00796BDB">
        <w:trPr>
          <w:cantSplit/>
          <w:trHeight w:val="23"/>
        </w:trPr>
        <w:tc>
          <w:tcPr>
            <w:tcW w:w="3969" w:type="dxa"/>
            <w:vMerge w:val="restart"/>
            <w:tcMar>
              <w:left w:w="0" w:type="dxa"/>
            </w:tcMar>
          </w:tcPr>
          <w:p w14:paraId="7C8141E7" w14:textId="49E9BE7A" w:rsidR="00D72F49" w:rsidRPr="004360E8" w:rsidRDefault="00D72F49" w:rsidP="00796BDB">
            <w:pPr>
              <w:tabs>
                <w:tab w:val="left" w:pos="851"/>
              </w:tabs>
              <w:spacing w:before="0" w:line="240" w:lineRule="atLeast"/>
              <w:rPr>
                <w:b/>
              </w:rPr>
            </w:pPr>
            <w:r w:rsidRPr="004360E8">
              <w:rPr>
                <w:b/>
              </w:rPr>
              <w:t>Point de l'ordre du jour:</w:t>
            </w:r>
            <w:r w:rsidR="00952C01" w:rsidRPr="004360E8">
              <w:rPr>
                <w:b/>
              </w:rPr>
              <w:t xml:space="preserve"> </w:t>
            </w:r>
            <w:r w:rsidR="00D61FEB" w:rsidRPr="004360E8">
              <w:rPr>
                <w:b/>
              </w:rPr>
              <w:t>ADM 1</w:t>
            </w:r>
          </w:p>
        </w:tc>
        <w:tc>
          <w:tcPr>
            <w:tcW w:w="5245" w:type="dxa"/>
          </w:tcPr>
          <w:p w14:paraId="05CA32E2" w14:textId="6BF2668C" w:rsidR="00D72F49" w:rsidRPr="004360E8" w:rsidRDefault="00D72F49" w:rsidP="00796BDB">
            <w:pPr>
              <w:tabs>
                <w:tab w:val="left" w:pos="851"/>
              </w:tabs>
              <w:spacing w:before="0" w:line="240" w:lineRule="atLeast"/>
              <w:jc w:val="right"/>
              <w:rPr>
                <w:b/>
              </w:rPr>
            </w:pPr>
            <w:r w:rsidRPr="004360E8">
              <w:rPr>
                <w:b/>
              </w:rPr>
              <w:t>Document C2</w:t>
            </w:r>
            <w:r w:rsidR="00E4448E" w:rsidRPr="004360E8">
              <w:rPr>
                <w:b/>
              </w:rPr>
              <w:t>6</w:t>
            </w:r>
            <w:r w:rsidRPr="004360E8">
              <w:rPr>
                <w:b/>
              </w:rPr>
              <w:t>/</w:t>
            </w:r>
            <w:r w:rsidR="00D61FEB" w:rsidRPr="004360E8">
              <w:rPr>
                <w:b/>
              </w:rPr>
              <w:t>80</w:t>
            </w:r>
            <w:r w:rsidRPr="004360E8">
              <w:rPr>
                <w:b/>
              </w:rPr>
              <w:t>-F</w:t>
            </w:r>
          </w:p>
        </w:tc>
      </w:tr>
      <w:tr w:rsidR="00D72F49" w:rsidRPr="004360E8" w14:paraId="3DC7D19F" w14:textId="77777777" w:rsidTr="00796BDB">
        <w:trPr>
          <w:cantSplit/>
        </w:trPr>
        <w:tc>
          <w:tcPr>
            <w:tcW w:w="3969" w:type="dxa"/>
            <w:vMerge/>
          </w:tcPr>
          <w:p w14:paraId="04253B1E" w14:textId="77777777" w:rsidR="00D72F49" w:rsidRPr="004360E8" w:rsidRDefault="00D72F49" w:rsidP="00796BDB">
            <w:pPr>
              <w:tabs>
                <w:tab w:val="left" w:pos="851"/>
              </w:tabs>
              <w:spacing w:line="240" w:lineRule="atLeast"/>
              <w:rPr>
                <w:b/>
              </w:rPr>
            </w:pPr>
          </w:p>
        </w:tc>
        <w:tc>
          <w:tcPr>
            <w:tcW w:w="5245" w:type="dxa"/>
          </w:tcPr>
          <w:p w14:paraId="23598ECB" w14:textId="2368C015" w:rsidR="00D72F49" w:rsidRPr="004360E8" w:rsidRDefault="00D61FEB" w:rsidP="00796BDB">
            <w:pPr>
              <w:tabs>
                <w:tab w:val="left" w:pos="851"/>
              </w:tabs>
              <w:spacing w:before="0"/>
              <w:jc w:val="right"/>
              <w:rPr>
                <w:b/>
              </w:rPr>
            </w:pPr>
            <w:r w:rsidRPr="004360E8">
              <w:rPr>
                <w:b/>
                <w:bCs/>
                <w:color w:val="000000"/>
              </w:rPr>
              <w:t>14</w:t>
            </w:r>
            <w:r w:rsidR="00952C01" w:rsidRPr="004360E8">
              <w:rPr>
                <w:b/>
                <w:bCs/>
                <w:color w:val="000000"/>
              </w:rPr>
              <w:t xml:space="preserve"> </w:t>
            </w:r>
            <w:r w:rsidRPr="004360E8">
              <w:rPr>
                <w:b/>
                <w:bCs/>
                <w:color w:val="000000"/>
              </w:rPr>
              <w:t>avril</w:t>
            </w:r>
            <w:r w:rsidR="00952C01" w:rsidRPr="004360E8">
              <w:rPr>
                <w:b/>
                <w:bCs/>
                <w:color w:val="000000"/>
              </w:rPr>
              <w:t xml:space="preserve"> 2026</w:t>
            </w:r>
          </w:p>
        </w:tc>
      </w:tr>
      <w:tr w:rsidR="00D72F49" w:rsidRPr="004360E8" w14:paraId="7C9E0A8F" w14:textId="77777777" w:rsidTr="00796BDB">
        <w:trPr>
          <w:cantSplit/>
          <w:trHeight w:val="23"/>
        </w:trPr>
        <w:tc>
          <w:tcPr>
            <w:tcW w:w="3969" w:type="dxa"/>
            <w:vMerge/>
          </w:tcPr>
          <w:p w14:paraId="35C18C5E" w14:textId="77777777" w:rsidR="00D72F49" w:rsidRPr="004360E8" w:rsidRDefault="00D72F49" w:rsidP="00796BDB">
            <w:pPr>
              <w:tabs>
                <w:tab w:val="left" w:pos="851"/>
              </w:tabs>
              <w:spacing w:line="240" w:lineRule="atLeast"/>
              <w:rPr>
                <w:b/>
              </w:rPr>
            </w:pPr>
          </w:p>
        </w:tc>
        <w:tc>
          <w:tcPr>
            <w:tcW w:w="5245" w:type="dxa"/>
          </w:tcPr>
          <w:p w14:paraId="5D32B030" w14:textId="1619A456" w:rsidR="00D72F49" w:rsidRPr="004360E8" w:rsidRDefault="00D72F49" w:rsidP="00796BDB">
            <w:pPr>
              <w:tabs>
                <w:tab w:val="left" w:pos="851"/>
              </w:tabs>
              <w:spacing w:before="0" w:line="240" w:lineRule="atLeast"/>
              <w:jc w:val="right"/>
              <w:rPr>
                <w:b/>
              </w:rPr>
            </w:pPr>
            <w:r w:rsidRPr="004360E8">
              <w:rPr>
                <w:b/>
              </w:rPr>
              <w:t>Original:</w:t>
            </w:r>
            <w:r w:rsidR="00D61FEB" w:rsidRPr="004360E8">
              <w:rPr>
                <w:b/>
              </w:rPr>
              <w:t xml:space="preserve"> chinois/anglais</w:t>
            </w:r>
          </w:p>
        </w:tc>
      </w:tr>
      <w:tr w:rsidR="00D72F49" w:rsidRPr="004360E8" w14:paraId="41ED4518" w14:textId="77777777" w:rsidTr="00796BDB">
        <w:trPr>
          <w:cantSplit/>
          <w:trHeight w:val="23"/>
        </w:trPr>
        <w:tc>
          <w:tcPr>
            <w:tcW w:w="3969" w:type="dxa"/>
          </w:tcPr>
          <w:p w14:paraId="56080A15" w14:textId="77777777" w:rsidR="00D72F49" w:rsidRPr="004360E8" w:rsidRDefault="00D72F49" w:rsidP="00796BDB">
            <w:pPr>
              <w:tabs>
                <w:tab w:val="left" w:pos="851"/>
              </w:tabs>
              <w:spacing w:line="240" w:lineRule="atLeast"/>
              <w:rPr>
                <w:b/>
              </w:rPr>
            </w:pPr>
          </w:p>
        </w:tc>
        <w:tc>
          <w:tcPr>
            <w:tcW w:w="5245" w:type="dxa"/>
          </w:tcPr>
          <w:p w14:paraId="0D77A478" w14:textId="77777777" w:rsidR="00D72F49" w:rsidRPr="004360E8" w:rsidRDefault="00D72F49" w:rsidP="00796BDB">
            <w:pPr>
              <w:tabs>
                <w:tab w:val="left" w:pos="851"/>
              </w:tabs>
              <w:spacing w:before="0" w:line="240" w:lineRule="atLeast"/>
              <w:jc w:val="right"/>
              <w:rPr>
                <w:b/>
              </w:rPr>
            </w:pPr>
          </w:p>
        </w:tc>
      </w:tr>
      <w:tr w:rsidR="00D72F49" w:rsidRPr="004360E8" w14:paraId="497DAB0E" w14:textId="77777777" w:rsidTr="00796BDB">
        <w:trPr>
          <w:cantSplit/>
        </w:trPr>
        <w:tc>
          <w:tcPr>
            <w:tcW w:w="9214" w:type="dxa"/>
            <w:gridSpan w:val="2"/>
            <w:tcMar>
              <w:left w:w="0" w:type="dxa"/>
            </w:tcMar>
          </w:tcPr>
          <w:p w14:paraId="468077B8" w14:textId="1BE4E07A" w:rsidR="00D72F49" w:rsidRPr="004360E8" w:rsidRDefault="00952C01" w:rsidP="00796BDB">
            <w:pPr>
              <w:pStyle w:val="Source"/>
              <w:jc w:val="left"/>
              <w:rPr>
                <w:rFonts w:cstheme="minorHAnsi"/>
                <w:bCs/>
                <w:color w:val="000000"/>
                <w:sz w:val="34"/>
                <w:szCs w:val="34"/>
              </w:rPr>
            </w:pPr>
            <w:r w:rsidRPr="004360E8">
              <w:rPr>
                <w:rFonts w:cstheme="minorHAnsi"/>
                <w:bCs/>
                <w:color w:val="000000"/>
                <w:sz w:val="34"/>
                <w:szCs w:val="34"/>
              </w:rPr>
              <w:t xml:space="preserve">Contribution </w:t>
            </w:r>
            <w:r w:rsidR="00D61FEB" w:rsidRPr="004360E8">
              <w:rPr>
                <w:rFonts w:cstheme="minorHAnsi"/>
                <w:bCs/>
                <w:color w:val="000000"/>
                <w:sz w:val="34"/>
                <w:szCs w:val="34"/>
              </w:rPr>
              <w:t>de la Chine (République populaire de)</w:t>
            </w:r>
            <w:r w:rsidR="00111BF9" w:rsidRPr="004360E8">
              <w:rPr>
                <w:rFonts w:cstheme="minorHAnsi"/>
                <w:bCs/>
                <w:color w:val="000000"/>
                <w:sz w:val="34"/>
                <w:szCs w:val="34"/>
              </w:rPr>
              <w:t xml:space="preserve">, </w:t>
            </w:r>
            <w:r w:rsidR="004360E8" w:rsidRPr="004360E8">
              <w:rPr>
                <w:rFonts w:cstheme="minorHAnsi"/>
                <w:bCs/>
                <w:color w:val="000000"/>
                <w:sz w:val="34"/>
                <w:szCs w:val="34"/>
              </w:rPr>
              <w:t xml:space="preserve">du </w:t>
            </w:r>
            <w:r w:rsidR="00111BF9" w:rsidRPr="004360E8">
              <w:rPr>
                <w:rFonts w:cstheme="minorHAnsi"/>
                <w:bCs/>
                <w:color w:val="000000"/>
                <w:sz w:val="34"/>
                <w:szCs w:val="34"/>
              </w:rPr>
              <w:t xml:space="preserve">Brésil (République fédérative du) et </w:t>
            </w:r>
            <w:r w:rsidR="004360E8" w:rsidRPr="004360E8">
              <w:rPr>
                <w:rFonts w:cstheme="minorHAnsi"/>
                <w:bCs/>
                <w:color w:val="000000"/>
                <w:sz w:val="34"/>
                <w:szCs w:val="34"/>
              </w:rPr>
              <w:t xml:space="preserve">de </w:t>
            </w:r>
            <w:r w:rsidR="00111BF9" w:rsidRPr="004360E8">
              <w:rPr>
                <w:rFonts w:cstheme="minorHAnsi"/>
                <w:bCs/>
                <w:color w:val="000000"/>
                <w:sz w:val="34"/>
                <w:szCs w:val="34"/>
              </w:rPr>
              <w:t>Cuba</w:t>
            </w:r>
          </w:p>
        </w:tc>
      </w:tr>
      <w:tr w:rsidR="00D72F49" w:rsidRPr="004360E8" w14:paraId="373B055B" w14:textId="77777777" w:rsidTr="00796BDB">
        <w:trPr>
          <w:cantSplit/>
        </w:trPr>
        <w:tc>
          <w:tcPr>
            <w:tcW w:w="9214" w:type="dxa"/>
            <w:gridSpan w:val="2"/>
            <w:tcMar>
              <w:left w:w="0" w:type="dxa"/>
            </w:tcMar>
          </w:tcPr>
          <w:p w14:paraId="7518106C" w14:textId="378BEE0B" w:rsidR="00D72F49" w:rsidRPr="004360E8" w:rsidRDefault="00D61FEB" w:rsidP="00796BDB">
            <w:pPr>
              <w:pStyle w:val="Subtitle"/>
              <w:framePr w:hSpace="0" w:wrap="auto" w:hAnchor="text" w:xAlign="left" w:yAlign="inline"/>
              <w:rPr>
                <w:sz w:val="32"/>
                <w:szCs w:val="32"/>
                <w:lang w:val="fr-FR"/>
              </w:rPr>
            </w:pPr>
            <w:r w:rsidRPr="004360E8">
              <w:rPr>
                <w:rFonts w:cstheme="minorHAnsi"/>
                <w:sz w:val="32"/>
                <w:szCs w:val="32"/>
                <w:lang w:val="fr-FR"/>
              </w:rPr>
              <w:t>RECOMMANDATIONS POUR L'AMÉLIORATION DE LA TRANSPARENCE DE LA GESTION FINANCIÈRE DE L'UIT</w:t>
            </w:r>
          </w:p>
        </w:tc>
      </w:tr>
      <w:tr w:rsidR="00D72F49" w:rsidRPr="004360E8" w14:paraId="74D049AE" w14:textId="77777777" w:rsidTr="00796BDB">
        <w:trPr>
          <w:cantSplit/>
        </w:trPr>
        <w:tc>
          <w:tcPr>
            <w:tcW w:w="9214" w:type="dxa"/>
            <w:gridSpan w:val="2"/>
            <w:tcBorders>
              <w:top w:val="single" w:sz="4" w:space="0" w:color="auto"/>
              <w:bottom w:val="single" w:sz="4" w:space="0" w:color="auto"/>
            </w:tcBorders>
            <w:tcMar>
              <w:left w:w="0" w:type="dxa"/>
            </w:tcMar>
          </w:tcPr>
          <w:p w14:paraId="6E49534A" w14:textId="77777777" w:rsidR="00D72F49" w:rsidRPr="004360E8" w:rsidRDefault="00F37FE5" w:rsidP="00796BDB">
            <w:pPr>
              <w:spacing w:before="160"/>
              <w:rPr>
                <w:b/>
                <w:bCs/>
                <w:sz w:val="26"/>
                <w:szCs w:val="26"/>
              </w:rPr>
            </w:pPr>
            <w:r w:rsidRPr="004360E8">
              <w:rPr>
                <w:b/>
                <w:bCs/>
                <w:sz w:val="26"/>
                <w:szCs w:val="26"/>
              </w:rPr>
              <w:t>Objet</w:t>
            </w:r>
          </w:p>
          <w:p w14:paraId="0E0D38EB" w14:textId="6983A5E2" w:rsidR="00D72F49" w:rsidRPr="004360E8" w:rsidRDefault="00D61FEB" w:rsidP="00796BDB">
            <w:r w:rsidRPr="004360E8">
              <w:t>La transparence de la gestion financière et l'affection efficace des ressources sont indispensables pour atteindre les objectifs stratégiques de l'UIT et renforcer la confiance des membres. Au moment où la session de 2026 de la Conférence de plénipotentiaires (PP-26) s'apprête à définir les orientations du prochain cycle quadriennal en matière de gestion financière, la présente contribution propose des recommandations concrètes s'inspirant des discussions intervenues dans le cadre du Conseil et de son Groupe de travail sur les ressources financières et les ressources humaines (GTC-FHR) depuis 2023</w:t>
            </w:r>
            <w:r w:rsidR="00952C01" w:rsidRPr="004360E8">
              <w:t>.</w:t>
            </w:r>
          </w:p>
          <w:p w14:paraId="2C4D4CBD" w14:textId="77777777" w:rsidR="00D72F49" w:rsidRPr="004360E8" w:rsidRDefault="00D72F49" w:rsidP="00796BDB">
            <w:pPr>
              <w:spacing w:before="160"/>
              <w:rPr>
                <w:b/>
                <w:bCs/>
                <w:sz w:val="26"/>
                <w:szCs w:val="26"/>
              </w:rPr>
            </w:pPr>
            <w:r w:rsidRPr="004360E8">
              <w:rPr>
                <w:b/>
                <w:bCs/>
                <w:sz w:val="26"/>
                <w:szCs w:val="26"/>
              </w:rPr>
              <w:t>Suite à donner par le Conseil</w:t>
            </w:r>
          </w:p>
          <w:p w14:paraId="2C85BF6F" w14:textId="46B76E4D" w:rsidR="00D72F49" w:rsidRPr="004360E8" w:rsidRDefault="00D61FEB" w:rsidP="00796BDB">
            <w:r w:rsidRPr="004360E8">
              <w:t xml:space="preserve">Le Conseil est invité à </w:t>
            </w:r>
            <w:r w:rsidRPr="004360E8">
              <w:rPr>
                <w:b/>
                <w:bCs/>
              </w:rPr>
              <w:t>examiner</w:t>
            </w:r>
            <w:r w:rsidRPr="004360E8">
              <w:t xml:space="preserve"> les recommandations figurant dans la présente contribution et à prendre les mesures nécessaires</w:t>
            </w:r>
            <w:r w:rsidR="00952C01" w:rsidRPr="004360E8">
              <w:t>.</w:t>
            </w:r>
          </w:p>
          <w:p w14:paraId="631EF3F9" w14:textId="77777777" w:rsidR="00D72F49" w:rsidRPr="004360E8" w:rsidRDefault="00D72F49" w:rsidP="00796BDB">
            <w:pPr>
              <w:spacing w:before="160"/>
              <w:rPr>
                <w:caps/>
                <w:sz w:val="22"/>
              </w:rPr>
            </w:pPr>
            <w:r w:rsidRPr="004360E8">
              <w:rPr>
                <w:sz w:val="22"/>
              </w:rPr>
              <w:t>__________________</w:t>
            </w:r>
          </w:p>
          <w:p w14:paraId="358289E0" w14:textId="77777777" w:rsidR="00D72F49" w:rsidRPr="004360E8" w:rsidRDefault="00D72F49" w:rsidP="00796BDB">
            <w:pPr>
              <w:spacing w:before="160"/>
              <w:rPr>
                <w:b/>
                <w:bCs/>
                <w:sz w:val="26"/>
                <w:szCs w:val="26"/>
              </w:rPr>
            </w:pPr>
            <w:r w:rsidRPr="004360E8">
              <w:rPr>
                <w:b/>
                <w:bCs/>
                <w:sz w:val="26"/>
                <w:szCs w:val="26"/>
              </w:rPr>
              <w:t>Références</w:t>
            </w:r>
          </w:p>
          <w:p w14:paraId="6BF017DC" w14:textId="53C26C3E" w:rsidR="00D72F49" w:rsidRPr="004360E8" w:rsidRDefault="004B0FBE" w:rsidP="00C40FAA">
            <w:pPr>
              <w:pStyle w:val="Referencetext"/>
              <w:framePr w:hSpace="0" w:wrap="auto" w:vAnchor="margin" w:hAnchor="text" w:xAlign="left" w:yAlign="inline"/>
              <w:rPr>
                <w:sz w:val="24"/>
                <w:szCs w:val="24"/>
              </w:rPr>
            </w:pPr>
            <w:hyperlink r:id="rId7" w:history="1">
              <w:r w:rsidRPr="004360E8">
                <w:rPr>
                  <w:rStyle w:val="Hyperlink"/>
                  <w:sz w:val="24"/>
                  <w:szCs w:val="24"/>
                </w:rPr>
                <w:t>Article 28</w:t>
              </w:r>
            </w:hyperlink>
            <w:r w:rsidRPr="004360E8">
              <w:rPr>
                <w:sz w:val="24"/>
                <w:szCs w:val="24"/>
              </w:rPr>
              <w:t xml:space="preserve"> de la Constitution</w:t>
            </w:r>
            <w:r w:rsidR="00D61FEB" w:rsidRPr="004360E8">
              <w:rPr>
                <w:sz w:val="24"/>
                <w:szCs w:val="24"/>
              </w:rPr>
              <w:t xml:space="preserve">, </w:t>
            </w:r>
            <w:r w:rsidR="002D06D3" w:rsidRPr="004360E8">
              <w:rPr>
                <w:rStyle w:val="Hyperlink"/>
                <w:sz w:val="24"/>
                <w:szCs w:val="24"/>
              </w:rPr>
              <w:t>num</w:t>
            </w:r>
            <w:r w:rsidR="00D61FEB" w:rsidRPr="004360E8">
              <w:rPr>
                <w:rStyle w:val="Hyperlink"/>
                <w:sz w:val="24"/>
                <w:szCs w:val="24"/>
              </w:rPr>
              <w:t>éro 63</w:t>
            </w:r>
            <w:r w:rsidR="00D61FEB" w:rsidRPr="004360E8">
              <w:rPr>
                <w:sz w:val="24"/>
                <w:szCs w:val="24"/>
              </w:rPr>
              <w:t xml:space="preserve"> </w:t>
            </w:r>
            <w:r w:rsidR="002D06D3" w:rsidRPr="004360E8">
              <w:rPr>
                <w:sz w:val="24"/>
                <w:szCs w:val="24"/>
              </w:rPr>
              <w:t>de la</w:t>
            </w:r>
            <w:r w:rsidR="00D61FEB" w:rsidRPr="004360E8">
              <w:rPr>
                <w:sz w:val="24"/>
                <w:szCs w:val="24"/>
              </w:rPr>
              <w:t xml:space="preserve"> Convention, </w:t>
            </w:r>
            <w:hyperlink r:id="rId8" w:history="1">
              <w:r w:rsidR="00D61FEB" w:rsidRPr="004360E8">
                <w:rPr>
                  <w:rStyle w:val="Hyperlink"/>
                  <w:sz w:val="24"/>
                  <w:szCs w:val="24"/>
                </w:rPr>
                <w:t>Décision 5</w:t>
              </w:r>
            </w:hyperlink>
            <w:r w:rsidR="00D61FEB" w:rsidRPr="004360E8">
              <w:rPr>
                <w:sz w:val="24"/>
                <w:szCs w:val="24"/>
              </w:rPr>
              <w:t xml:space="preserve"> (Rév. Bucarest, 2022), </w:t>
            </w:r>
            <w:hyperlink r:id="rId9" w:history="1">
              <w:r w:rsidR="00D61FEB" w:rsidRPr="004360E8">
                <w:rPr>
                  <w:rStyle w:val="Hyperlink"/>
                  <w:sz w:val="24"/>
                  <w:szCs w:val="24"/>
                </w:rPr>
                <w:t>Résolutions</w:t>
              </w:r>
              <w:r w:rsidR="00D61FEB" w:rsidRPr="004360E8">
                <w:rPr>
                  <w:rStyle w:val="Hyperlink"/>
                  <w:rFonts w:eastAsia="Times New Roman" w:cs="Times New Roman"/>
                  <w:sz w:val="24"/>
                  <w:szCs w:val="24"/>
                </w:rPr>
                <w:t xml:space="preserve"> </w:t>
              </w:r>
              <w:r w:rsidR="00D61FEB" w:rsidRPr="004360E8">
                <w:rPr>
                  <w:rStyle w:val="Hyperlink"/>
                  <w:sz w:val="24"/>
                  <w:szCs w:val="24"/>
                </w:rPr>
                <w:t>94</w:t>
              </w:r>
            </w:hyperlink>
            <w:r w:rsidR="00D61FEB" w:rsidRPr="004360E8">
              <w:rPr>
                <w:rFonts w:eastAsiaTheme="minorHAnsi" w:cstheme="minorBidi"/>
                <w:sz w:val="24"/>
                <w:szCs w:val="24"/>
              </w:rPr>
              <w:t xml:space="preserve"> </w:t>
            </w:r>
            <w:r w:rsidR="00D61FEB" w:rsidRPr="004360E8">
              <w:rPr>
                <w:sz w:val="24"/>
                <w:szCs w:val="24"/>
              </w:rPr>
              <w:t xml:space="preserve">(Rév. Bucarest, 2022), </w:t>
            </w:r>
            <w:hyperlink r:id="rId10" w:history="1">
              <w:r w:rsidR="00D61FEB" w:rsidRPr="004360E8">
                <w:rPr>
                  <w:rStyle w:val="Hyperlink"/>
                  <w:sz w:val="24"/>
                  <w:szCs w:val="24"/>
                </w:rPr>
                <w:t>151</w:t>
              </w:r>
            </w:hyperlink>
            <w:r w:rsidR="00D61FEB" w:rsidRPr="004360E8">
              <w:rPr>
                <w:sz w:val="24"/>
                <w:szCs w:val="24"/>
              </w:rPr>
              <w:t xml:space="preserve"> (Rév. Bucarest, 2022), </w:t>
            </w:r>
            <w:hyperlink r:id="rId11" w:history="1">
              <w:r w:rsidRPr="004360E8">
                <w:rPr>
                  <w:rStyle w:val="Hyperlink"/>
                  <w:sz w:val="24"/>
                  <w:szCs w:val="28"/>
                </w:rPr>
                <w:t>158</w:t>
              </w:r>
            </w:hyperlink>
            <w:r w:rsidRPr="004360E8">
              <w:rPr>
                <w:sz w:val="24"/>
                <w:szCs w:val="24"/>
              </w:rPr>
              <w:t xml:space="preserve"> (Rév. Busan, 2014)</w:t>
            </w:r>
            <w:r w:rsidR="00D61FEB" w:rsidRPr="004360E8">
              <w:rPr>
                <w:sz w:val="24"/>
                <w:szCs w:val="24"/>
              </w:rPr>
              <w:t xml:space="preserve"> et </w:t>
            </w:r>
            <w:hyperlink r:id="rId12" w:history="1">
              <w:r w:rsidRPr="004360E8">
                <w:rPr>
                  <w:rStyle w:val="Hyperlink"/>
                  <w:sz w:val="24"/>
                  <w:szCs w:val="24"/>
                </w:rPr>
                <w:t>162</w:t>
              </w:r>
            </w:hyperlink>
            <w:r w:rsidRPr="004360E8">
              <w:rPr>
                <w:sz w:val="24"/>
                <w:szCs w:val="24"/>
              </w:rPr>
              <w:t xml:space="preserve"> (Rév. Bucarest, 2022)</w:t>
            </w:r>
            <w:r w:rsidR="00D61FEB" w:rsidRPr="004360E8">
              <w:rPr>
                <w:sz w:val="24"/>
                <w:szCs w:val="24"/>
              </w:rPr>
              <w:t xml:space="preserve"> de la Conférence de plénipotentiaires; </w:t>
            </w:r>
            <w:hyperlink r:id="rId13" w:history="1">
              <w:r w:rsidR="00D61FEB" w:rsidRPr="004360E8">
                <w:rPr>
                  <w:rStyle w:val="Hyperlink"/>
                  <w:rFonts w:cs="Times New Roman"/>
                  <w:sz w:val="24"/>
                  <w:szCs w:val="24"/>
                </w:rPr>
                <w:t>Documents C26/55</w:t>
              </w:r>
            </w:hyperlink>
            <w:r w:rsidR="00D61FEB" w:rsidRPr="004360E8">
              <w:rPr>
                <w:sz w:val="24"/>
                <w:szCs w:val="24"/>
              </w:rPr>
              <w:t xml:space="preserve"> (Point sur</w:t>
            </w:r>
            <w:r w:rsidR="00EC5AD2">
              <w:rPr>
                <w:sz w:val="24"/>
                <w:szCs w:val="24"/>
              </w:rPr>
              <w:t> </w:t>
            </w:r>
            <w:r w:rsidR="00D61FEB" w:rsidRPr="004360E8">
              <w:rPr>
                <w:sz w:val="24"/>
                <w:szCs w:val="24"/>
              </w:rPr>
              <w:t>l'état d'avancement du processus de transformation de l'UIT),</w:t>
            </w:r>
            <w:r w:rsidR="00D61FEB" w:rsidRPr="004360E8">
              <w:rPr>
                <w:rFonts w:eastAsiaTheme="minorHAnsi"/>
                <w:sz w:val="24"/>
                <w:szCs w:val="24"/>
              </w:rPr>
              <w:t xml:space="preserve"> </w:t>
            </w:r>
            <w:hyperlink r:id="rId14" w:history="1">
              <w:r w:rsidR="00D61FEB" w:rsidRPr="004360E8">
                <w:rPr>
                  <w:rStyle w:val="Hyperlink"/>
                  <w:sz w:val="24"/>
                  <w:szCs w:val="24"/>
                </w:rPr>
                <w:t>C26/42</w:t>
              </w:r>
            </w:hyperlink>
            <w:r w:rsidR="00D61FEB" w:rsidRPr="004360E8">
              <w:rPr>
                <w:sz w:val="24"/>
                <w:szCs w:val="24"/>
              </w:rPr>
              <w:t xml:space="preserve"> (Affectation des économies réalisées dans le cadre de l'exécution du budget pour 2025),</w:t>
            </w:r>
            <w:r w:rsidR="00D61FEB" w:rsidRPr="004360E8">
              <w:rPr>
                <w:rFonts w:eastAsiaTheme="minorHAnsi"/>
                <w:sz w:val="24"/>
                <w:szCs w:val="24"/>
              </w:rPr>
              <w:t xml:space="preserve"> </w:t>
            </w:r>
            <w:hyperlink r:id="rId15" w:history="1">
              <w:r w:rsidR="00D61FEB" w:rsidRPr="004360E8">
                <w:rPr>
                  <w:rStyle w:val="Hyperlink"/>
                  <w:sz w:val="24"/>
                  <w:szCs w:val="24"/>
                </w:rPr>
                <w:t>C26/22</w:t>
              </w:r>
            </w:hyperlink>
            <w:r w:rsidR="00D61FEB" w:rsidRPr="004360E8">
              <w:rPr>
                <w:sz w:val="24"/>
                <w:szCs w:val="24"/>
              </w:rPr>
              <w:t xml:space="preserve"> (Quinzième</w:t>
            </w:r>
            <w:r w:rsidR="00C40FAA" w:rsidRPr="004360E8">
              <w:rPr>
                <w:sz w:val="24"/>
                <w:szCs w:val="24"/>
              </w:rPr>
              <w:t> </w:t>
            </w:r>
            <w:r w:rsidR="00D61FEB" w:rsidRPr="004360E8">
              <w:rPr>
                <w:sz w:val="24"/>
                <w:szCs w:val="24"/>
              </w:rPr>
              <w:t>rapport du Comité consultatif indépendant pour les questions de gestion (CCIG)) et</w:t>
            </w:r>
            <w:r w:rsidR="00D61FEB" w:rsidRPr="004360E8">
              <w:rPr>
                <w:rFonts w:eastAsiaTheme="minorHAnsi"/>
                <w:sz w:val="24"/>
                <w:szCs w:val="24"/>
              </w:rPr>
              <w:t xml:space="preserve"> </w:t>
            </w:r>
            <w:hyperlink r:id="rId16" w:history="1">
              <w:r w:rsidR="00D61FEB" w:rsidRPr="004360E8">
                <w:rPr>
                  <w:rStyle w:val="Hyperlink"/>
                  <w:sz w:val="24"/>
                  <w:szCs w:val="24"/>
                </w:rPr>
                <w:t>C25/40</w:t>
              </w:r>
            </w:hyperlink>
            <w:r w:rsidR="00D61FEB" w:rsidRPr="004360E8">
              <w:rPr>
                <w:sz w:val="24"/>
                <w:szCs w:val="24"/>
              </w:rPr>
              <w:t xml:space="preserve"> (Rapport de gestion financière et États financiers vérifiés pour l'exercice 2024) du Conseil; </w:t>
            </w:r>
            <w:r w:rsidR="00C40FAA" w:rsidRPr="004360E8">
              <w:rPr>
                <w:sz w:val="24"/>
                <w:szCs w:val="24"/>
              </w:rPr>
              <w:t>R</w:t>
            </w:r>
            <w:r w:rsidR="00D61FEB" w:rsidRPr="004360E8">
              <w:rPr>
                <w:sz w:val="24"/>
                <w:szCs w:val="24"/>
              </w:rPr>
              <w:t xml:space="preserve">ésumés des discussions pertinentes du Conseil: </w:t>
            </w:r>
            <w:hyperlink r:id="rId17" w:history="1">
              <w:r w:rsidR="00D61FEB" w:rsidRPr="004360E8">
                <w:rPr>
                  <w:rStyle w:val="Hyperlink"/>
                  <w:rFonts w:cs="Times New Roman"/>
                  <w:sz w:val="24"/>
                  <w:szCs w:val="24"/>
                </w:rPr>
                <w:t>Documents C25/105</w:t>
              </w:r>
            </w:hyperlink>
            <w:r w:rsidR="00D61FEB" w:rsidRPr="004360E8">
              <w:rPr>
                <w:sz w:val="24"/>
                <w:szCs w:val="24"/>
              </w:rPr>
              <w:t xml:space="preserve">, </w:t>
            </w:r>
            <w:hyperlink r:id="rId18" w:history="1">
              <w:r w:rsidR="00D61FEB" w:rsidRPr="004360E8">
                <w:rPr>
                  <w:rStyle w:val="Hyperlink"/>
                  <w:sz w:val="24"/>
                  <w:szCs w:val="24"/>
                </w:rPr>
                <w:t>C24/109</w:t>
              </w:r>
            </w:hyperlink>
            <w:r w:rsidR="00D61FEB" w:rsidRPr="004360E8">
              <w:rPr>
                <w:sz w:val="24"/>
                <w:szCs w:val="24"/>
              </w:rPr>
              <w:t xml:space="preserve">, </w:t>
            </w:r>
            <w:hyperlink r:id="rId19" w:history="1">
              <w:r w:rsidR="00D61FEB" w:rsidRPr="004360E8">
                <w:rPr>
                  <w:rStyle w:val="Hyperlink"/>
                  <w:sz w:val="24"/>
                  <w:szCs w:val="24"/>
                </w:rPr>
                <w:t>C23/104</w:t>
              </w:r>
            </w:hyperlink>
            <w:r w:rsidR="00D61FEB" w:rsidRPr="004360E8">
              <w:rPr>
                <w:sz w:val="24"/>
                <w:szCs w:val="24"/>
              </w:rPr>
              <w:t xml:space="preserve">; </w:t>
            </w:r>
            <w:r w:rsidR="00C40FAA" w:rsidRPr="004360E8">
              <w:rPr>
                <w:sz w:val="24"/>
                <w:szCs w:val="24"/>
              </w:rPr>
              <w:t>R</w:t>
            </w:r>
            <w:r w:rsidR="00D61FEB" w:rsidRPr="004360E8">
              <w:rPr>
                <w:sz w:val="24"/>
                <w:szCs w:val="24"/>
              </w:rPr>
              <w:t xml:space="preserve">ésumés des réunions du GTC-FHR: </w:t>
            </w:r>
            <w:hyperlink r:id="rId20" w:history="1">
              <w:r w:rsidR="00D61FEB" w:rsidRPr="004360E8">
                <w:rPr>
                  <w:rStyle w:val="Hyperlink"/>
                  <w:rFonts w:cs="Times New Roman"/>
                  <w:sz w:val="24"/>
                  <w:szCs w:val="24"/>
                </w:rPr>
                <w:t>Documents CWG-FHR-22/36</w:t>
              </w:r>
            </w:hyperlink>
            <w:r w:rsidR="00D61FEB" w:rsidRPr="004360E8">
              <w:rPr>
                <w:sz w:val="24"/>
                <w:szCs w:val="24"/>
              </w:rPr>
              <w:t xml:space="preserve">, </w:t>
            </w:r>
            <w:hyperlink r:id="rId21" w:history="1">
              <w:r w:rsidR="00D61FEB" w:rsidRPr="004360E8">
                <w:rPr>
                  <w:rStyle w:val="Hyperlink"/>
                  <w:sz w:val="24"/>
                  <w:szCs w:val="24"/>
                </w:rPr>
                <w:t>CWG</w:t>
              </w:r>
              <w:r w:rsidR="00C40FAA" w:rsidRPr="004360E8">
                <w:rPr>
                  <w:rStyle w:val="Hyperlink"/>
                  <w:sz w:val="24"/>
                  <w:szCs w:val="24"/>
                </w:rPr>
                <w:noBreakHyphen/>
              </w:r>
              <w:r w:rsidR="00D61FEB" w:rsidRPr="004360E8">
                <w:rPr>
                  <w:rStyle w:val="Hyperlink"/>
                  <w:sz w:val="24"/>
                  <w:szCs w:val="24"/>
                </w:rPr>
                <w:t>FHR</w:t>
              </w:r>
              <w:r w:rsidR="00C40FAA" w:rsidRPr="004360E8">
                <w:rPr>
                  <w:rStyle w:val="Hyperlink"/>
                  <w:sz w:val="24"/>
                  <w:szCs w:val="24"/>
                </w:rPr>
                <w:noBreakHyphen/>
              </w:r>
              <w:r w:rsidR="00D61FEB" w:rsidRPr="004360E8">
                <w:rPr>
                  <w:rStyle w:val="Hyperlink"/>
                  <w:sz w:val="24"/>
                  <w:szCs w:val="24"/>
                </w:rPr>
                <w:t>21/25</w:t>
              </w:r>
            </w:hyperlink>
            <w:r w:rsidR="00D61FEB" w:rsidRPr="004360E8">
              <w:rPr>
                <w:sz w:val="24"/>
                <w:szCs w:val="24"/>
              </w:rPr>
              <w:t>,</w:t>
            </w:r>
            <w:r w:rsidR="00C40FAA" w:rsidRPr="004360E8">
              <w:rPr>
                <w:sz w:val="24"/>
                <w:szCs w:val="24"/>
              </w:rPr>
              <w:t> </w:t>
            </w:r>
            <w:hyperlink r:id="rId22" w:history="1">
              <w:r w:rsidR="00D61FEB" w:rsidRPr="004360E8">
                <w:rPr>
                  <w:rStyle w:val="Hyperlink"/>
                  <w:sz w:val="24"/>
                  <w:szCs w:val="24"/>
                </w:rPr>
                <w:t>CWG</w:t>
              </w:r>
              <w:r w:rsidR="00FC5B91" w:rsidRPr="004360E8">
                <w:rPr>
                  <w:rStyle w:val="Hyperlink"/>
                  <w:sz w:val="24"/>
                  <w:szCs w:val="24"/>
                </w:rPr>
                <w:noBreakHyphen/>
              </w:r>
              <w:r w:rsidR="00D61FEB" w:rsidRPr="004360E8">
                <w:rPr>
                  <w:rStyle w:val="Hyperlink"/>
                  <w:sz w:val="24"/>
                  <w:szCs w:val="24"/>
                </w:rPr>
                <w:t>FHR</w:t>
              </w:r>
              <w:r w:rsidR="00FC5B91" w:rsidRPr="004360E8">
                <w:rPr>
                  <w:rStyle w:val="Hyperlink"/>
                  <w:sz w:val="24"/>
                  <w:szCs w:val="24"/>
                </w:rPr>
                <w:noBreakHyphen/>
              </w:r>
              <w:r w:rsidR="00D61FEB" w:rsidRPr="004360E8">
                <w:rPr>
                  <w:rStyle w:val="Hyperlink"/>
                  <w:sz w:val="24"/>
                  <w:szCs w:val="24"/>
                </w:rPr>
                <w:t>20/32</w:t>
              </w:r>
            </w:hyperlink>
            <w:r w:rsidR="00D61FEB" w:rsidRPr="004360E8">
              <w:rPr>
                <w:sz w:val="24"/>
                <w:szCs w:val="24"/>
              </w:rPr>
              <w:t xml:space="preserve">, </w:t>
            </w:r>
            <w:hyperlink r:id="rId23" w:history="1">
              <w:r w:rsidR="00D61FEB" w:rsidRPr="004360E8">
                <w:rPr>
                  <w:rStyle w:val="Hyperlink"/>
                  <w:sz w:val="24"/>
                  <w:szCs w:val="24"/>
                </w:rPr>
                <w:t>CWG-FHR-19/15</w:t>
              </w:r>
            </w:hyperlink>
            <w:r w:rsidR="00D61FEB" w:rsidRPr="004360E8">
              <w:rPr>
                <w:sz w:val="24"/>
                <w:szCs w:val="24"/>
              </w:rPr>
              <w:t xml:space="preserve">, et </w:t>
            </w:r>
            <w:hyperlink r:id="rId24" w:history="1">
              <w:r w:rsidR="00D61FEB" w:rsidRPr="004360E8">
                <w:rPr>
                  <w:rStyle w:val="Hyperlink"/>
                  <w:sz w:val="24"/>
                  <w:szCs w:val="24"/>
                </w:rPr>
                <w:t>CWG-FHR-17/24</w:t>
              </w:r>
            </w:hyperlink>
          </w:p>
        </w:tc>
      </w:tr>
    </w:tbl>
    <w:p w14:paraId="38FF32B9" w14:textId="77777777" w:rsidR="00A51849" w:rsidRPr="004360E8" w:rsidRDefault="00A51849">
      <w:pPr>
        <w:tabs>
          <w:tab w:val="clear" w:pos="567"/>
          <w:tab w:val="clear" w:pos="1134"/>
          <w:tab w:val="clear" w:pos="1701"/>
          <w:tab w:val="clear" w:pos="2268"/>
          <w:tab w:val="clear" w:pos="2835"/>
        </w:tabs>
        <w:overflowPunct/>
        <w:autoSpaceDE/>
        <w:autoSpaceDN/>
        <w:adjustRightInd/>
        <w:spacing w:before="0"/>
        <w:textAlignment w:val="auto"/>
      </w:pPr>
      <w:r w:rsidRPr="004360E8">
        <w:br w:type="page"/>
      </w:r>
    </w:p>
    <w:p w14:paraId="18FEE168" w14:textId="33A953BF" w:rsidR="00952C01" w:rsidRPr="004360E8" w:rsidRDefault="00D61FEB" w:rsidP="00D61FEB">
      <w:pPr>
        <w:pStyle w:val="Heading1"/>
      </w:pPr>
      <w:r w:rsidRPr="004360E8">
        <w:lastRenderedPageBreak/>
        <w:t>1</w:t>
      </w:r>
      <w:r w:rsidR="00952C01" w:rsidRPr="004360E8">
        <w:tab/>
        <w:t>Introduction</w:t>
      </w:r>
    </w:p>
    <w:p w14:paraId="051A1DDD" w14:textId="4B68FE2C" w:rsidR="00952C01" w:rsidRPr="004360E8" w:rsidRDefault="00D61FEB" w:rsidP="004360E8">
      <w:pPr>
        <w:rPr>
          <w:sz w:val="22"/>
        </w:rPr>
      </w:pPr>
      <w:r w:rsidRPr="004360E8">
        <w:t>En tant qu'institution spécialisée des Nations Unies, l'UIT doit faire face à des contraintes financières strictes. Ces dernières années, avec la hausse des dépenses consacrées à la transformation organisationnelle, au développement institutionnel et à l'expansion fonctionnelle, l'UIT a connu des pressions croissantes dans l'exécution de son budget. D'après le rapport de gestion financière et les états financiers vérifiés pour 2024 (</w:t>
      </w:r>
      <w:hyperlink r:id="rId25" w:history="1">
        <w:r w:rsidRPr="004360E8">
          <w:rPr>
            <w:rStyle w:val="Hyperlink"/>
            <w:rFonts w:eastAsia="Times New Roman" w:cs="Times New Roman"/>
            <w:szCs w:val="20"/>
          </w:rPr>
          <w:t>C25/40</w:t>
        </w:r>
      </w:hyperlink>
      <w:r w:rsidRPr="004360E8">
        <w:t>), l'UIT a enregistré un actif net négatif de 318 millions CHF, soit un accroissement de</w:t>
      </w:r>
      <w:r w:rsidR="00EA7128" w:rsidRPr="004360E8">
        <w:t> </w:t>
      </w:r>
      <w:r w:rsidRPr="004360E8">
        <w:t>60,6</w:t>
      </w:r>
      <w:r w:rsidR="005B2F31" w:rsidRPr="004360E8">
        <w:t> </w:t>
      </w:r>
      <w:r w:rsidRPr="004360E8">
        <w:t>millions CHF du déficit par rapport à 2023. En 2025, l'UIT a enregistré un excédent budgétaire de 10,8 millions CHF. Toutefois, il est indiqué aussi bien dans le rapport de la Secrétaire générale (</w:t>
      </w:r>
      <w:hyperlink r:id="rId26" w:history="1">
        <w:r w:rsidRPr="004360E8">
          <w:rPr>
            <w:rStyle w:val="Hyperlink"/>
            <w:rFonts w:eastAsia="Times New Roman" w:cs="Times New Roman"/>
            <w:szCs w:val="20"/>
          </w:rPr>
          <w:t>C26/42</w:t>
        </w:r>
      </w:hyperlink>
      <w:r w:rsidRPr="004360E8">
        <w:t>) que dans celui du Comité consultatif indépendant pour les questions de gestion (CCIG) (</w:t>
      </w:r>
      <w:hyperlink r:id="rId27" w:history="1">
        <w:r w:rsidRPr="004360E8">
          <w:rPr>
            <w:rStyle w:val="Hyperlink"/>
            <w:rFonts w:eastAsia="Times New Roman" w:cs="Times New Roman"/>
            <w:szCs w:val="20"/>
          </w:rPr>
          <w:t>C26/22</w:t>
        </w:r>
      </w:hyperlink>
      <w:r w:rsidRPr="004360E8">
        <w:t>) que ce résultat s'explique principalement par les recrutements différés et les reports de mise en œuvre, plutôt que des gains d'efficacité structurels, et ne traduit pas non plus une diminution des dépenses de base actuelles de l'Union. Il apparaît en outre que l</w:t>
      </w:r>
      <w:r w:rsidR="00E25FF6" w:rsidRPr="004360E8">
        <w:t>'</w:t>
      </w:r>
      <w:r w:rsidRPr="004360E8">
        <w:t>UIT fait aujourd'hui largement appel à des services externalisés dans des secteurs critiques comme la stratégie et les finances (par exemple, dépenses de 480 000 CHF en 2023 pour engager Ernst &amp; Young en vue de l'établissement d'états financiers conformes aux normes IPSAS, et de 230 000 CHF en 2024 pour confier à Dalberg Group la tâche d'évaluer la structure organisationnelle). Par ailleurs, les renseignements sont limités concernant l'incidence budgétaire des dépenses liées aux contrats d'engagement spéciaux (SSA) et leur incidence sur le niveau des effectifs</w:t>
      </w:r>
      <w:r w:rsidR="00952C01" w:rsidRPr="004360E8">
        <w:t>.</w:t>
      </w:r>
    </w:p>
    <w:p w14:paraId="5CCFA28D" w14:textId="3AC7EAC0" w:rsidR="00D61FEB" w:rsidRPr="004360E8" w:rsidRDefault="00D61FEB" w:rsidP="00D61FEB">
      <w:r w:rsidRPr="004360E8">
        <w:t>Les textes fondamentaux actuels de l'UIT prescrivent de renforcer la transparence de la gestion financière et d'améliorer l'efficacité de l'utilisation des ressources. Conformément à la Résolution 151 (Rév. Bucarest, 2022) de la Conférence de plénipotentiaires, il incombe au Secrétaire général et aux Directeurs des trois Bureaux de continuer d'élaborer un cadre UIT détaillé de présentation des résultats pour appuyer la mise en œuvre des plans stratégique, financier et opérationnels et du budget, de "définir les activités de l'Union, leurs objectifs et les ressources ainsi que les résultats associés", et de "garantir la transparence de l'établissement de rapports en publiant des renseignements détaillés, et notamment tous les coûts encourus lors de l'utilisation ou du déploiement de ressources financières et de ressources humaines (externes ou internes)". La Résolution 158 (Rév. Busan, 2014) du Conseil charge le Conseil "d'étudier la possibilité d'établir des mécanismes permettant d'accroître la stabilité financière de l'Union et de formuler des recommandations à cet</w:t>
      </w:r>
      <w:r w:rsidR="00243EC2" w:rsidRPr="004360E8">
        <w:t> </w:t>
      </w:r>
      <w:r w:rsidRPr="004360E8">
        <w:t>égard".</w:t>
      </w:r>
    </w:p>
    <w:p w14:paraId="1C0E1E87" w14:textId="63AD3E94" w:rsidR="00111BF9" w:rsidRPr="004360E8" w:rsidRDefault="00D61FEB" w:rsidP="00111BF9">
      <w:r w:rsidRPr="004360E8">
        <w:t>Les États Membres font de la transparence de la gestion financière une priorité et invitent à poursuivre les améliorations en matière d'efficacité financière. Ayant mené des discussions approfondies sur cette question depuis 2023, le Conseil et son Groupe de travail sur les ressources financières et les ressources humaines (GTC-FHR) se sont largement accordés à estimer que les ressources limitées de l'UIT devraient être centrées sur ses missions essentielles. La direction a lancé depuis lors une initiative de transformation de la gestion financière pour mieux harmoniser la planification stratégique, financière et opérationnelle. Cependant, à l'heure où l'UIT se restructure et développe son champ d'action, les États</w:t>
      </w:r>
      <w:r w:rsidR="00243EC2" w:rsidRPr="004360E8">
        <w:t> </w:t>
      </w:r>
      <w:r w:rsidRPr="004360E8">
        <w:t xml:space="preserve">Membres souhaitent être informés plus précisément sur trois points fondamentaux: la question de savoir si les activités à fort impact menées actuellement restent alignées sur les missions fondamentales; les effets directs ou indirects, pour les États Membres et les autres </w:t>
      </w:r>
      <w:r w:rsidR="00111BF9" w:rsidRPr="004360E8">
        <w:br w:type="page"/>
      </w:r>
    </w:p>
    <w:p w14:paraId="47FFB60E" w14:textId="560F17BA" w:rsidR="00952C01" w:rsidRPr="004360E8" w:rsidRDefault="00D61FEB" w:rsidP="00D61FEB">
      <w:pPr>
        <w:rPr>
          <w:sz w:val="22"/>
        </w:rPr>
      </w:pPr>
      <w:r w:rsidRPr="004360E8">
        <w:lastRenderedPageBreak/>
        <w:t>catégories de membres, des projets, activités et accords stratégiques représentant une certaine charge financière; et la question de savoir si la situation financière de l'UIT demeure viable en vertu des cadres stratégiques, financiers et opérationnels existants</w:t>
      </w:r>
      <w:r w:rsidR="00952C01" w:rsidRPr="004360E8">
        <w:t>.</w:t>
      </w:r>
    </w:p>
    <w:p w14:paraId="37F80F47" w14:textId="383A0806" w:rsidR="00952C01" w:rsidRPr="004360E8" w:rsidRDefault="00D61FEB" w:rsidP="00952C01">
      <w:pPr>
        <w:pStyle w:val="Heading1"/>
        <w:rPr>
          <w:sz w:val="26"/>
        </w:rPr>
      </w:pPr>
      <w:r w:rsidRPr="004360E8">
        <w:t>2</w:t>
      </w:r>
      <w:r w:rsidR="00952C01" w:rsidRPr="004360E8">
        <w:tab/>
        <w:t>Propositions</w:t>
      </w:r>
    </w:p>
    <w:p w14:paraId="1481D328" w14:textId="77777777" w:rsidR="00D61FEB" w:rsidRPr="004360E8" w:rsidRDefault="00D61FEB" w:rsidP="00243EC2">
      <w:r w:rsidRPr="004360E8">
        <w:t>La gestion financière de l'UIT devrait viser non seulement à atténuer les pressions à court terme, mais aussi à établir un cadre prospectif qui renforce la viabilité financière. En conséquence, nous recommandons que la Secrétaire générale, en étroite coordination avec les Directeurs des trois Bureaux, aide les États Membres à améliorer le suivi des résultats financiers, l'affectation des ressources et la viabilité opérationnelle.</w:t>
      </w:r>
    </w:p>
    <w:p w14:paraId="538E6F1C" w14:textId="11F2F530" w:rsidR="00D61FEB" w:rsidRPr="004360E8" w:rsidRDefault="00D61FEB" w:rsidP="00D61FEB">
      <w:pPr>
        <w:pStyle w:val="enumlev1"/>
      </w:pPr>
      <w:r w:rsidRPr="004360E8">
        <w:t>1)</w:t>
      </w:r>
      <w:r w:rsidRPr="004360E8">
        <w:tab/>
        <w:t>Renforcer l'alignement du budget sur les priorités stratégiques pour garantir que les ressources sont allouées dans l'Union en fonction de l'urgence et de l'importance, en prévoyant un financement suffisant pour les fonctions essentielles.</w:t>
      </w:r>
    </w:p>
    <w:p w14:paraId="1A496D40" w14:textId="30B4ED68" w:rsidR="00D61FEB" w:rsidRPr="004360E8" w:rsidRDefault="00D61FEB" w:rsidP="00D61FEB">
      <w:pPr>
        <w:pStyle w:val="enumlev1"/>
      </w:pPr>
      <w:r w:rsidRPr="004360E8">
        <w:t>2)</w:t>
      </w:r>
      <w:r w:rsidRPr="004360E8">
        <w:tab/>
        <w:t>Améliorer la transparence en ce qui concerne les projets, activités et accords ayant des incidences financières ou stratégiques importantes. Le Secrétariat et les trois Bureaux en évalueront l'alignement sur les fonctions essentielles et tâches prioritaires de l'UIT, et communiqueront leurs évaluations au Conseil sous la forme de contributions pour examen à ses sessions annuelles.</w:t>
      </w:r>
    </w:p>
    <w:p w14:paraId="0DF0EF31" w14:textId="280486C0" w:rsidR="00D61FEB" w:rsidRPr="004360E8" w:rsidRDefault="00D61FEB" w:rsidP="00D61FEB">
      <w:pPr>
        <w:pStyle w:val="enumlev1"/>
      </w:pPr>
      <w:r w:rsidRPr="004360E8">
        <w:t>3)</w:t>
      </w:r>
      <w:r w:rsidRPr="004360E8">
        <w:tab/>
        <w:t>Veiller à ce que les États Membres aient accès à des rapports complets, exacts et à jour en matière d'information financière et de résultats financiers. La création de tout nouveau fonds ou de toute nouvelle réserve devra être conforme aux textes fondamentaux, au Règlement financier et aux Règles financières de l'Union, et être subordonnée à l'approbation du Conseil.</w:t>
      </w:r>
    </w:p>
    <w:p w14:paraId="6CD9CBE9" w14:textId="77777777" w:rsidR="00D61FEB" w:rsidRPr="004360E8" w:rsidRDefault="00D61FEB" w:rsidP="00D61FEB">
      <w:pPr>
        <w:pStyle w:val="enumlev1"/>
      </w:pPr>
      <w:r w:rsidRPr="004360E8">
        <w:t>4)</w:t>
      </w:r>
      <w:r w:rsidRPr="004360E8">
        <w:tab/>
        <w:t>Au moment de lancer de nouvelles activités ou de nouveaux projets financés, même en l'absence d'incidences directes sur le budget annuel, il conviendra de tenir dûment compte des incidences financières indirectes pouvant résulter de l'utilisation des ressources humaines de l'UIT pour ces activités</w:t>
      </w:r>
      <w:r w:rsidR="00952C01" w:rsidRPr="004360E8">
        <w:t>.</w:t>
      </w:r>
    </w:p>
    <w:p w14:paraId="7A70905E" w14:textId="77777777" w:rsidR="00D61FEB" w:rsidRPr="004360E8" w:rsidRDefault="00D61FEB">
      <w:pPr>
        <w:jc w:val="center"/>
      </w:pPr>
      <w:r w:rsidRPr="004360E8">
        <w:t>______________</w:t>
      </w:r>
    </w:p>
    <w:sectPr w:rsidR="00D61FEB" w:rsidRPr="004360E8" w:rsidSect="00D72F49">
      <w:headerReference w:type="even" r:id="rId28"/>
      <w:footerReference w:type="even" r:id="rId29"/>
      <w:footerReference w:type="default" r:id="rId30"/>
      <w:headerReference w:type="first" r:id="rId31"/>
      <w:footerReference w:type="first" r:id="rId3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493F" w14:textId="77777777" w:rsidR="00952C01" w:rsidRDefault="00952C01">
      <w:r>
        <w:separator/>
      </w:r>
    </w:p>
  </w:endnote>
  <w:endnote w:type="continuationSeparator" w:id="0">
    <w:p w14:paraId="3E38DFEF" w14:textId="77777777" w:rsidR="00952C01" w:rsidRDefault="0095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8A39" w14:textId="4F80F871" w:rsidR="00732045" w:rsidRPr="001C15D6" w:rsidRDefault="00271321">
    <w:pPr>
      <w:pStyle w:val="Footer"/>
      <w:rPr>
        <w:lang w:val="en-US"/>
      </w:rPr>
    </w:pPr>
    <w:r>
      <w:fldChar w:fldCharType="begin"/>
    </w:r>
    <w:r w:rsidRPr="001C15D6">
      <w:rPr>
        <w:lang w:val="en-US"/>
      </w:rPr>
      <w:instrText xml:space="preserve"> FILENAME \p \* MERGEFORMAT </w:instrText>
    </w:r>
    <w:r>
      <w:fldChar w:fldCharType="separate"/>
    </w:r>
    <w:r w:rsidR="000F0223">
      <w:rPr>
        <w:lang w:val="en-US"/>
      </w:rPr>
      <w:t>P:\FRA\gDoc\SG\C26\2600905F.docx</w:t>
    </w:r>
    <w:r>
      <w:fldChar w:fldCharType="end"/>
    </w:r>
    <w:r w:rsidR="00732045" w:rsidRPr="001C15D6">
      <w:rPr>
        <w:lang w:val="en-US"/>
      </w:rPr>
      <w:tab/>
    </w:r>
    <w:r w:rsidR="002F1B76">
      <w:fldChar w:fldCharType="begin"/>
    </w:r>
    <w:r w:rsidR="00732045">
      <w:instrText xml:space="preserve"> savedate \@ dd.MM.yy </w:instrText>
    </w:r>
    <w:r w:rsidR="002F1B76">
      <w:fldChar w:fldCharType="separate"/>
    </w:r>
    <w:r w:rsidR="00423E44">
      <w:t>27.04.26</w:t>
    </w:r>
    <w:r w:rsidR="002F1B76">
      <w:fldChar w:fldCharType="end"/>
    </w:r>
    <w:r w:rsidR="00732045" w:rsidRPr="001C15D6">
      <w:rPr>
        <w:lang w:val="en-US"/>
      </w:rPr>
      <w:tab/>
    </w:r>
    <w:r w:rsidR="002F1B76">
      <w:fldChar w:fldCharType="begin"/>
    </w:r>
    <w:r w:rsidR="00732045">
      <w:instrText xml:space="preserve"> printdate \@ dd.MM.yy </w:instrText>
    </w:r>
    <w:r w:rsidR="002F1B76">
      <w:fldChar w:fldCharType="separate"/>
    </w:r>
    <w:r w:rsidR="000F022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E92BA20" w14:textId="77777777" w:rsidTr="00E31DCE">
      <w:trPr>
        <w:jc w:val="center"/>
      </w:trPr>
      <w:tc>
        <w:tcPr>
          <w:tcW w:w="1803" w:type="dxa"/>
          <w:vAlign w:val="center"/>
        </w:tcPr>
        <w:p w14:paraId="50F07A79" w14:textId="1CEB2A67" w:rsidR="00A51849" w:rsidRDefault="00952C01" w:rsidP="00A51849">
          <w:pPr>
            <w:pStyle w:val="Header"/>
            <w:jc w:val="left"/>
            <w:rPr>
              <w:noProof/>
            </w:rPr>
          </w:pPr>
          <w:r>
            <w:rPr>
              <w:noProof/>
            </w:rPr>
            <w:t>26009</w:t>
          </w:r>
          <w:r w:rsidR="00073FB4">
            <w:rPr>
              <w:noProof/>
            </w:rPr>
            <w:t>11</w:t>
          </w:r>
        </w:p>
      </w:tc>
      <w:tc>
        <w:tcPr>
          <w:tcW w:w="8261" w:type="dxa"/>
        </w:tcPr>
        <w:p w14:paraId="349761E1" w14:textId="161AFBD8"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73FB4">
            <w:rPr>
              <w:bCs/>
            </w:rPr>
            <w:t>80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DFB18BE"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C036389" w14:textId="77777777" w:rsidTr="00E31DCE">
      <w:trPr>
        <w:jc w:val="center"/>
      </w:trPr>
      <w:tc>
        <w:tcPr>
          <w:tcW w:w="1803" w:type="dxa"/>
          <w:vAlign w:val="center"/>
        </w:tcPr>
        <w:p w14:paraId="12848A91"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1C48A89" w14:textId="4BAC610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D61FEB">
            <w:rPr>
              <w:bCs/>
            </w:rPr>
            <w:t>80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90E80B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EAC4" w14:textId="77777777" w:rsidR="00952C01" w:rsidRDefault="00952C01">
      <w:r>
        <w:t>____________________</w:t>
      </w:r>
    </w:p>
  </w:footnote>
  <w:footnote w:type="continuationSeparator" w:id="0">
    <w:p w14:paraId="05EC7B09" w14:textId="77777777" w:rsidR="00952C01" w:rsidRDefault="0095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7A7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16242EE"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5D2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118599180">
    <w:abstractNumId w:val="9"/>
  </w:num>
  <w:num w:numId="2" w16cid:durableId="1542858888">
    <w:abstractNumId w:val="7"/>
  </w:num>
  <w:num w:numId="3" w16cid:durableId="2001081472">
    <w:abstractNumId w:val="6"/>
  </w:num>
  <w:num w:numId="4" w16cid:durableId="101075553">
    <w:abstractNumId w:val="5"/>
  </w:num>
  <w:num w:numId="5" w16cid:durableId="989485316">
    <w:abstractNumId w:val="4"/>
  </w:num>
  <w:num w:numId="6" w16cid:durableId="2074428281">
    <w:abstractNumId w:val="8"/>
  </w:num>
  <w:num w:numId="7" w16cid:durableId="2007777742">
    <w:abstractNumId w:val="3"/>
  </w:num>
  <w:num w:numId="8" w16cid:durableId="259723152">
    <w:abstractNumId w:val="2"/>
  </w:num>
  <w:num w:numId="9" w16cid:durableId="728454500">
    <w:abstractNumId w:val="1"/>
  </w:num>
  <w:num w:numId="10" w16cid:durableId="1599169196">
    <w:abstractNumId w:val="0"/>
  </w:num>
  <w:num w:numId="11" w16cid:durableId="1932742334">
    <w:abstractNumId w:val="8"/>
  </w:num>
  <w:num w:numId="12" w16cid:durableId="1217660889">
    <w:abstractNumId w:val="3"/>
  </w:num>
  <w:num w:numId="13" w16cid:durableId="1147236498">
    <w:abstractNumId w:val="2"/>
  </w:num>
  <w:num w:numId="14" w16cid:durableId="1171872489">
    <w:abstractNumId w:val="1"/>
  </w:num>
  <w:num w:numId="15" w16cid:durableId="50844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01"/>
    <w:rsid w:val="0004514B"/>
    <w:rsid w:val="00073FB4"/>
    <w:rsid w:val="0007555B"/>
    <w:rsid w:val="00076A2C"/>
    <w:rsid w:val="000C7057"/>
    <w:rsid w:val="000D0D0A"/>
    <w:rsid w:val="000F0223"/>
    <w:rsid w:val="00103163"/>
    <w:rsid w:val="00106B19"/>
    <w:rsid w:val="00111BF9"/>
    <w:rsid w:val="001133EF"/>
    <w:rsid w:val="00115D93"/>
    <w:rsid w:val="001247A8"/>
    <w:rsid w:val="001342E0"/>
    <w:rsid w:val="001370B2"/>
    <w:rsid w:val="001378C0"/>
    <w:rsid w:val="001658F9"/>
    <w:rsid w:val="0018694A"/>
    <w:rsid w:val="0019129B"/>
    <w:rsid w:val="001A3287"/>
    <w:rsid w:val="001A6508"/>
    <w:rsid w:val="001C15D6"/>
    <w:rsid w:val="001D4C31"/>
    <w:rsid w:val="001E4D21"/>
    <w:rsid w:val="00207CD1"/>
    <w:rsid w:val="00226657"/>
    <w:rsid w:val="00243EC2"/>
    <w:rsid w:val="002477A2"/>
    <w:rsid w:val="00263A51"/>
    <w:rsid w:val="00267E02"/>
    <w:rsid w:val="00271321"/>
    <w:rsid w:val="00277DEA"/>
    <w:rsid w:val="002A5D44"/>
    <w:rsid w:val="002B2A8A"/>
    <w:rsid w:val="002C3F32"/>
    <w:rsid w:val="002C4E3D"/>
    <w:rsid w:val="002D06D3"/>
    <w:rsid w:val="002D2336"/>
    <w:rsid w:val="002E0BC4"/>
    <w:rsid w:val="002F1B76"/>
    <w:rsid w:val="0033568E"/>
    <w:rsid w:val="00355FF5"/>
    <w:rsid w:val="00361350"/>
    <w:rsid w:val="003C3FAE"/>
    <w:rsid w:val="004038CB"/>
    <w:rsid w:val="0040546F"/>
    <w:rsid w:val="00412CE4"/>
    <w:rsid w:val="004177BD"/>
    <w:rsid w:val="00423E44"/>
    <w:rsid w:val="0042404A"/>
    <w:rsid w:val="004360E8"/>
    <w:rsid w:val="0044618F"/>
    <w:rsid w:val="00465C35"/>
    <w:rsid w:val="0046769A"/>
    <w:rsid w:val="00475FB3"/>
    <w:rsid w:val="004B0FBE"/>
    <w:rsid w:val="004C37A9"/>
    <w:rsid w:val="004D1D50"/>
    <w:rsid w:val="004F259E"/>
    <w:rsid w:val="004F633A"/>
    <w:rsid w:val="00504C7F"/>
    <w:rsid w:val="00505C24"/>
    <w:rsid w:val="00511F1D"/>
    <w:rsid w:val="00520F36"/>
    <w:rsid w:val="00524E8D"/>
    <w:rsid w:val="00534E13"/>
    <w:rsid w:val="00540615"/>
    <w:rsid w:val="00540A6D"/>
    <w:rsid w:val="00545136"/>
    <w:rsid w:val="00553536"/>
    <w:rsid w:val="00566679"/>
    <w:rsid w:val="00571EEA"/>
    <w:rsid w:val="00575417"/>
    <w:rsid w:val="005768E1"/>
    <w:rsid w:val="005B1938"/>
    <w:rsid w:val="005B2F31"/>
    <w:rsid w:val="005C3890"/>
    <w:rsid w:val="005F7BFE"/>
    <w:rsid w:val="00600017"/>
    <w:rsid w:val="00602682"/>
    <w:rsid w:val="006235CA"/>
    <w:rsid w:val="0062366E"/>
    <w:rsid w:val="006643AB"/>
    <w:rsid w:val="006A11AE"/>
    <w:rsid w:val="006A748E"/>
    <w:rsid w:val="006B224B"/>
    <w:rsid w:val="006F0A53"/>
    <w:rsid w:val="006F6CF6"/>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2C01"/>
    <w:rsid w:val="00956A78"/>
    <w:rsid w:val="0097363B"/>
    <w:rsid w:val="00973F53"/>
    <w:rsid w:val="0098348E"/>
    <w:rsid w:val="009A6BAA"/>
    <w:rsid w:val="009A76A8"/>
    <w:rsid w:val="009C307F"/>
    <w:rsid w:val="009C353C"/>
    <w:rsid w:val="009D5955"/>
    <w:rsid w:val="009F0FB8"/>
    <w:rsid w:val="009F774C"/>
    <w:rsid w:val="00A01F4F"/>
    <w:rsid w:val="00A109AF"/>
    <w:rsid w:val="00A125FB"/>
    <w:rsid w:val="00A2113E"/>
    <w:rsid w:val="00A23A51"/>
    <w:rsid w:val="00A24607"/>
    <w:rsid w:val="00A25CD3"/>
    <w:rsid w:val="00A47580"/>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52C33"/>
    <w:rsid w:val="00B61619"/>
    <w:rsid w:val="00BB38C1"/>
    <w:rsid w:val="00BB4545"/>
    <w:rsid w:val="00BD5873"/>
    <w:rsid w:val="00BF4B60"/>
    <w:rsid w:val="00C049D7"/>
    <w:rsid w:val="00C04BE3"/>
    <w:rsid w:val="00C25D29"/>
    <w:rsid w:val="00C2625E"/>
    <w:rsid w:val="00C27A7C"/>
    <w:rsid w:val="00C40FAA"/>
    <w:rsid w:val="00C42437"/>
    <w:rsid w:val="00CA08ED"/>
    <w:rsid w:val="00CC6EAA"/>
    <w:rsid w:val="00CE5172"/>
    <w:rsid w:val="00CF0534"/>
    <w:rsid w:val="00CF183B"/>
    <w:rsid w:val="00D147CC"/>
    <w:rsid w:val="00D375CD"/>
    <w:rsid w:val="00D37B53"/>
    <w:rsid w:val="00D553A2"/>
    <w:rsid w:val="00D61FEB"/>
    <w:rsid w:val="00D72F1B"/>
    <w:rsid w:val="00D72F49"/>
    <w:rsid w:val="00D774D3"/>
    <w:rsid w:val="00D904E8"/>
    <w:rsid w:val="00DA08C3"/>
    <w:rsid w:val="00DB5A3E"/>
    <w:rsid w:val="00DC22AA"/>
    <w:rsid w:val="00DD1A99"/>
    <w:rsid w:val="00DE62C6"/>
    <w:rsid w:val="00DF74DD"/>
    <w:rsid w:val="00E25AD0"/>
    <w:rsid w:val="00E25FF6"/>
    <w:rsid w:val="00E4428F"/>
    <w:rsid w:val="00E4448E"/>
    <w:rsid w:val="00E47427"/>
    <w:rsid w:val="00E93668"/>
    <w:rsid w:val="00E95647"/>
    <w:rsid w:val="00EA7128"/>
    <w:rsid w:val="00EB6350"/>
    <w:rsid w:val="00EC5AD2"/>
    <w:rsid w:val="00ED799B"/>
    <w:rsid w:val="00F15B57"/>
    <w:rsid w:val="00F35EF4"/>
    <w:rsid w:val="00F373AD"/>
    <w:rsid w:val="00F37FE5"/>
    <w:rsid w:val="00F427DB"/>
    <w:rsid w:val="00FA5EB1"/>
    <w:rsid w:val="00FA7439"/>
    <w:rsid w:val="00FC4EC0"/>
    <w:rsid w:val="00FC5B91"/>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0EB57"/>
  <w15:docId w15:val="{EABBBB12-5870-48DD-84BB-F2304640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0055/fr" TargetMode="External"/><Relationship Id="rId18" Type="http://schemas.openxmlformats.org/officeDocument/2006/relationships/hyperlink" Target="https://www.itu.int/md/S24-CL-C-0109/fr" TargetMode="External"/><Relationship Id="rId26" Type="http://schemas.openxmlformats.org/officeDocument/2006/relationships/hyperlink" Target="https://www.itu.int/md/S26-CL-C-0042/fr" TargetMode="External"/><Relationship Id="rId3" Type="http://schemas.openxmlformats.org/officeDocument/2006/relationships/settings" Target="settings.xml"/><Relationship Id="rId21" Type="http://schemas.openxmlformats.org/officeDocument/2006/relationships/hyperlink" Target="https://www.itu.int/md/S25-CWGFHR21-C-0025/fr" TargetMode="External"/><Relationship Id="rId34" Type="http://schemas.openxmlformats.org/officeDocument/2006/relationships/theme" Target="theme/theme1.xml"/><Relationship Id="rId7" Type="http://schemas.openxmlformats.org/officeDocument/2006/relationships/hyperlink" Target="https://www.itu.int/en/council/Documents/basic-texts/Constitution-F.pdf" TargetMode="External"/><Relationship Id="rId12" Type="http://schemas.openxmlformats.org/officeDocument/2006/relationships/hyperlink" Target="https://www.itu.int/en/council/Documents/basic-texts-2023/RES-162-F.pdf" TargetMode="External"/><Relationship Id="rId17" Type="http://schemas.openxmlformats.org/officeDocument/2006/relationships/hyperlink" Target="https://www.itu.int/md/S25-CL-C-0105/fr" TargetMode="External"/><Relationship Id="rId25" Type="http://schemas.openxmlformats.org/officeDocument/2006/relationships/hyperlink" Target="https://www.itu.int/md/S25-CL-C-0040/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md/S25-CL-C-0040/fr" TargetMode="External"/><Relationship Id="rId20" Type="http://schemas.openxmlformats.org/officeDocument/2006/relationships/hyperlink" Target="https://www.itu.int/md/S26-CWGFHR22-C-0036/f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2023/RES-158-F.pdf" TargetMode="External"/><Relationship Id="rId24" Type="http://schemas.openxmlformats.org/officeDocument/2006/relationships/hyperlink" Target="https://www.itu.int/md/S24-CWGFHR17-C-0024/fr"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u.int/md/S26-CL-C-0022/fr" TargetMode="External"/><Relationship Id="rId23" Type="http://schemas.openxmlformats.org/officeDocument/2006/relationships/hyperlink" Target="https://www.itu.int/md/S24-CWGFHR19-C-0015/fr" TargetMode="External"/><Relationship Id="rId28" Type="http://schemas.openxmlformats.org/officeDocument/2006/relationships/header" Target="header1.xml"/><Relationship Id="rId10" Type="http://schemas.openxmlformats.org/officeDocument/2006/relationships/hyperlink" Target="https://www.itu.int/en/council/Documents/basic-texts-2023/RES-151-F.pdf" TargetMode="External"/><Relationship Id="rId19" Type="http://schemas.openxmlformats.org/officeDocument/2006/relationships/hyperlink" Target="https://www.itu.int/md/S23-CL-C-0104/f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en/council/Documents/basic-texts-2023/RES-094-F.pdf" TargetMode="External"/><Relationship Id="rId14" Type="http://schemas.openxmlformats.org/officeDocument/2006/relationships/hyperlink" Target="https://www.itu.int/md/S26-CL-C-0042/fr" TargetMode="External"/><Relationship Id="rId22" Type="http://schemas.openxmlformats.org/officeDocument/2006/relationships/hyperlink" Target="https://www.itu.int/md/S25-CWGFHR20-C-0032/fr" TargetMode="External"/><Relationship Id="rId27" Type="http://schemas.openxmlformats.org/officeDocument/2006/relationships/hyperlink" Target="https://www.itu.int/md/S26-CL-C-0022/fr" TargetMode="External"/><Relationship Id="rId30" Type="http://schemas.openxmlformats.org/officeDocument/2006/relationships/footer" Target="footer2.xml"/><Relationship Id="rId8" Type="http://schemas.openxmlformats.org/officeDocument/2006/relationships/hyperlink" Target="https://www.itu.int/en/council/Documents/basic-texts-2023/DEC-005-F.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1</TotalTime>
  <Pages>3</Pages>
  <Words>1230</Words>
  <Characters>7891</Characters>
  <Application>Microsoft Office Word</Application>
  <DocSecurity>0</DocSecurity>
  <Lines>102</Lines>
  <Paragraphs>116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9005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multipays - Recommandations pour l'amélioration de la transparence de la gestion financière de l'UIT</dc:title>
  <dc:subject>Conseil 2026 de l'UIT</dc:subject>
  <dc:creator>GBS</dc:creator>
  <cp:keywords>C26; C2026; Council 2026; PP26</cp:keywords>
  <dc:description/>
  <cp:lastModifiedBy>GBS</cp:lastModifiedBy>
  <cp:revision>2</cp:revision>
  <cp:lastPrinted>2000-07-18T08:55:00Z</cp:lastPrinted>
  <dcterms:created xsi:type="dcterms:W3CDTF">2026-04-27T18:53:00Z</dcterms:created>
  <dcterms:modified xsi:type="dcterms:W3CDTF">2026-04-27T18:53:00Z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