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13840" w14:paraId="33984A52" w14:textId="77777777" w:rsidTr="00954C49">
        <w:trPr>
          <w:cantSplit/>
          <w:trHeight w:val="23"/>
        </w:trPr>
        <w:tc>
          <w:tcPr>
            <w:tcW w:w="3969" w:type="dxa"/>
            <w:vMerge w:val="restart"/>
            <w:tcMar>
              <w:left w:w="0" w:type="dxa"/>
            </w:tcMar>
          </w:tcPr>
          <w:p w14:paraId="7B3EDC5A" w14:textId="1B839E8A" w:rsidR="00AD3606" w:rsidRPr="00C13840"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13840">
              <w:rPr>
                <w:b/>
              </w:rPr>
              <w:t xml:space="preserve">Agenda item: </w:t>
            </w:r>
            <w:r w:rsidR="00057CE7">
              <w:rPr>
                <w:b/>
              </w:rPr>
              <w:t>ADM 1</w:t>
            </w:r>
          </w:p>
        </w:tc>
        <w:tc>
          <w:tcPr>
            <w:tcW w:w="5245" w:type="dxa"/>
          </w:tcPr>
          <w:p w14:paraId="35986CF2" w14:textId="7FD2C808" w:rsidR="00AD3606" w:rsidRPr="00C13840" w:rsidRDefault="00AD3606" w:rsidP="00954C49">
            <w:pPr>
              <w:tabs>
                <w:tab w:val="left" w:pos="851"/>
              </w:tabs>
              <w:spacing w:before="0" w:line="240" w:lineRule="atLeast"/>
              <w:jc w:val="right"/>
              <w:rPr>
                <w:b/>
              </w:rPr>
            </w:pPr>
            <w:r w:rsidRPr="00C13840">
              <w:rPr>
                <w:b/>
              </w:rPr>
              <w:t>Document C2</w:t>
            </w:r>
            <w:r w:rsidR="00DE532B" w:rsidRPr="00C13840">
              <w:rPr>
                <w:b/>
              </w:rPr>
              <w:t>6</w:t>
            </w:r>
            <w:r w:rsidRPr="00C13840">
              <w:rPr>
                <w:b/>
              </w:rPr>
              <w:t>/</w:t>
            </w:r>
            <w:r w:rsidR="00F87149" w:rsidRPr="00C13840">
              <w:rPr>
                <w:b/>
              </w:rPr>
              <w:t>80</w:t>
            </w:r>
            <w:r w:rsidRPr="00C13840">
              <w:rPr>
                <w:b/>
              </w:rPr>
              <w:t>-E</w:t>
            </w:r>
          </w:p>
        </w:tc>
      </w:tr>
      <w:tr w:rsidR="00AD3606" w:rsidRPr="00C13840" w14:paraId="3CF03AAD" w14:textId="77777777" w:rsidTr="00954C49">
        <w:trPr>
          <w:cantSplit/>
        </w:trPr>
        <w:tc>
          <w:tcPr>
            <w:tcW w:w="3969" w:type="dxa"/>
            <w:vMerge/>
          </w:tcPr>
          <w:p w14:paraId="7467ED6C" w14:textId="77777777" w:rsidR="00AD3606" w:rsidRPr="00C13840" w:rsidRDefault="00AD3606" w:rsidP="00954C49">
            <w:pPr>
              <w:tabs>
                <w:tab w:val="left" w:pos="851"/>
              </w:tabs>
              <w:spacing w:line="240" w:lineRule="atLeast"/>
              <w:rPr>
                <w:b/>
              </w:rPr>
            </w:pPr>
            <w:bookmarkStart w:id="6" w:name="ddate" w:colFirst="1" w:colLast="1"/>
            <w:bookmarkEnd w:id="0"/>
            <w:bookmarkEnd w:id="1"/>
          </w:p>
        </w:tc>
        <w:tc>
          <w:tcPr>
            <w:tcW w:w="5245" w:type="dxa"/>
          </w:tcPr>
          <w:p w14:paraId="520C4CEE" w14:textId="13A05E7D" w:rsidR="00AD3606" w:rsidRPr="00C13840" w:rsidRDefault="00F87149" w:rsidP="00954C49">
            <w:pPr>
              <w:tabs>
                <w:tab w:val="left" w:pos="851"/>
              </w:tabs>
              <w:spacing w:before="0"/>
              <w:jc w:val="right"/>
              <w:rPr>
                <w:b/>
              </w:rPr>
            </w:pPr>
            <w:r w:rsidRPr="00C13840">
              <w:rPr>
                <w:b/>
              </w:rPr>
              <w:t>14 April 2026</w:t>
            </w:r>
          </w:p>
        </w:tc>
      </w:tr>
      <w:tr w:rsidR="00AD3606" w:rsidRPr="00C13840" w14:paraId="647F4C7A" w14:textId="77777777" w:rsidTr="00954C49">
        <w:trPr>
          <w:cantSplit/>
          <w:trHeight w:val="23"/>
        </w:trPr>
        <w:tc>
          <w:tcPr>
            <w:tcW w:w="3969" w:type="dxa"/>
            <w:vMerge/>
          </w:tcPr>
          <w:p w14:paraId="6707CE1F" w14:textId="77777777" w:rsidR="00AD3606" w:rsidRPr="00C13840" w:rsidRDefault="00AD3606" w:rsidP="00954C49">
            <w:pPr>
              <w:tabs>
                <w:tab w:val="left" w:pos="851"/>
              </w:tabs>
              <w:spacing w:line="240" w:lineRule="atLeast"/>
              <w:rPr>
                <w:b/>
              </w:rPr>
            </w:pPr>
            <w:bookmarkStart w:id="7" w:name="dorlang" w:colFirst="1" w:colLast="1"/>
            <w:bookmarkEnd w:id="6"/>
          </w:p>
        </w:tc>
        <w:tc>
          <w:tcPr>
            <w:tcW w:w="5245" w:type="dxa"/>
          </w:tcPr>
          <w:p w14:paraId="317B5BD8" w14:textId="5F8DE14A" w:rsidR="00AD3606" w:rsidRPr="00C13840" w:rsidRDefault="00AD3606" w:rsidP="00954C49">
            <w:pPr>
              <w:tabs>
                <w:tab w:val="left" w:pos="851"/>
              </w:tabs>
              <w:spacing w:before="0" w:line="240" w:lineRule="atLeast"/>
              <w:jc w:val="right"/>
              <w:rPr>
                <w:b/>
              </w:rPr>
            </w:pPr>
            <w:r w:rsidRPr="00C13840">
              <w:rPr>
                <w:b/>
              </w:rPr>
              <w:t xml:space="preserve">Original: </w:t>
            </w:r>
            <w:r w:rsidR="00F87149" w:rsidRPr="00C13840">
              <w:rPr>
                <w:b/>
              </w:rPr>
              <w:t>Chinese/</w:t>
            </w:r>
            <w:r w:rsidRPr="00C13840">
              <w:rPr>
                <w:b/>
              </w:rPr>
              <w:t>English</w:t>
            </w:r>
          </w:p>
        </w:tc>
      </w:tr>
      <w:tr w:rsidR="00472BAD" w:rsidRPr="00C13840" w14:paraId="1A0DF624" w14:textId="77777777" w:rsidTr="00954C49">
        <w:trPr>
          <w:cantSplit/>
          <w:trHeight w:val="23"/>
        </w:trPr>
        <w:tc>
          <w:tcPr>
            <w:tcW w:w="3969" w:type="dxa"/>
          </w:tcPr>
          <w:p w14:paraId="02A5CA74" w14:textId="77777777" w:rsidR="00472BAD" w:rsidRPr="00C13840" w:rsidRDefault="00472BAD" w:rsidP="00954C49">
            <w:pPr>
              <w:tabs>
                <w:tab w:val="left" w:pos="851"/>
              </w:tabs>
              <w:spacing w:line="240" w:lineRule="atLeast"/>
              <w:rPr>
                <w:b/>
              </w:rPr>
            </w:pPr>
          </w:p>
        </w:tc>
        <w:tc>
          <w:tcPr>
            <w:tcW w:w="5245" w:type="dxa"/>
          </w:tcPr>
          <w:p w14:paraId="2D54675C" w14:textId="77777777" w:rsidR="00472BAD" w:rsidRPr="00C13840" w:rsidRDefault="00472BAD" w:rsidP="00954C49">
            <w:pPr>
              <w:tabs>
                <w:tab w:val="left" w:pos="851"/>
              </w:tabs>
              <w:spacing w:before="0" w:line="240" w:lineRule="atLeast"/>
              <w:jc w:val="right"/>
              <w:rPr>
                <w:b/>
              </w:rPr>
            </w:pPr>
          </w:p>
        </w:tc>
      </w:tr>
      <w:tr w:rsidR="00AD3606" w:rsidRPr="00C13840" w14:paraId="6D437DFB" w14:textId="77777777" w:rsidTr="00954C49">
        <w:trPr>
          <w:cantSplit/>
        </w:trPr>
        <w:tc>
          <w:tcPr>
            <w:tcW w:w="9214" w:type="dxa"/>
            <w:gridSpan w:val="2"/>
            <w:tcMar>
              <w:left w:w="0" w:type="dxa"/>
            </w:tcMar>
          </w:tcPr>
          <w:p w14:paraId="24A872A9" w14:textId="6F14ED20" w:rsidR="00AD3606" w:rsidRPr="00C13840" w:rsidRDefault="003845D3" w:rsidP="00954C49">
            <w:pPr>
              <w:pStyle w:val="Source"/>
              <w:framePr w:hSpace="0" w:wrap="auto" w:vAnchor="margin" w:hAnchor="text" w:yAlign="inline"/>
            </w:pPr>
            <w:bookmarkStart w:id="8" w:name="dsource" w:colFirst="0" w:colLast="0"/>
            <w:bookmarkEnd w:id="7"/>
            <w:r w:rsidRPr="00C13840">
              <w:t xml:space="preserve">Contribution by </w:t>
            </w:r>
            <w:r w:rsidR="00751448" w:rsidRPr="00C13840">
              <w:t>China (People’s Republic of)</w:t>
            </w:r>
            <w:r w:rsidR="00695D2A">
              <w:t xml:space="preserve">, </w:t>
            </w:r>
            <w:r w:rsidR="00695D2A" w:rsidRPr="00695D2A">
              <w:t>Brazil (Federative Republic of)</w:t>
            </w:r>
            <w:r w:rsidR="00695D2A">
              <w:t xml:space="preserve"> and Cuba</w:t>
            </w:r>
          </w:p>
        </w:tc>
      </w:tr>
      <w:tr w:rsidR="00AD3606" w:rsidRPr="00C13840" w14:paraId="5DA031E7" w14:textId="77777777" w:rsidTr="00954C49">
        <w:trPr>
          <w:cantSplit/>
        </w:trPr>
        <w:tc>
          <w:tcPr>
            <w:tcW w:w="9214" w:type="dxa"/>
            <w:gridSpan w:val="2"/>
            <w:tcMar>
              <w:left w:w="0" w:type="dxa"/>
            </w:tcMar>
          </w:tcPr>
          <w:p w14:paraId="5144F60D" w14:textId="472C99CD" w:rsidR="00AD3606" w:rsidRPr="00C13840" w:rsidRDefault="00F87149" w:rsidP="00954C49">
            <w:pPr>
              <w:pStyle w:val="Subtitle"/>
              <w:framePr w:hSpace="0" w:wrap="auto" w:hAnchor="text" w:xAlign="left" w:yAlign="inline"/>
            </w:pPr>
            <w:bookmarkStart w:id="9" w:name="dtitle1" w:colFirst="0" w:colLast="0"/>
            <w:bookmarkEnd w:id="8"/>
            <w:r w:rsidRPr="00C13840">
              <w:t>RECOMMENDATIONS ON ENHANCING TRANSPARENCY IN THE FINANCIAL MANAGEMENT OF THE ITU</w:t>
            </w:r>
          </w:p>
        </w:tc>
      </w:tr>
      <w:tr w:rsidR="00AD3606" w:rsidRPr="00C13840" w14:paraId="0291B0EA" w14:textId="77777777" w:rsidTr="00954C49">
        <w:trPr>
          <w:cantSplit/>
        </w:trPr>
        <w:tc>
          <w:tcPr>
            <w:tcW w:w="9214" w:type="dxa"/>
            <w:gridSpan w:val="2"/>
            <w:tcBorders>
              <w:top w:val="single" w:sz="4" w:space="0" w:color="auto"/>
              <w:bottom w:val="single" w:sz="4" w:space="0" w:color="auto"/>
            </w:tcBorders>
            <w:tcMar>
              <w:left w:w="0" w:type="dxa"/>
            </w:tcMar>
          </w:tcPr>
          <w:p w14:paraId="65A75B4F" w14:textId="77777777" w:rsidR="00AD3606" w:rsidRPr="00C13840" w:rsidRDefault="00F16BAB" w:rsidP="00954C49">
            <w:pPr>
              <w:spacing w:before="160"/>
              <w:rPr>
                <w:b/>
                <w:bCs/>
                <w:sz w:val="26"/>
                <w:szCs w:val="26"/>
              </w:rPr>
            </w:pPr>
            <w:r w:rsidRPr="00C13840">
              <w:rPr>
                <w:b/>
                <w:bCs/>
                <w:sz w:val="26"/>
                <w:szCs w:val="26"/>
              </w:rPr>
              <w:t>Purpose</w:t>
            </w:r>
          </w:p>
          <w:p w14:paraId="6066D138" w14:textId="4B8C6A56" w:rsidR="00AD3606" w:rsidRPr="00C13840" w:rsidRDefault="00F87149" w:rsidP="00F87149">
            <w:pPr>
              <w:jc w:val="both"/>
            </w:pPr>
            <w:r w:rsidRPr="00C13840">
              <w:t>Transparency in financial management and efficiency in resource allocation are essential to delivering ITU's strategic objectives and reinforcing member confidence. With the 2026 Plenipotentiary Conference (PP-26) set to guide financial management for the next four-year cycle, this contribution proposes concrete recommendations based on discussions in the Council and its Council Working Group on financial and human resources (CWG-FHR) since 2023.</w:t>
            </w:r>
          </w:p>
          <w:p w14:paraId="63754448" w14:textId="77777777" w:rsidR="00AD3606" w:rsidRPr="00C13840" w:rsidRDefault="00AD3606" w:rsidP="00954C49">
            <w:pPr>
              <w:spacing w:before="160"/>
              <w:rPr>
                <w:b/>
                <w:bCs/>
                <w:sz w:val="26"/>
                <w:szCs w:val="26"/>
              </w:rPr>
            </w:pPr>
            <w:r w:rsidRPr="00C13840">
              <w:rPr>
                <w:b/>
                <w:bCs/>
                <w:sz w:val="26"/>
                <w:szCs w:val="26"/>
              </w:rPr>
              <w:t>Action required</w:t>
            </w:r>
            <w:r w:rsidR="00F16BAB" w:rsidRPr="00C13840">
              <w:rPr>
                <w:b/>
                <w:bCs/>
                <w:sz w:val="26"/>
                <w:szCs w:val="26"/>
              </w:rPr>
              <w:t xml:space="preserve"> by the Council</w:t>
            </w:r>
          </w:p>
          <w:p w14:paraId="24C9706D" w14:textId="036D1B86" w:rsidR="00722551" w:rsidRPr="00C13840" w:rsidRDefault="00F87149" w:rsidP="00954C49">
            <w:r w:rsidRPr="00C13840">
              <w:t xml:space="preserve">The Council is invited to </w:t>
            </w:r>
            <w:r w:rsidRPr="00C13840">
              <w:rPr>
                <w:b/>
                <w:bCs/>
              </w:rPr>
              <w:t>consider</w:t>
            </w:r>
            <w:r w:rsidRPr="00C13840">
              <w:t xml:space="preserve"> the recommendations outlined in this contribution and to take any necessary actions.</w:t>
            </w:r>
          </w:p>
          <w:p w14:paraId="08F2A353" w14:textId="77777777" w:rsidR="00C0458D" w:rsidRPr="00C13840" w:rsidRDefault="00C0458D" w:rsidP="00954C49">
            <w:r w:rsidRPr="00C13840">
              <w:t>_______________</w:t>
            </w:r>
          </w:p>
          <w:p w14:paraId="5F705648" w14:textId="77777777" w:rsidR="00AD3606" w:rsidRPr="00C13840" w:rsidRDefault="00AD3606" w:rsidP="00954C49">
            <w:pPr>
              <w:spacing w:before="160"/>
              <w:rPr>
                <w:b/>
                <w:bCs/>
                <w:sz w:val="26"/>
                <w:szCs w:val="26"/>
              </w:rPr>
            </w:pPr>
            <w:r w:rsidRPr="00C13840">
              <w:rPr>
                <w:b/>
                <w:bCs/>
                <w:sz w:val="26"/>
                <w:szCs w:val="26"/>
              </w:rPr>
              <w:t>References</w:t>
            </w:r>
          </w:p>
          <w:p w14:paraId="73AB02A7" w14:textId="30E409F4" w:rsidR="00AD3606" w:rsidRPr="00C13840" w:rsidRDefault="00F87149" w:rsidP="00954C49">
            <w:pPr>
              <w:spacing w:after="160"/>
              <w:rPr>
                <w:i/>
                <w:iCs/>
                <w:sz w:val="22"/>
                <w:szCs w:val="22"/>
              </w:rPr>
            </w:pPr>
            <w:hyperlink r:id="rId8" w:history="1">
              <w:r w:rsidRPr="00C13840">
                <w:rPr>
                  <w:rStyle w:val="Hyperlink"/>
                  <w:i/>
                  <w:iCs/>
                  <w:sz w:val="22"/>
                  <w:szCs w:val="22"/>
                </w:rPr>
                <w:t>Article 28 of the Constitution</w:t>
              </w:r>
            </w:hyperlink>
            <w:r w:rsidRPr="00C13840">
              <w:rPr>
                <w:i/>
                <w:iCs/>
                <w:sz w:val="22"/>
                <w:szCs w:val="22"/>
              </w:rPr>
              <w:t xml:space="preserve">, </w:t>
            </w:r>
            <w:hyperlink r:id="rId9" w:history="1">
              <w:r w:rsidRPr="00C13840">
                <w:rPr>
                  <w:rStyle w:val="Hyperlink"/>
                  <w:i/>
                  <w:iCs/>
                  <w:sz w:val="22"/>
                  <w:szCs w:val="22"/>
                </w:rPr>
                <w:t>No. 63 of the Convention</w:t>
              </w:r>
            </w:hyperlink>
            <w:r w:rsidRPr="00C13840">
              <w:rPr>
                <w:i/>
                <w:iCs/>
                <w:sz w:val="22"/>
                <w:szCs w:val="22"/>
              </w:rPr>
              <w:t xml:space="preserve">, Decision </w:t>
            </w:r>
            <w:hyperlink r:id="rId10" w:history="1">
              <w:r w:rsidRPr="00C13840">
                <w:rPr>
                  <w:rStyle w:val="Hyperlink"/>
                  <w:i/>
                  <w:iCs/>
                  <w:sz w:val="22"/>
                  <w:szCs w:val="22"/>
                </w:rPr>
                <w:t>5 (Rev. Bucharest, 2022)</w:t>
              </w:r>
            </w:hyperlink>
            <w:r w:rsidRPr="00C13840">
              <w:rPr>
                <w:i/>
                <w:iCs/>
                <w:sz w:val="22"/>
                <w:szCs w:val="22"/>
              </w:rPr>
              <w:t xml:space="preserve">, Resolutions </w:t>
            </w:r>
            <w:hyperlink r:id="rId11" w:history="1">
              <w:r w:rsidRPr="00C13840">
                <w:rPr>
                  <w:rStyle w:val="Hyperlink"/>
                  <w:i/>
                  <w:iCs/>
                  <w:sz w:val="22"/>
                  <w:szCs w:val="22"/>
                </w:rPr>
                <w:t>94 (Rev. Bucharest, 2022)</w:t>
              </w:r>
            </w:hyperlink>
            <w:r w:rsidRPr="00C13840">
              <w:rPr>
                <w:i/>
                <w:iCs/>
                <w:sz w:val="22"/>
                <w:szCs w:val="22"/>
              </w:rPr>
              <w:t xml:space="preserve">, </w:t>
            </w:r>
            <w:hyperlink r:id="rId12" w:history="1">
              <w:r w:rsidRPr="00C13840">
                <w:rPr>
                  <w:rStyle w:val="Hyperlink"/>
                  <w:i/>
                  <w:iCs/>
                  <w:sz w:val="22"/>
                  <w:szCs w:val="22"/>
                </w:rPr>
                <w:t>151 (Rev. Bucharest, 2022)</w:t>
              </w:r>
            </w:hyperlink>
            <w:r w:rsidRPr="00C13840">
              <w:rPr>
                <w:i/>
                <w:iCs/>
                <w:sz w:val="22"/>
                <w:szCs w:val="22"/>
              </w:rPr>
              <w:t xml:space="preserve">, </w:t>
            </w:r>
            <w:hyperlink r:id="rId13" w:history="1">
              <w:r w:rsidRPr="00C13840">
                <w:rPr>
                  <w:rStyle w:val="Hyperlink"/>
                  <w:i/>
                  <w:iCs/>
                  <w:sz w:val="22"/>
                  <w:szCs w:val="22"/>
                </w:rPr>
                <w:t>158 (Rev. Busan, 2014)</w:t>
              </w:r>
            </w:hyperlink>
            <w:r w:rsidRPr="00C13840">
              <w:rPr>
                <w:i/>
                <w:iCs/>
                <w:sz w:val="22"/>
                <w:szCs w:val="22"/>
              </w:rPr>
              <w:t xml:space="preserve">, </w:t>
            </w:r>
            <w:hyperlink r:id="rId14" w:history="1">
              <w:r w:rsidRPr="00C13840">
                <w:rPr>
                  <w:rStyle w:val="Hyperlink"/>
                  <w:i/>
                  <w:iCs/>
                  <w:sz w:val="22"/>
                  <w:szCs w:val="22"/>
                </w:rPr>
                <w:t>162 (Rev. Bucharest, 2022)</w:t>
              </w:r>
            </w:hyperlink>
            <w:r w:rsidRPr="00C13840">
              <w:rPr>
                <w:i/>
                <w:iCs/>
                <w:sz w:val="22"/>
                <w:szCs w:val="22"/>
              </w:rPr>
              <w:t xml:space="preserve"> of the Plenipotentiary Conference; Council documents </w:t>
            </w:r>
            <w:hyperlink r:id="rId15" w:history="1">
              <w:r w:rsidRPr="00C13840">
                <w:rPr>
                  <w:rStyle w:val="Hyperlink"/>
                  <w:i/>
                  <w:iCs/>
                  <w:sz w:val="22"/>
                  <w:szCs w:val="22"/>
                </w:rPr>
                <w:t>C26/55</w:t>
              </w:r>
            </w:hyperlink>
            <w:r w:rsidR="00775F3D" w:rsidRPr="00C13840">
              <w:rPr>
                <w:i/>
                <w:iCs/>
                <w:sz w:val="22"/>
                <w:szCs w:val="22"/>
              </w:rPr>
              <w:t xml:space="preserve"> </w:t>
            </w:r>
            <w:r w:rsidR="00136D2A" w:rsidRPr="00C13840">
              <w:rPr>
                <w:i/>
                <w:iCs/>
                <w:sz w:val="22"/>
                <w:szCs w:val="22"/>
              </w:rPr>
              <w:t>on Update on ITU transformation</w:t>
            </w:r>
            <w:r w:rsidRPr="00C13840">
              <w:rPr>
                <w:i/>
                <w:iCs/>
                <w:sz w:val="22"/>
                <w:szCs w:val="22"/>
              </w:rPr>
              <w:t xml:space="preserve">, </w:t>
            </w:r>
            <w:hyperlink r:id="rId16" w:history="1">
              <w:r w:rsidRPr="00C13840">
                <w:rPr>
                  <w:rStyle w:val="Hyperlink"/>
                  <w:i/>
                  <w:iCs/>
                  <w:sz w:val="22"/>
                  <w:szCs w:val="22"/>
                </w:rPr>
                <w:t>C26/42</w:t>
              </w:r>
            </w:hyperlink>
            <w:r w:rsidR="00136D2A" w:rsidRPr="00C13840">
              <w:rPr>
                <w:i/>
                <w:iCs/>
                <w:sz w:val="22"/>
                <w:szCs w:val="22"/>
              </w:rPr>
              <w:t xml:space="preserve"> on Allocations of savings achieved in 2025 budget implementation</w:t>
            </w:r>
            <w:r w:rsidRPr="00C13840">
              <w:rPr>
                <w:i/>
                <w:iCs/>
                <w:sz w:val="22"/>
                <w:szCs w:val="22"/>
              </w:rPr>
              <w:t xml:space="preserve">, </w:t>
            </w:r>
            <w:hyperlink r:id="rId17" w:history="1">
              <w:r w:rsidRPr="00C13840">
                <w:rPr>
                  <w:rStyle w:val="Hyperlink"/>
                  <w:i/>
                  <w:iCs/>
                  <w:sz w:val="22"/>
                  <w:szCs w:val="22"/>
                </w:rPr>
                <w:t>C26/22</w:t>
              </w:r>
            </w:hyperlink>
            <w:r w:rsidR="00136D2A" w:rsidRPr="00C13840">
              <w:rPr>
                <w:i/>
                <w:iCs/>
                <w:sz w:val="22"/>
                <w:szCs w:val="22"/>
              </w:rPr>
              <w:t xml:space="preserve"> on The fifteenth Report of the Independent Management Advisory Committee (IMAC)</w:t>
            </w:r>
            <w:r w:rsidRPr="00C13840">
              <w:rPr>
                <w:i/>
                <w:iCs/>
                <w:sz w:val="22"/>
                <w:szCs w:val="22"/>
              </w:rPr>
              <w:t xml:space="preserve">, </w:t>
            </w:r>
            <w:hyperlink r:id="rId18" w:history="1">
              <w:r w:rsidRPr="00C13840">
                <w:rPr>
                  <w:rStyle w:val="Hyperlink"/>
                  <w:i/>
                  <w:iCs/>
                  <w:sz w:val="22"/>
                  <w:szCs w:val="22"/>
                </w:rPr>
                <w:t>C25/40</w:t>
              </w:r>
            </w:hyperlink>
            <w:r w:rsidR="00136D2A" w:rsidRPr="00C13840">
              <w:rPr>
                <w:i/>
                <w:iCs/>
                <w:sz w:val="22"/>
                <w:szCs w:val="22"/>
              </w:rPr>
              <w:t xml:space="preserve"> on Financial Operating Report and Audited Financial Statements for the financial year 2024; Summary of relevant Council discussions:</w:t>
            </w:r>
            <w:r w:rsidRPr="00C13840">
              <w:rPr>
                <w:i/>
                <w:iCs/>
                <w:sz w:val="22"/>
                <w:szCs w:val="22"/>
              </w:rPr>
              <w:t xml:space="preserve"> </w:t>
            </w:r>
            <w:hyperlink r:id="rId19" w:history="1">
              <w:r w:rsidRPr="00C13840">
                <w:rPr>
                  <w:rStyle w:val="Hyperlink"/>
                  <w:i/>
                  <w:iCs/>
                  <w:sz w:val="22"/>
                  <w:szCs w:val="22"/>
                </w:rPr>
                <w:t>C25/105</w:t>
              </w:r>
            </w:hyperlink>
            <w:r w:rsidRPr="00C13840">
              <w:rPr>
                <w:i/>
                <w:iCs/>
                <w:sz w:val="22"/>
                <w:szCs w:val="22"/>
              </w:rPr>
              <w:t xml:space="preserve">, </w:t>
            </w:r>
            <w:hyperlink r:id="rId20" w:history="1">
              <w:r w:rsidRPr="00C13840">
                <w:rPr>
                  <w:rStyle w:val="Hyperlink"/>
                  <w:i/>
                  <w:iCs/>
                  <w:sz w:val="22"/>
                  <w:szCs w:val="22"/>
                </w:rPr>
                <w:t>C24/109</w:t>
              </w:r>
            </w:hyperlink>
            <w:r w:rsidRPr="00C13840">
              <w:rPr>
                <w:i/>
                <w:iCs/>
                <w:sz w:val="22"/>
                <w:szCs w:val="22"/>
              </w:rPr>
              <w:t xml:space="preserve">, </w:t>
            </w:r>
            <w:hyperlink r:id="rId21" w:history="1">
              <w:r w:rsidRPr="00C13840">
                <w:rPr>
                  <w:rStyle w:val="Hyperlink"/>
                  <w:i/>
                  <w:iCs/>
                  <w:sz w:val="22"/>
                  <w:szCs w:val="22"/>
                </w:rPr>
                <w:t>C23/104</w:t>
              </w:r>
            </w:hyperlink>
            <w:r w:rsidRPr="00C13840">
              <w:rPr>
                <w:i/>
                <w:iCs/>
                <w:sz w:val="22"/>
                <w:szCs w:val="22"/>
              </w:rPr>
              <w:t xml:space="preserve">; </w:t>
            </w:r>
            <w:r w:rsidR="00136D2A" w:rsidRPr="00C13840">
              <w:rPr>
                <w:i/>
                <w:iCs/>
                <w:sz w:val="22"/>
                <w:szCs w:val="22"/>
              </w:rPr>
              <w:t xml:space="preserve">Summary of CWG-FHR meetings: </w:t>
            </w:r>
            <w:r w:rsidR="00136D2A" w:rsidRPr="00C13840">
              <w:t xml:space="preserve"> </w:t>
            </w:r>
            <w:hyperlink r:id="rId22" w:history="1">
              <w:r w:rsidR="00136D2A" w:rsidRPr="00C13840">
                <w:rPr>
                  <w:rStyle w:val="Hyperlink"/>
                  <w:i/>
                  <w:iCs/>
                  <w:sz w:val="22"/>
                  <w:szCs w:val="22"/>
                </w:rPr>
                <w:t>CWG-FHR-22/36</w:t>
              </w:r>
            </w:hyperlink>
            <w:r w:rsidR="00136D2A" w:rsidRPr="00C13840">
              <w:rPr>
                <w:i/>
                <w:iCs/>
                <w:sz w:val="22"/>
                <w:szCs w:val="22"/>
              </w:rPr>
              <w:t xml:space="preserve">, </w:t>
            </w:r>
            <w:hyperlink r:id="rId23" w:history="1">
              <w:r w:rsidR="00136D2A" w:rsidRPr="00C13840">
                <w:rPr>
                  <w:rStyle w:val="Hyperlink"/>
                  <w:i/>
                  <w:iCs/>
                  <w:sz w:val="22"/>
                  <w:szCs w:val="22"/>
                </w:rPr>
                <w:t>CWG-FHR-21/25</w:t>
              </w:r>
            </w:hyperlink>
            <w:r w:rsidR="00136D2A" w:rsidRPr="00C13840">
              <w:rPr>
                <w:i/>
                <w:iCs/>
                <w:sz w:val="22"/>
                <w:szCs w:val="22"/>
              </w:rPr>
              <w:t xml:space="preserve">, </w:t>
            </w:r>
            <w:hyperlink r:id="rId24" w:history="1">
              <w:r w:rsidR="00136D2A" w:rsidRPr="00C13840">
                <w:rPr>
                  <w:rStyle w:val="Hyperlink"/>
                  <w:i/>
                  <w:iCs/>
                  <w:sz w:val="22"/>
                  <w:szCs w:val="22"/>
                </w:rPr>
                <w:t>CWG-FHR-20/32</w:t>
              </w:r>
            </w:hyperlink>
            <w:r w:rsidR="00136D2A" w:rsidRPr="00C13840">
              <w:rPr>
                <w:i/>
                <w:iCs/>
                <w:sz w:val="22"/>
                <w:szCs w:val="22"/>
              </w:rPr>
              <w:t xml:space="preserve">, </w:t>
            </w:r>
            <w:hyperlink r:id="rId25" w:history="1">
              <w:r w:rsidR="00136D2A" w:rsidRPr="00C13840">
                <w:rPr>
                  <w:rStyle w:val="Hyperlink"/>
                  <w:i/>
                  <w:iCs/>
                  <w:sz w:val="22"/>
                  <w:szCs w:val="22"/>
                </w:rPr>
                <w:t>CWG-FHR-19/15</w:t>
              </w:r>
            </w:hyperlink>
            <w:r w:rsidR="00136D2A" w:rsidRPr="00C13840">
              <w:rPr>
                <w:i/>
                <w:iCs/>
                <w:sz w:val="22"/>
                <w:szCs w:val="22"/>
              </w:rPr>
              <w:t xml:space="preserve">, </w:t>
            </w:r>
            <w:hyperlink r:id="rId26" w:history="1">
              <w:r w:rsidR="00136D2A" w:rsidRPr="00C13840">
                <w:rPr>
                  <w:rStyle w:val="Hyperlink"/>
                  <w:i/>
                  <w:iCs/>
                  <w:sz w:val="22"/>
                  <w:szCs w:val="22"/>
                </w:rPr>
                <w:t>CWG-FHR-17/24</w:t>
              </w:r>
            </w:hyperlink>
            <w:r w:rsidR="00136D2A" w:rsidRPr="00C13840">
              <w:rPr>
                <w:i/>
                <w:iCs/>
                <w:sz w:val="22"/>
                <w:szCs w:val="22"/>
              </w:rPr>
              <w:t>.</w:t>
            </w:r>
          </w:p>
        </w:tc>
      </w:tr>
    </w:tbl>
    <w:p w14:paraId="2A3CB862" w14:textId="77777777" w:rsidR="00E227F3" w:rsidRPr="00C13840"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67A43FE" w14:textId="77777777" w:rsidR="0090147A" w:rsidRPr="00C13840"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13840">
        <w:br w:type="page"/>
      </w:r>
    </w:p>
    <w:bookmarkEnd w:id="5"/>
    <w:bookmarkEnd w:id="10"/>
    <w:p w14:paraId="67CDC34A" w14:textId="77777777" w:rsidR="00C13840" w:rsidRPr="00C13840" w:rsidRDefault="00C13840" w:rsidP="00C13840">
      <w:pPr>
        <w:tabs>
          <w:tab w:val="clear" w:pos="567"/>
          <w:tab w:val="clear" w:pos="1134"/>
          <w:tab w:val="clear" w:pos="1701"/>
          <w:tab w:val="clear" w:pos="2268"/>
          <w:tab w:val="clear" w:pos="2835"/>
        </w:tabs>
        <w:spacing w:after="120"/>
        <w:jc w:val="both"/>
        <w:rPr>
          <w:b/>
          <w:bCs/>
        </w:rPr>
      </w:pPr>
      <w:r w:rsidRPr="00C13840">
        <w:rPr>
          <w:rFonts w:hint="eastAsia"/>
          <w:b/>
          <w:bCs/>
        </w:rPr>
        <w:lastRenderedPageBreak/>
        <w:t>1.</w:t>
      </w:r>
      <w:r w:rsidRPr="00C13840">
        <w:rPr>
          <w:rFonts w:eastAsia="SimSun" w:hint="eastAsia"/>
          <w:b/>
          <w:bCs/>
          <w:lang w:eastAsia="zh-CN"/>
        </w:rPr>
        <w:tab/>
      </w:r>
      <w:r w:rsidRPr="00C13840">
        <w:rPr>
          <w:rFonts w:hint="eastAsia"/>
          <w:b/>
          <w:bCs/>
        </w:rPr>
        <w:t>Background</w:t>
      </w:r>
    </w:p>
    <w:p w14:paraId="5BC9DAC1" w14:textId="641EACF2" w:rsidR="00C13840" w:rsidRPr="00C13840" w:rsidRDefault="00C13840" w:rsidP="00C13840">
      <w:pPr>
        <w:tabs>
          <w:tab w:val="clear" w:pos="567"/>
          <w:tab w:val="clear" w:pos="1134"/>
          <w:tab w:val="clear" w:pos="1701"/>
          <w:tab w:val="clear" w:pos="2268"/>
          <w:tab w:val="clear" w:pos="2835"/>
        </w:tabs>
        <w:spacing w:before="240" w:after="120"/>
        <w:jc w:val="both"/>
      </w:pPr>
      <w:r w:rsidRPr="00C13840">
        <w:rPr>
          <w:rFonts w:hint="eastAsia"/>
        </w:rPr>
        <w:t xml:space="preserve">As a specialized agency of the United Nations, ITU faces stringent financial constraints. In recent years, </w:t>
      </w:r>
      <w:r w:rsidRPr="00C13840">
        <w:t xml:space="preserve">as </w:t>
      </w:r>
      <w:r w:rsidRPr="00C13840">
        <w:rPr>
          <w:rFonts w:hint="eastAsia"/>
        </w:rPr>
        <w:t>expenditures on organizational transformation, institutional development, and functional expansion</w:t>
      </w:r>
      <w:r w:rsidRPr="00C13840">
        <w:t xml:space="preserve"> have increased</w:t>
      </w:r>
      <w:r w:rsidRPr="00C13840">
        <w:rPr>
          <w:rFonts w:hint="eastAsia"/>
        </w:rPr>
        <w:t xml:space="preserve">, ITU has </w:t>
      </w:r>
      <w:r w:rsidRPr="00C13840">
        <w:t xml:space="preserve">faced mounting </w:t>
      </w:r>
      <w:r w:rsidRPr="00C13840">
        <w:rPr>
          <w:rFonts w:hint="eastAsia"/>
        </w:rPr>
        <w:t>pressure</w:t>
      </w:r>
      <w:r w:rsidRPr="00C13840">
        <w:t>s</w:t>
      </w:r>
      <w:r w:rsidRPr="00C13840">
        <w:rPr>
          <w:rFonts w:hint="eastAsia"/>
        </w:rPr>
        <w:t xml:space="preserve"> in budget execution. According to the financial operating report and audited financial statements for 2024 (</w:t>
      </w:r>
      <w:hyperlink r:id="rId27" w:history="1">
        <w:r w:rsidRPr="00C13840">
          <w:rPr>
            <w:rStyle w:val="Hyperlink"/>
            <w:rFonts w:hint="eastAsia"/>
          </w:rPr>
          <w:t>C25/40</w:t>
        </w:r>
      </w:hyperlink>
      <w:r w:rsidRPr="00C13840">
        <w:rPr>
          <w:rFonts w:hint="eastAsia"/>
        </w:rPr>
        <w:t>), ITU recorded negative net assets of CHF 318 million, a CHF 60.6 million increase in the deficit from 2023.</w:t>
      </w:r>
      <w:r w:rsidRPr="00C13840">
        <w:rPr>
          <w:rFonts w:eastAsia="SimSun" w:hint="eastAsia"/>
          <w:lang w:eastAsia="zh-CN"/>
        </w:rPr>
        <w:t xml:space="preserve"> In 2025, ITU recorded a budgetary surplus of CHF 10.8 million. However,</w:t>
      </w:r>
      <w:r w:rsidRPr="00C13840">
        <w:rPr>
          <w:rFonts w:hint="eastAsia"/>
        </w:rPr>
        <w:t xml:space="preserve"> both the Secretary-General's report (</w:t>
      </w:r>
      <w:hyperlink r:id="rId28" w:history="1">
        <w:r w:rsidRPr="00C13840">
          <w:rPr>
            <w:rStyle w:val="Hyperlink"/>
            <w:rFonts w:hint="eastAsia"/>
          </w:rPr>
          <w:t>C26/42</w:t>
        </w:r>
      </w:hyperlink>
      <w:r w:rsidRPr="00C13840">
        <w:rPr>
          <w:rFonts w:hint="eastAsia"/>
        </w:rPr>
        <w:t>) and the Independent Management Advisory Committee (IMAC)</w:t>
      </w:r>
      <w:r w:rsidRPr="00C13840">
        <w:rPr>
          <w:rFonts w:eastAsia="SimSun" w:hint="eastAsia"/>
          <w:lang w:eastAsia="zh-CN"/>
        </w:rPr>
        <w:t xml:space="preserve"> report</w:t>
      </w:r>
      <w:r w:rsidRPr="00C13840">
        <w:rPr>
          <w:rFonts w:hint="eastAsia"/>
        </w:rPr>
        <w:t xml:space="preserve"> (</w:t>
      </w:r>
      <w:hyperlink r:id="rId29" w:history="1">
        <w:r w:rsidRPr="00C13840">
          <w:rPr>
            <w:rStyle w:val="Hyperlink"/>
            <w:rFonts w:hint="eastAsia"/>
          </w:rPr>
          <w:t>C26/22</w:t>
        </w:r>
      </w:hyperlink>
      <w:r w:rsidRPr="00C13840">
        <w:rPr>
          <w:rFonts w:hint="eastAsia"/>
        </w:rPr>
        <w:t xml:space="preserve">) highlighted that this outcome was </w:t>
      </w:r>
      <w:r w:rsidRPr="00C13840">
        <w:rPr>
          <w:rFonts w:cs="Calibri"/>
        </w:rPr>
        <w:t>driven primarily by delayed recruitment and deferred implementation rather than structural efficiency gains</w:t>
      </w:r>
      <w:r w:rsidRPr="00C13840">
        <w:rPr>
          <w:rFonts w:hint="eastAsia"/>
        </w:rPr>
        <w:t xml:space="preserve">, </w:t>
      </w:r>
      <w:r w:rsidRPr="00C13840">
        <w:rPr>
          <w:rFonts w:eastAsia="SimSun" w:hint="eastAsia"/>
          <w:lang w:eastAsia="zh-CN"/>
        </w:rPr>
        <w:t xml:space="preserve">nor does it </w:t>
      </w:r>
      <w:r w:rsidRPr="00C13840">
        <w:t>represent structural reductions in the Union’s ongoing baseline expenditure</w:t>
      </w:r>
      <w:r w:rsidRPr="00C13840">
        <w:rPr>
          <w:rFonts w:hint="eastAsia"/>
        </w:rPr>
        <w:t xml:space="preserve">. Additionally, ITU currently exhibits </w:t>
      </w:r>
      <w:r w:rsidRPr="00C13840">
        <w:t>substantial</w:t>
      </w:r>
      <w:r w:rsidRPr="00C13840">
        <w:rPr>
          <w:rFonts w:eastAsia="SimSun" w:hint="eastAsia"/>
          <w:lang w:eastAsia="zh-CN"/>
        </w:rPr>
        <w:t xml:space="preserve"> </w:t>
      </w:r>
      <w:r w:rsidRPr="00C13840">
        <w:rPr>
          <w:rFonts w:hint="eastAsia"/>
        </w:rPr>
        <w:t>reliance on outsourcing services in critical areas such as strategy and finance (e.g., CHF</w:t>
      </w:r>
      <w:r w:rsidRPr="00C13840">
        <w:t> </w:t>
      </w:r>
      <w:r w:rsidRPr="00C13840">
        <w:rPr>
          <w:rFonts w:hint="eastAsia"/>
        </w:rPr>
        <w:t>480</w:t>
      </w:r>
      <w:r w:rsidRPr="00C13840">
        <w:t> </w:t>
      </w:r>
      <w:r w:rsidRPr="00C13840">
        <w:rPr>
          <w:rFonts w:hint="eastAsia"/>
        </w:rPr>
        <w:t>000 in 2023 to engage Ernst &amp; Young for IPSAS</w:t>
      </w:r>
      <w:r w:rsidRPr="00C13840">
        <w:rPr>
          <w:rFonts w:eastAsia="SimSun" w:hint="eastAsia"/>
          <w:lang w:eastAsia="zh-CN"/>
        </w:rPr>
        <w:t>-compliant</w:t>
      </w:r>
      <w:r w:rsidRPr="00C13840">
        <w:rPr>
          <w:rFonts w:hint="eastAsia"/>
        </w:rPr>
        <w:t xml:space="preserve"> financial </w:t>
      </w:r>
      <w:r w:rsidRPr="00C13840">
        <w:rPr>
          <w:rFonts w:eastAsia="SimSun" w:hint="eastAsia"/>
          <w:lang w:eastAsia="zh-CN"/>
        </w:rPr>
        <w:t>statements</w:t>
      </w:r>
      <w:r w:rsidRPr="00C13840">
        <w:rPr>
          <w:rFonts w:hint="eastAsia"/>
        </w:rPr>
        <w:t xml:space="preserve"> and CHF</w:t>
      </w:r>
      <w:r w:rsidRPr="00C13840">
        <w:t> </w:t>
      </w:r>
      <w:r w:rsidRPr="00C13840">
        <w:rPr>
          <w:rFonts w:hint="eastAsia"/>
        </w:rPr>
        <w:t>230</w:t>
      </w:r>
      <w:r w:rsidRPr="00C13840">
        <w:t> </w:t>
      </w:r>
      <w:r w:rsidRPr="00C13840">
        <w:rPr>
          <w:rFonts w:hint="eastAsia"/>
        </w:rPr>
        <w:t>000 in 2024 to commission Da</w:t>
      </w:r>
      <w:r w:rsidRPr="00C13840">
        <w:rPr>
          <w:rFonts w:eastAsia="SimSun" w:hint="eastAsia"/>
          <w:lang w:eastAsia="zh-CN"/>
        </w:rPr>
        <w:t>lberg</w:t>
      </w:r>
      <w:r w:rsidRPr="00C13840">
        <w:rPr>
          <w:rFonts w:hint="eastAsia"/>
        </w:rPr>
        <w:t xml:space="preserve"> </w:t>
      </w:r>
      <w:r w:rsidRPr="00C13840">
        <w:rPr>
          <w:rFonts w:eastAsia="SimSun" w:hint="eastAsia"/>
          <w:lang w:eastAsia="zh-CN"/>
        </w:rPr>
        <w:t xml:space="preserve">Group </w:t>
      </w:r>
      <w:r w:rsidRPr="00C13840">
        <w:rPr>
          <w:rFonts w:hint="eastAsia"/>
        </w:rPr>
        <w:t xml:space="preserve">for organizational structure assessments). Furthermore, </w:t>
      </w:r>
      <w:r w:rsidRPr="00C13840">
        <w:t>there is limited</w:t>
      </w:r>
      <w:r w:rsidRPr="00C13840">
        <w:rPr>
          <w:rFonts w:hint="eastAsia"/>
        </w:rPr>
        <w:t xml:space="preserve"> disclosure regarding budget impacts and staffing levels related to</w:t>
      </w:r>
      <w:r w:rsidRPr="00C13840">
        <w:rPr>
          <w:rFonts w:eastAsia="SimSun" w:hint="eastAsia"/>
          <w:lang w:eastAsia="zh-CN"/>
        </w:rPr>
        <w:t xml:space="preserve"> </w:t>
      </w:r>
      <w:r w:rsidRPr="00C13840">
        <w:t>special service agreements (SSAs)</w:t>
      </w:r>
      <w:r w:rsidRPr="00C13840">
        <w:rPr>
          <w:rFonts w:hint="eastAsia"/>
        </w:rPr>
        <w:t xml:space="preserve"> expenditures.</w:t>
      </w:r>
    </w:p>
    <w:p w14:paraId="69D9F507" w14:textId="7404D48D" w:rsidR="00C13840" w:rsidRPr="00C13840" w:rsidRDefault="00C13840" w:rsidP="00C13840">
      <w:pPr>
        <w:tabs>
          <w:tab w:val="clear" w:pos="567"/>
          <w:tab w:val="clear" w:pos="1134"/>
          <w:tab w:val="clear" w:pos="1701"/>
          <w:tab w:val="clear" w:pos="2268"/>
          <w:tab w:val="clear" w:pos="2835"/>
        </w:tabs>
        <w:spacing w:before="240" w:after="120"/>
        <w:jc w:val="both"/>
      </w:pPr>
      <w:r w:rsidRPr="00C13840">
        <w:rPr>
          <w:rFonts w:hint="eastAsia"/>
        </w:rPr>
        <w:t xml:space="preserve">The existing Basic </w:t>
      </w:r>
      <w:r w:rsidRPr="00C13840">
        <w:rPr>
          <w:rFonts w:eastAsia="SimSun" w:hint="eastAsia"/>
          <w:lang w:eastAsia="zh-CN"/>
        </w:rPr>
        <w:t>Texts</w:t>
      </w:r>
      <w:r w:rsidRPr="00C13840">
        <w:rPr>
          <w:rFonts w:hint="eastAsia"/>
        </w:rPr>
        <w:t xml:space="preserve"> of the ITU has established requirements for enhancing financial management transparency and improving the efficiency of resource utilization. In accordance with </w:t>
      </w:r>
      <w:r w:rsidRPr="00C13840">
        <w:rPr>
          <w:rFonts w:hint="eastAsia"/>
          <w:lang w:eastAsia="zh-CN"/>
        </w:rPr>
        <w:t xml:space="preserve">PP </w:t>
      </w:r>
      <w:r w:rsidRPr="00C13840">
        <w:rPr>
          <w:rFonts w:hint="eastAsia"/>
        </w:rPr>
        <w:t>Resolution 151 (</w:t>
      </w:r>
      <w:r w:rsidRPr="00C13840">
        <w:t>Rev. Bucharest, 2022</w:t>
      </w:r>
      <w:r w:rsidRPr="00C13840">
        <w:rPr>
          <w:rFonts w:hint="eastAsia"/>
        </w:rPr>
        <w:t xml:space="preserve">), the Secretary-General and </w:t>
      </w:r>
      <w:r w:rsidRPr="00C13840">
        <w:rPr>
          <w:rFonts w:hint="eastAsia"/>
          <w:lang w:eastAsia="zh-CN"/>
        </w:rPr>
        <w:t>D</w:t>
      </w:r>
      <w:r w:rsidRPr="00C13840">
        <w:rPr>
          <w:rFonts w:hint="eastAsia"/>
        </w:rPr>
        <w:t xml:space="preserve">irectors of the three </w:t>
      </w:r>
      <w:r w:rsidRPr="00C13840">
        <w:rPr>
          <w:rFonts w:hint="eastAsia"/>
          <w:lang w:eastAsia="zh-CN"/>
        </w:rPr>
        <w:t>B</w:t>
      </w:r>
      <w:r w:rsidRPr="00C13840">
        <w:rPr>
          <w:rFonts w:hint="eastAsia"/>
        </w:rPr>
        <w:t>ureau</w:t>
      </w:r>
      <w:r w:rsidRPr="00C13840">
        <w:rPr>
          <w:rFonts w:hint="eastAsia"/>
          <w:lang w:eastAsia="zh-CN"/>
        </w:rPr>
        <w:t>x</w:t>
      </w:r>
      <w:r w:rsidRPr="00C13840">
        <w:rPr>
          <w:rFonts w:hint="eastAsia"/>
        </w:rPr>
        <w:t xml:space="preserve"> should continue </w:t>
      </w:r>
      <w:r w:rsidRPr="00C13840">
        <w:rPr>
          <w:rFonts w:hint="eastAsia"/>
          <w:lang w:eastAsia="zh-CN"/>
        </w:rPr>
        <w:t xml:space="preserve">to continue to develop a comprehensive ITU results framework to support </w:t>
      </w:r>
      <w:r w:rsidRPr="00C13840">
        <w:rPr>
          <w:lang w:eastAsia="zh-CN"/>
        </w:rPr>
        <w:t>implementation of the strategic, financial and operational plans and budget</w:t>
      </w:r>
      <w:r w:rsidRPr="00C13840">
        <w:rPr>
          <w:rFonts w:hint="eastAsia"/>
          <w:lang w:eastAsia="zh-CN"/>
        </w:rPr>
        <w:t>,</w:t>
      </w:r>
      <w:r w:rsidRPr="00C13840">
        <w:rPr>
          <w:rFonts w:hint="eastAsia"/>
        </w:rPr>
        <w:t xml:space="preserve"> "</w:t>
      </w:r>
      <w:r w:rsidRPr="00C13840">
        <w:rPr>
          <w:rFonts w:hint="eastAsia"/>
          <w:lang w:eastAsia="zh-CN"/>
        </w:rPr>
        <w:t xml:space="preserve">set out the activities of the Union, the objectives of those activities and the </w:t>
      </w:r>
      <w:r w:rsidRPr="00C13840">
        <w:rPr>
          <w:lang w:eastAsia="zh-CN"/>
        </w:rPr>
        <w:t>associated resources and results</w:t>
      </w:r>
      <w:r w:rsidRPr="00C13840">
        <w:rPr>
          <w:rFonts w:hint="eastAsia"/>
        </w:rPr>
        <w:t>"</w:t>
      </w:r>
      <w:r w:rsidRPr="00C13840">
        <w:rPr>
          <w:rFonts w:eastAsia="SimSun" w:hint="eastAsia"/>
          <w:lang w:eastAsia="zh-CN"/>
        </w:rPr>
        <w:t>,</w:t>
      </w:r>
      <w:r w:rsidRPr="00C13840">
        <w:rPr>
          <w:rFonts w:hint="eastAsia"/>
        </w:rPr>
        <w:t xml:space="preserve"> </w:t>
      </w:r>
      <w:r w:rsidRPr="00C13840">
        <w:rPr>
          <w:rFonts w:eastAsia="SimSun" w:hint="eastAsia"/>
          <w:lang w:eastAsia="zh-CN"/>
        </w:rPr>
        <w:t>and</w:t>
      </w:r>
      <w:r w:rsidRPr="00C13840">
        <w:rPr>
          <w:rFonts w:hint="eastAsia"/>
        </w:rPr>
        <w:t xml:space="preserve"> "</w:t>
      </w:r>
      <w:r w:rsidRPr="00C13840">
        <w:rPr>
          <w:rFonts w:hint="eastAsia"/>
          <w:lang w:eastAsia="zh-CN"/>
        </w:rPr>
        <w:t xml:space="preserve">ensure transparency of reporting by publishing detailed information, including </w:t>
      </w:r>
      <w:r w:rsidRPr="00C13840">
        <w:rPr>
          <w:lang w:eastAsia="zh-CN"/>
        </w:rPr>
        <w:t>all costs incurred in the use or deployment of financial and human resources (external or internal)</w:t>
      </w:r>
      <w:r w:rsidRPr="00C13840">
        <w:rPr>
          <w:rFonts w:hint="eastAsia"/>
        </w:rPr>
        <w:t xml:space="preserve">." </w:t>
      </w:r>
      <w:r w:rsidRPr="00C13840">
        <w:rPr>
          <w:rFonts w:eastAsia="SimSun" w:hint="eastAsia"/>
          <w:lang w:eastAsia="zh-CN"/>
        </w:rPr>
        <w:t xml:space="preserve">PP </w:t>
      </w:r>
      <w:r w:rsidRPr="00C13840">
        <w:rPr>
          <w:rFonts w:hint="eastAsia"/>
        </w:rPr>
        <w:t>Resolution 158 (</w:t>
      </w:r>
      <w:r w:rsidRPr="00C13840">
        <w:t>Rev. Busan, 2014</w:t>
      </w:r>
      <w:r w:rsidRPr="00C13840">
        <w:rPr>
          <w:rFonts w:hint="eastAsia"/>
        </w:rPr>
        <w:t>) mandates the Council to "</w:t>
      </w:r>
      <w:r w:rsidRPr="00C13840">
        <w:rPr>
          <w:rFonts w:hint="eastAsia"/>
          <w:lang w:eastAsia="zh-CN"/>
        </w:rPr>
        <w:t xml:space="preserve">to study the possibility of establishing mechanisms to afford greater financial </w:t>
      </w:r>
      <w:r w:rsidRPr="00C13840">
        <w:rPr>
          <w:lang w:eastAsia="zh-CN"/>
        </w:rPr>
        <w:t>stability for the Union, and to make recommendations in that regard</w:t>
      </w:r>
      <w:r w:rsidRPr="00C13840">
        <w:rPr>
          <w:rFonts w:hint="eastAsia"/>
        </w:rPr>
        <w:t>."</w:t>
      </w:r>
    </w:p>
    <w:p w14:paraId="699A025B" w14:textId="757C5271" w:rsidR="00C13840" w:rsidRPr="00C13840" w:rsidRDefault="00C13840" w:rsidP="00C13840">
      <w:pPr>
        <w:tabs>
          <w:tab w:val="clear" w:pos="567"/>
          <w:tab w:val="clear" w:pos="1134"/>
          <w:tab w:val="clear" w:pos="1701"/>
          <w:tab w:val="clear" w:pos="2268"/>
          <w:tab w:val="clear" w:pos="2835"/>
        </w:tabs>
        <w:spacing w:before="240" w:after="120"/>
        <w:jc w:val="both"/>
        <w:rPr>
          <w:rFonts w:eastAsia="SimSun"/>
          <w:lang w:eastAsia="zh-CN"/>
        </w:rPr>
      </w:pPr>
      <w:r w:rsidRPr="00C13840">
        <w:rPr>
          <w:rFonts w:hint="eastAsia"/>
          <w:lang w:eastAsia="zh-CN"/>
        </w:rPr>
        <w:t>Member States prioritize transparency in financial management and call for continuous improvements in financial efficiency.</w:t>
      </w:r>
      <w:r w:rsidRPr="00C13840">
        <w:rPr>
          <w:rFonts w:hint="eastAsia"/>
        </w:rPr>
        <w:t xml:space="preserve"> Since 2023, the Council and its </w:t>
      </w:r>
      <w:r w:rsidRPr="00C13840">
        <w:t>Council Working Group on financial and human resources</w:t>
      </w:r>
      <w:r w:rsidRPr="00C13840">
        <w:rPr>
          <w:rFonts w:hint="eastAsia"/>
          <w:lang w:eastAsia="zh-CN"/>
        </w:rPr>
        <w:t xml:space="preserve"> (CWG-FHR)</w:t>
      </w:r>
      <w:r w:rsidRPr="00C13840">
        <w:rPr>
          <w:rFonts w:hint="eastAsia"/>
        </w:rPr>
        <w:t xml:space="preserve"> </w:t>
      </w:r>
      <w:r w:rsidRPr="00C13840">
        <w:rPr>
          <w:rFonts w:eastAsia="SimSun" w:hint="eastAsia"/>
          <w:lang w:eastAsia="zh-CN"/>
        </w:rPr>
        <w:t>have held</w:t>
      </w:r>
      <w:r w:rsidRPr="00C13840">
        <w:rPr>
          <w:rFonts w:hint="eastAsia"/>
        </w:rPr>
        <w:t xml:space="preserve"> extensive discussions on this issue</w:t>
      </w:r>
      <w:r w:rsidRPr="00C13840">
        <w:rPr>
          <w:rFonts w:eastAsia="SimSun" w:hint="eastAsia"/>
          <w:lang w:eastAsia="zh-CN"/>
        </w:rPr>
        <w:t xml:space="preserve">, reaching broad </w:t>
      </w:r>
      <w:r w:rsidRPr="00C13840">
        <w:rPr>
          <w:rFonts w:hint="eastAsia"/>
        </w:rPr>
        <w:t>agree</w:t>
      </w:r>
      <w:r w:rsidRPr="00C13840">
        <w:rPr>
          <w:rFonts w:eastAsia="SimSun" w:hint="eastAsia"/>
          <w:lang w:eastAsia="zh-CN"/>
        </w:rPr>
        <w:t>ment on focusing</w:t>
      </w:r>
      <w:r w:rsidRPr="00C13840">
        <w:rPr>
          <w:rFonts w:hint="eastAsia"/>
        </w:rPr>
        <w:t xml:space="preserve"> ITU's limited resources </w:t>
      </w:r>
      <w:r w:rsidRPr="00C13840">
        <w:rPr>
          <w:rFonts w:eastAsia="SimSun" w:hint="eastAsia"/>
          <w:lang w:eastAsia="zh-CN"/>
        </w:rPr>
        <w:t>on</w:t>
      </w:r>
      <w:r w:rsidRPr="00C13840">
        <w:rPr>
          <w:rFonts w:hint="eastAsia"/>
        </w:rPr>
        <w:t xml:space="preserve"> core m</w:t>
      </w:r>
      <w:r w:rsidRPr="00C13840">
        <w:rPr>
          <w:rFonts w:eastAsia="SimSun" w:hint="eastAsia"/>
          <w:lang w:eastAsia="zh-CN"/>
        </w:rPr>
        <w:t>andates. Management has since launched a financial management transformation initiative to better align strategic, financial, and operational planning. Yet, as ITU restructures and expands</w:t>
      </w:r>
      <w:r w:rsidRPr="00C13840">
        <w:rPr>
          <w:rFonts w:hint="eastAsia"/>
        </w:rPr>
        <w:t xml:space="preserve"> its scope of work,</w:t>
      </w:r>
      <w:r w:rsidRPr="00C13840">
        <w:rPr>
          <w:rFonts w:eastAsia="SimSun" w:hint="eastAsia"/>
          <w:lang w:eastAsia="zh-CN"/>
        </w:rPr>
        <w:t xml:space="preserve"> Member States require </w:t>
      </w:r>
      <w:r w:rsidRPr="00C13840">
        <w:rPr>
          <w:rFonts w:eastAsia="SimSun"/>
          <w:lang w:eastAsia="zh-CN"/>
        </w:rPr>
        <w:t xml:space="preserve">more </w:t>
      </w:r>
      <w:r w:rsidRPr="00C13840">
        <w:rPr>
          <w:rFonts w:eastAsia="SimSun" w:hint="eastAsia"/>
          <w:lang w:eastAsia="zh-CN"/>
        </w:rPr>
        <w:t>clarity on three critical fronts: whether current high-impact activities remain aligned with the</w:t>
      </w:r>
      <w:r w:rsidRPr="00C13840">
        <w:rPr>
          <w:rFonts w:eastAsia="SimSun"/>
          <w:lang w:eastAsia="zh-CN"/>
        </w:rPr>
        <w:t xml:space="preserve"> core</w:t>
      </w:r>
      <w:r w:rsidRPr="00C13840">
        <w:rPr>
          <w:rFonts w:eastAsia="SimSun" w:hint="eastAsia"/>
          <w:lang w:eastAsia="zh-CN"/>
        </w:rPr>
        <w:t xml:space="preserve"> mandate; what direct or indirect effects strategic and financially significant projects, activities, and agreements have on Member States and other membership categories; and whether ITU's financial position remains sustainable under existing strategic, financial, and operational frameworks.</w:t>
      </w:r>
    </w:p>
    <w:p w14:paraId="54593DB7" w14:textId="1A8B7077" w:rsidR="00C13840" w:rsidRPr="00C13840" w:rsidRDefault="00C13840" w:rsidP="00C13840">
      <w:pPr>
        <w:keepNext/>
        <w:keepLines/>
        <w:tabs>
          <w:tab w:val="clear" w:pos="567"/>
          <w:tab w:val="clear" w:pos="1134"/>
          <w:tab w:val="clear" w:pos="1701"/>
          <w:tab w:val="clear" w:pos="2268"/>
          <w:tab w:val="clear" w:pos="2835"/>
        </w:tabs>
        <w:spacing w:before="360" w:after="120"/>
        <w:jc w:val="both"/>
        <w:rPr>
          <w:b/>
          <w:bCs/>
        </w:rPr>
      </w:pPr>
      <w:r w:rsidRPr="00C13840">
        <w:rPr>
          <w:rFonts w:hint="eastAsia"/>
          <w:b/>
          <w:bCs/>
        </w:rPr>
        <w:lastRenderedPageBreak/>
        <w:t>2.</w:t>
      </w:r>
      <w:r w:rsidRPr="00C13840">
        <w:rPr>
          <w:b/>
          <w:bCs/>
        </w:rPr>
        <w:tab/>
      </w:r>
      <w:r w:rsidRPr="00C13840">
        <w:rPr>
          <w:rFonts w:hint="eastAsia"/>
          <w:b/>
          <w:bCs/>
        </w:rPr>
        <w:t>Proposal</w:t>
      </w:r>
    </w:p>
    <w:p w14:paraId="7EA17B74" w14:textId="77777777" w:rsidR="00C13840" w:rsidRPr="00C13840" w:rsidRDefault="00C13840" w:rsidP="00C13840">
      <w:pPr>
        <w:keepNext/>
        <w:keepLines/>
        <w:tabs>
          <w:tab w:val="clear" w:pos="567"/>
          <w:tab w:val="clear" w:pos="1134"/>
          <w:tab w:val="clear" w:pos="1701"/>
          <w:tab w:val="clear" w:pos="2268"/>
          <w:tab w:val="clear" w:pos="2835"/>
        </w:tabs>
        <w:spacing w:before="240" w:after="120"/>
        <w:jc w:val="both"/>
      </w:pPr>
      <w:r w:rsidRPr="00C13840">
        <w:rPr>
          <w:rFonts w:hint="eastAsia"/>
        </w:rPr>
        <w:t>ITU's financial management should aim not only to alleviate short-term pressures but also to establish a forward-looking framework that enhances financial sustainability. Accordingly, we recommend that the Secretary-General, in close coordination with the Directors of the three Bureaux, support Member States in improving financial performance monitoring, resource allocation, and operational sustainability.</w:t>
      </w:r>
    </w:p>
    <w:p w14:paraId="140A1983" w14:textId="77777777" w:rsidR="00C13840" w:rsidRPr="00C13840" w:rsidRDefault="00C13840" w:rsidP="00C13840">
      <w:pPr>
        <w:tabs>
          <w:tab w:val="clear" w:pos="567"/>
          <w:tab w:val="clear" w:pos="1134"/>
          <w:tab w:val="clear" w:pos="1701"/>
          <w:tab w:val="clear" w:pos="2268"/>
          <w:tab w:val="clear" w:pos="2835"/>
        </w:tabs>
        <w:spacing w:before="240" w:after="120"/>
        <w:ind w:left="709" w:hanging="709"/>
        <w:jc w:val="both"/>
      </w:pPr>
      <w:r w:rsidRPr="00C13840">
        <w:rPr>
          <w:rFonts w:hint="eastAsia"/>
        </w:rPr>
        <w:t>(1)</w:t>
      </w:r>
      <w:r w:rsidRPr="00C13840">
        <w:rPr>
          <w:rFonts w:eastAsia="SimSun" w:hint="eastAsia"/>
          <w:lang w:eastAsia="zh-CN"/>
        </w:rPr>
        <w:tab/>
      </w:r>
      <w:r w:rsidRPr="00C13840">
        <w:rPr>
          <w:rFonts w:hint="eastAsia"/>
        </w:rPr>
        <w:t>Strengthen budget alignment with strategic priorities to ensure that resources are allocated across the Union based on urgency and importance, with sufficient funding for core functions.</w:t>
      </w:r>
    </w:p>
    <w:p w14:paraId="6281808B" w14:textId="77777777" w:rsidR="00C13840" w:rsidRPr="00C13840" w:rsidRDefault="00C13840" w:rsidP="00C13840">
      <w:pPr>
        <w:tabs>
          <w:tab w:val="clear" w:pos="567"/>
          <w:tab w:val="clear" w:pos="1134"/>
          <w:tab w:val="clear" w:pos="1701"/>
          <w:tab w:val="clear" w:pos="2268"/>
          <w:tab w:val="clear" w:pos="2835"/>
        </w:tabs>
        <w:spacing w:before="240" w:after="120"/>
        <w:ind w:left="709" w:hanging="709"/>
        <w:jc w:val="both"/>
      </w:pPr>
      <w:r w:rsidRPr="00C13840">
        <w:rPr>
          <w:rFonts w:hint="eastAsia"/>
        </w:rPr>
        <w:t>(2)</w:t>
      </w:r>
      <w:r w:rsidRPr="00C13840">
        <w:rPr>
          <w:rFonts w:eastAsia="SimSun" w:hint="eastAsia"/>
          <w:lang w:eastAsia="zh-CN"/>
        </w:rPr>
        <w:tab/>
      </w:r>
      <w:r w:rsidRPr="00C13840">
        <w:rPr>
          <w:rFonts w:hint="eastAsia"/>
        </w:rPr>
        <w:t xml:space="preserve">Enhance transparency regarding projects, activities, and agreements with significant financial or strategic implications. The Secretariat and the three Bureaux shall assess their alignment with ITU's core functions and priority </w:t>
      </w:r>
      <w:proofErr w:type="gramStart"/>
      <w:r w:rsidRPr="00C13840">
        <w:rPr>
          <w:rFonts w:hint="eastAsia"/>
        </w:rPr>
        <w:t>tasks, and</w:t>
      </w:r>
      <w:proofErr w:type="gramEnd"/>
      <w:r w:rsidRPr="00C13840">
        <w:rPr>
          <w:rFonts w:hint="eastAsia"/>
        </w:rPr>
        <w:t xml:space="preserve"> submit such assessments as Contribution documents for Council review at its annual sessions.</w:t>
      </w:r>
    </w:p>
    <w:p w14:paraId="1D2D390D" w14:textId="77777777" w:rsidR="00C13840" w:rsidRDefault="00C13840" w:rsidP="00C13840">
      <w:pPr>
        <w:tabs>
          <w:tab w:val="clear" w:pos="567"/>
          <w:tab w:val="clear" w:pos="1134"/>
          <w:tab w:val="clear" w:pos="1701"/>
          <w:tab w:val="clear" w:pos="2268"/>
          <w:tab w:val="clear" w:pos="2835"/>
        </w:tabs>
        <w:spacing w:before="240" w:after="120"/>
        <w:ind w:left="709" w:hanging="709"/>
        <w:jc w:val="both"/>
      </w:pPr>
      <w:r w:rsidRPr="00C13840">
        <w:rPr>
          <w:rFonts w:hint="eastAsia"/>
        </w:rPr>
        <w:t>(3)</w:t>
      </w:r>
      <w:r w:rsidRPr="00C13840">
        <w:rPr>
          <w:rFonts w:eastAsia="SimSun" w:hint="eastAsia"/>
          <w:lang w:eastAsia="zh-CN"/>
        </w:rPr>
        <w:tab/>
      </w:r>
      <w:r w:rsidRPr="00C13840">
        <w:rPr>
          <w:rFonts w:hint="eastAsia"/>
        </w:rPr>
        <w:t>Ensure Member States have access to comprehensive, accurate, and timely financial information and performance reports. The establishment of any new fund or reserve shall comply with the Union's Basic Texts, Financial Regulations and Financial Rules, and be subject to Council approval.</w:t>
      </w:r>
    </w:p>
    <w:p w14:paraId="422C6806" w14:textId="003729CB" w:rsidR="005E5FB2" w:rsidRPr="00C13840" w:rsidRDefault="005E5FB2" w:rsidP="00C13840">
      <w:pPr>
        <w:tabs>
          <w:tab w:val="clear" w:pos="567"/>
          <w:tab w:val="clear" w:pos="1134"/>
          <w:tab w:val="clear" w:pos="1701"/>
          <w:tab w:val="clear" w:pos="2268"/>
          <w:tab w:val="clear" w:pos="2835"/>
        </w:tabs>
        <w:spacing w:before="240" w:after="120"/>
        <w:ind w:left="709" w:hanging="709"/>
        <w:jc w:val="both"/>
      </w:pPr>
      <w:r w:rsidRPr="005E5FB2">
        <w:t>(4)</w:t>
      </w:r>
      <w:r>
        <w:tab/>
      </w:r>
      <w:r w:rsidRPr="005E5FB2">
        <w:t>When launching new funded activities or projects, even if they have no direct impacts on the annual financial budget, due consideration should be given to the indirect financial implications arising from the consumption of ITU human resources by such activities.</w:t>
      </w:r>
    </w:p>
    <w:p w14:paraId="6AF2786B" w14:textId="77777777" w:rsidR="00C13840" w:rsidRPr="00C13840" w:rsidRDefault="00C13840" w:rsidP="00C13840">
      <w:pPr>
        <w:tabs>
          <w:tab w:val="clear" w:pos="567"/>
          <w:tab w:val="clear" w:pos="1134"/>
          <w:tab w:val="clear" w:pos="1701"/>
          <w:tab w:val="clear" w:pos="2268"/>
          <w:tab w:val="clear" w:pos="2835"/>
        </w:tabs>
        <w:spacing w:after="120"/>
        <w:jc w:val="both"/>
      </w:pPr>
    </w:p>
    <w:p w14:paraId="0D1E478F" w14:textId="68D6727D" w:rsidR="007A3FCD" w:rsidRPr="00C0458D" w:rsidRDefault="00C13840" w:rsidP="00C13840">
      <w:pPr>
        <w:jc w:val="center"/>
      </w:pPr>
      <w:r w:rsidRPr="00C13840">
        <w:t>______________</w:t>
      </w:r>
      <w:r w:rsidR="007A3FCD" w:rsidRPr="00C13840">
        <w:t>__________</w:t>
      </w:r>
    </w:p>
    <w:sectPr w:rsidR="007A3FCD" w:rsidRPr="00C0458D" w:rsidSect="00AD3606">
      <w:footerReference w:type="default" r:id="rId30"/>
      <w:headerReference w:type="first" r:id="rId31"/>
      <w:footerReference w:type="first" r:id="rId3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0ADF3" w14:textId="77777777" w:rsidR="00F27212" w:rsidRPr="00C13840" w:rsidRDefault="00F27212">
      <w:r w:rsidRPr="00C13840">
        <w:separator/>
      </w:r>
    </w:p>
  </w:endnote>
  <w:endnote w:type="continuationSeparator" w:id="0">
    <w:p w14:paraId="4750E2E2" w14:textId="77777777" w:rsidR="00F27212" w:rsidRPr="00C13840" w:rsidRDefault="00F27212">
      <w:r w:rsidRPr="00C138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C13840" w14:paraId="75102083" w14:textId="77777777" w:rsidTr="0042469C">
      <w:trPr>
        <w:jc w:val="center"/>
      </w:trPr>
      <w:tc>
        <w:tcPr>
          <w:tcW w:w="1803" w:type="dxa"/>
          <w:vAlign w:val="center"/>
        </w:tcPr>
        <w:p w14:paraId="3C16AE96" w14:textId="1B6C7A08" w:rsidR="00EE49E8" w:rsidRPr="00C13840" w:rsidRDefault="00C6520B" w:rsidP="00EE49E8">
          <w:pPr>
            <w:pStyle w:val="Header"/>
            <w:jc w:val="left"/>
          </w:pPr>
          <w:proofErr w:type="spellStart"/>
          <w:r w:rsidRPr="00C13840">
            <w:t>gDoc</w:t>
          </w:r>
          <w:proofErr w:type="spellEnd"/>
          <w:r w:rsidRPr="00C13840">
            <w:t xml:space="preserve"> </w:t>
          </w:r>
          <w:proofErr w:type="spellStart"/>
          <w:r w:rsidR="00057CE7" w:rsidRPr="00057CE7">
            <w:t>R2600911</w:t>
          </w:r>
          <w:proofErr w:type="spellEnd"/>
        </w:p>
      </w:tc>
      <w:tc>
        <w:tcPr>
          <w:tcW w:w="8261" w:type="dxa"/>
        </w:tcPr>
        <w:p w14:paraId="4D34939F" w14:textId="7B40E6D3" w:rsidR="00EE49E8" w:rsidRPr="00C13840" w:rsidRDefault="00EE49E8" w:rsidP="001F5569">
          <w:pPr>
            <w:pStyle w:val="Header"/>
            <w:tabs>
              <w:tab w:val="left" w:pos="6731"/>
              <w:tab w:val="right" w:pos="8505"/>
              <w:tab w:val="right" w:pos="9639"/>
            </w:tabs>
            <w:jc w:val="left"/>
            <w:rPr>
              <w:rFonts w:ascii="Arial" w:hAnsi="Arial" w:cs="Arial"/>
              <w:b/>
              <w:bCs/>
              <w:szCs w:val="18"/>
            </w:rPr>
          </w:pPr>
          <w:r w:rsidRPr="00C13840">
            <w:rPr>
              <w:bCs/>
            </w:rPr>
            <w:tab/>
            <w:t>C2</w:t>
          </w:r>
          <w:r w:rsidR="00DE532B" w:rsidRPr="00C13840">
            <w:rPr>
              <w:bCs/>
            </w:rPr>
            <w:t>6</w:t>
          </w:r>
          <w:r w:rsidRPr="00C13840">
            <w:rPr>
              <w:bCs/>
            </w:rPr>
            <w:t>/</w:t>
          </w:r>
          <w:r w:rsidR="00C13840" w:rsidRPr="00C13840">
            <w:rPr>
              <w:bCs/>
            </w:rPr>
            <w:t>80</w:t>
          </w:r>
          <w:r w:rsidRPr="00C13840">
            <w:rPr>
              <w:bCs/>
            </w:rPr>
            <w:t>-E</w:t>
          </w:r>
          <w:r w:rsidRPr="00C13840">
            <w:rPr>
              <w:bCs/>
            </w:rPr>
            <w:tab/>
          </w:r>
          <w:r w:rsidRPr="00C13840">
            <w:fldChar w:fldCharType="begin"/>
          </w:r>
          <w:r w:rsidRPr="00C13840">
            <w:instrText>PAGE</w:instrText>
          </w:r>
          <w:r w:rsidRPr="00C13840">
            <w:fldChar w:fldCharType="separate"/>
          </w:r>
          <w:r w:rsidRPr="00C13840">
            <w:t>1</w:t>
          </w:r>
          <w:r w:rsidRPr="00C13840">
            <w:fldChar w:fldCharType="end"/>
          </w:r>
        </w:p>
      </w:tc>
    </w:tr>
  </w:tbl>
  <w:p w14:paraId="06BC350F" w14:textId="77777777" w:rsidR="00EE49E8" w:rsidRPr="00C13840"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C13840" w14:paraId="3706779C" w14:textId="77777777" w:rsidTr="006B77F1">
      <w:trPr>
        <w:jc w:val="center"/>
      </w:trPr>
      <w:tc>
        <w:tcPr>
          <w:tcW w:w="1803" w:type="dxa"/>
          <w:vAlign w:val="center"/>
        </w:tcPr>
        <w:p w14:paraId="21DBFDFB" w14:textId="77777777" w:rsidR="00EE49E8" w:rsidRPr="00C13840" w:rsidRDefault="00DE532B" w:rsidP="00EE49E8">
          <w:pPr>
            <w:pStyle w:val="Header"/>
            <w:jc w:val="left"/>
          </w:pPr>
          <w:hyperlink r:id="rId1" w:history="1">
            <w:r w:rsidRPr="00C13840">
              <w:rPr>
                <w:rStyle w:val="Hyperlink"/>
                <w:u w:val="none"/>
              </w:rPr>
              <w:t>council.itu.int/2026</w:t>
            </w:r>
          </w:hyperlink>
        </w:p>
      </w:tc>
      <w:tc>
        <w:tcPr>
          <w:tcW w:w="8261" w:type="dxa"/>
        </w:tcPr>
        <w:p w14:paraId="0FAB3B16" w14:textId="2D60A9CD" w:rsidR="00EE49E8" w:rsidRPr="00C13840" w:rsidRDefault="00EE49E8" w:rsidP="001F5569">
          <w:pPr>
            <w:pStyle w:val="Header"/>
            <w:tabs>
              <w:tab w:val="left" w:pos="6731"/>
              <w:tab w:val="right" w:pos="8505"/>
              <w:tab w:val="right" w:pos="9639"/>
            </w:tabs>
            <w:jc w:val="left"/>
            <w:rPr>
              <w:rFonts w:ascii="Arial" w:hAnsi="Arial" w:cs="Arial"/>
              <w:b/>
              <w:bCs/>
              <w:szCs w:val="18"/>
            </w:rPr>
          </w:pPr>
          <w:r w:rsidRPr="00C13840">
            <w:rPr>
              <w:bCs/>
            </w:rPr>
            <w:tab/>
            <w:t>C2</w:t>
          </w:r>
          <w:r w:rsidR="00DE532B" w:rsidRPr="00C13840">
            <w:rPr>
              <w:bCs/>
            </w:rPr>
            <w:t>6</w:t>
          </w:r>
          <w:r w:rsidRPr="00C13840">
            <w:rPr>
              <w:bCs/>
            </w:rPr>
            <w:t>/</w:t>
          </w:r>
          <w:r w:rsidR="00C13840" w:rsidRPr="00C13840">
            <w:rPr>
              <w:bCs/>
            </w:rPr>
            <w:t>80</w:t>
          </w:r>
          <w:r w:rsidRPr="00C13840">
            <w:rPr>
              <w:bCs/>
            </w:rPr>
            <w:t>-E</w:t>
          </w:r>
          <w:r w:rsidRPr="00C13840">
            <w:rPr>
              <w:bCs/>
            </w:rPr>
            <w:tab/>
          </w:r>
          <w:r w:rsidRPr="00C13840">
            <w:fldChar w:fldCharType="begin"/>
          </w:r>
          <w:r w:rsidRPr="00C13840">
            <w:instrText>PAGE</w:instrText>
          </w:r>
          <w:r w:rsidRPr="00C13840">
            <w:fldChar w:fldCharType="separate"/>
          </w:r>
          <w:r w:rsidRPr="00C13840">
            <w:t>1</w:t>
          </w:r>
          <w:r w:rsidRPr="00C13840">
            <w:fldChar w:fldCharType="end"/>
          </w:r>
        </w:p>
      </w:tc>
    </w:tr>
  </w:tbl>
  <w:p w14:paraId="0E27737E" w14:textId="77777777" w:rsidR="00A514A4" w:rsidRPr="00C13840"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AB6AC" w14:textId="77777777" w:rsidR="00F27212" w:rsidRPr="00C13840" w:rsidRDefault="00F27212">
      <w:r w:rsidRPr="00C13840">
        <w:t>____________________</w:t>
      </w:r>
    </w:p>
  </w:footnote>
  <w:footnote w:type="continuationSeparator" w:id="0">
    <w:p w14:paraId="065E0351" w14:textId="77777777" w:rsidR="00F27212" w:rsidRPr="00C13840" w:rsidRDefault="00F27212">
      <w:r w:rsidRPr="00C138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A2B7" w14:textId="77777777" w:rsidR="00AD3606" w:rsidRPr="00C13840" w:rsidRDefault="00512087" w:rsidP="0049369C">
    <w:pPr>
      <w:pStyle w:val="Header"/>
    </w:pPr>
    <w:r w:rsidRPr="00C13840">
      <w:rPr>
        <w:noProof/>
      </w:rPr>
      <w:drawing>
        <wp:inline distT="0" distB="0" distL="0" distR="0" wp14:anchorId="16AD69B0" wp14:editId="15BC3CB0">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12"/>
    <w:rsid w:val="000210D4"/>
    <w:rsid w:val="00057CE7"/>
    <w:rsid w:val="0006007D"/>
    <w:rsid w:val="00063016"/>
    <w:rsid w:val="00066795"/>
    <w:rsid w:val="00076AF6"/>
    <w:rsid w:val="00085CF2"/>
    <w:rsid w:val="000B1705"/>
    <w:rsid w:val="000D75B2"/>
    <w:rsid w:val="000E372C"/>
    <w:rsid w:val="000F5DDB"/>
    <w:rsid w:val="001121F5"/>
    <w:rsid w:val="00136D2A"/>
    <w:rsid w:val="001400DC"/>
    <w:rsid w:val="00140CE1"/>
    <w:rsid w:val="0015189A"/>
    <w:rsid w:val="0017539C"/>
    <w:rsid w:val="00175AC2"/>
    <w:rsid w:val="0017609F"/>
    <w:rsid w:val="00176F47"/>
    <w:rsid w:val="001A3154"/>
    <w:rsid w:val="001A7D1D"/>
    <w:rsid w:val="001B51DD"/>
    <w:rsid w:val="001C628E"/>
    <w:rsid w:val="001E0F7B"/>
    <w:rsid w:val="001F5569"/>
    <w:rsid w:val="0020487B"/>
    <w:rsid w:val="002119FD"/>
    <w:rsid w:val="002130E0"/>
    <w:rsid w:val="00221F46"/>
    <w:rsid w:val="00253319"/>
    <w:rsid w:val="00264425"/>
    <w:rsid w:val="00265875"/>
    <w:rsid w:val="0027303B"/>
    <w:rsid w:val="00277DEA"/>
    <w:rsid w:val="0028109B"/>
    <w:rsid w:val="002916B4"/>
    <w:rsid w:val="002A0615"/>
    <w:rsid w:val="002A133E"/>
    <w:rsid w:val="002A2188"/>
    <w:rsid w:val="002B1F58"/>
    <w:rsid w:val="002C1C7A"/>
    <w:rsid w:val="002C3F32"/>
    <w:rsid w:val="002C54E2"/>
    <w:rsid w:val="0030160F"/>
    <w:rsid w:val="00320223"/>
    <w:rsid w:val="00322D0D"/>
    <w:rsid w:val="00361465"/>
    <w:rsid w:val="003845D3"/>
    <w:rsid w:val="003877F5"/>
    <w:rsid w:val="003936D3"/>
    <w:rsid w:val="003942D4"/>
    <w:rsid w:val="003958A8"/>
    <w:rsid w:val="003B29C2"/>
    <w:rsid w:val="003B4FAF"/>
    <w:rsid w:val="003C2533"/>
    <w:rsid w:val="003D5A7F"/>
    <w:rsid w:val="003F0228"/>
    <w:rsid w:val="0040435A"/>
    <w:rsid w:val="00416A24"/>
    <w:rsid w:val="00431D9E"/>
    <w:rsid w:val="00433CE8"/>
    <w:rsid w:val="00434A5C"/>
    <w:rsid w:val="00453079"/>
    <w:rsid w:val="004544D9"/>
    <w:rsid w:val="00465C35"/>
    <w:rsid w:val="00472BAD"/>
    <w:rsid w:val="00484009"/>
    <w:rsid w:val="00490E72"/>
    <w:rsid w:val="00491157"/>
    <w:rsid w:val="00491BA9"/>
    <w:rsid w:val="004921C8"/>
    <w:rsid w:val="0049369C"/>
    <w:rsid w:val="00495615"/>
    <w:rsid w:val="00495B0B"/>
    <w:rsid w:val="004A1B8B"/>
    <w:rsid w:val="004C4C94"/>
    <w:rsid w:val="004D1851"/>
    <w:rsid w:val="004D599D"/>
    <w:rsid w:val="004E2EA5"/>
    <w:rsid w:val="004E3AEB"/>
    <w:rsid w:val="0050223C"/>
    <w:rsid w:val="00512087"/>
    <w:rsid w:val="005243FF"/>
    <w:rsid w:val="00564FBC"/>
    <w:rsid w:val="005800BC"/>
    <w:rsid w:val="00582442"/>
    <w:rsid w:val="005E5FB2"/>
    <w:rsid w:val="005F3269"/>
    <w:rsid w:val="0061071E"/>
    <w:rsid w:val="00623AE3"/>
    <w:rsid w:val="0064737F"/>
    <w:rsid w:val="006535F1"/>
    <w:rsid w:val="0065557D"/>
    <w:rsid w:val="00660D50"/>
    <w:rsid w:val="00662984"/>
    <w:rsid w:val="00670301"/>
    <w:rsid w:val="006716BB"/>
    <w:rsid w:val="00695D2A"/>
    <w:rsid w:val="006A2F4B"/>
    <w:rsid w:val="006B1859"/>
    <w:rsid w:val="006B6680"/>
    <w:rsid w:val="006B6DCC"/>
    <w:rsid w:val="006B77F1"/>
    <w:rsid w:val="00702DEF"/>
    <w:rsid w:val="00706861"/>
    <w:rsid w:val="00722551"/>
    <w:rsid w:val="0075051B"/>
    <w:rsid w:val="00751448"/>
    <w:rsid w:val="00765C89"/>
    <w:rsid w:val="0077110E"/>
    <w:rsid w:val="00775F3D"/>
    <w:rsid w:val="00793188"/>
    <w:rsid w:val="00794D34"/>
    <w:rsid w:val="007A3FCD"/>
    <w:rsid w:val="007B19CF"/>
    <w:rsid w:val="007D01AF"/>
    <w:rsid w:val="007E37B6"/>
    <w:rsid w:val="00813E5E"/>
    <w:rsid w:val="0083581B"/>
    <w:rsid w:val="0084546D"/>
    <w:rsid w:val="00863874"/>
    <w:rsid w:val="00864AFF"/>
    <w:rsid w:val="00865925"/>
    <w:rsid w:val="008B4A6A"/>
    <w:rsid w:val="008C7E27"/>
    <w:rsid w:val="008F7448"/>
    <w:rsid w:val="0090147A"/>
    <w:rsid w:val="009173EF"/>
    <w:rsid w:val="00932906"/>
    <w:rsid w:val="00954C49"/>
    <w:rsid w:val="00961B0B"/>
    <w:rsid w:val="00962D33"/>
    <w:rsid w:val="009842A1"/>
    <w:rsid w:val="009A76A8"/>
    <w:rsid w:val="009B38C3"/>
    <w:rsid w:val="009E17BD"/>
    <w:rsid w:val="009E485A"/>
    <w:rsid w:val="00A04CEC"/>
    <w:rsid w:val="00A109AF"/>
    <w:rsid w:val="00A27F92"/>
    <w:rsid w:val="00A32257"/>
    <w:rsid w:val="00A36D20"/>
    <w:rsid w:val="00A514A4"/>
    <w:rsid w:val="00A55622"/>
    <w:rsid w:val="00A83502"/>
    <w:rsid w:val="00A94BAB"/>
    <w:rsid w:val="00AD15B3"/>
    <w:rsid w:val="00AD3606"/>
    <w:rsid w:val="00AD4A3D"/>
    <w:rsid w:val="00AF6E49"/>
    <w:rsid w:val="00B04A67"/>
    <w:rsid w:val="00B0583C"/>
    <w:rsid w:val="00B40A81"/>
    <w:rsid w:val="00B44910"/>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458D"/>
    <w:rsid w:val="00C13840"/>
    <w:rsid w:val="00C374DE"/>
    <w:rsid w:val="00C47AD4"/>
    <w:rsid w:val="00C52D81"/>
    <w:rsid w:val="00C55198"/>
    <w:rsid w:val="00C5605F"/>
    <w:rsid w:val="00C6520B"/>
    <w:rsid w:val="00C76ED4"/>
    <w:rsid w:val="00CA6393"/>
    <w:rsid w:val="00CA7995"/>
    <w:rsid w:val="00CB18FF"/>
    <w:rsid w:val="00CD0C08"/>
    <w:rsid w:val="00CE03FB"/>
    <w:rsid w:val="00CE433C"/>
    <w:rsid w:val="00CF0161"/>
    <w:rsid w:val="00CF33F3"/>
    <w:rsid w:val="00CF4A2B"/>
    <w:rsid w:val="00D024CA"/>
    <w:rsid w:val="00D06183"/>
    <w:rsid w:val="00D22C42"/>
    <w:rsid w:val="00D65041"/>
    <w:rsid w:val="00DB1936"/>
    <w:rsid w:val="00DB384B"/>
    <w:rsid w:val="00DE532B"/>
    <w:rsid w:val="00DF0189"/>
    <w:rsid w:val="00E06FD5"/>
    <w:rsid w:val="00E10E80"/>
    <w:rsid w:val="00E124F0"/>
    <w:rsid w:val="00E227F3"/>
    <w:rsid w:val="00E545C6"/>
    <w:rsid w:val="00E60F04"/>
    <w:rsid w:val="00E65B24"/>
    <w:rsid w:val="00E854E4"/>
    <w:rsid w:val="00E86DBF"/>
    <w:rsid w:val="00E969AF"/>
    <w:rsid w:val="00EB0D6F"/>
    <w:rsid w:val="00EB2232"/>
    <w:rsid w:val="00EC5337"/>
    <w:rsid w:val="00EE49E8"/>
    <w:rsid w:val="00F16BAB"/>
    <w:rsid w:val="00F2150A"/>
    <w:rsid w:val="00F231D8"/>
    <w:rsid w:val="00F27212"/>
    <w:rsid w:val="00F44C00"/>
    <w:rsid w:val="00F45D2C"/>
    <w:rsid w:val="00F46C5F"/>
    <w:rsid w:val="00F632C0"/>
    <w:rsid w:val="00F641E1"/>
    <w:rsid w:val="00F87149"/>
    <w:rsid w:val="00F94A63"/>
    <w:rsid w:val="00FA1C28"/>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ADDF"/>
  <w15:docId w15:val="{71D14934-2434-46B7-90F1-46CABA0F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council/Documents/basic-texts-2023/RES-158-E.pdf" TargetMode="External"/><Relationship Id="rId18" Type="http://schemas.openxmlformats.org/officeDocument/2006/relationships/hyperlink" Target="https://www.itu.int/md/S25-CL-C-0040/en" TargetMode="External"/><Relationship Id="rId26" Type="http://schemas.openxmlformats.org/officeDocument/2006/relationships/hyperlink" Target="https://www.itu.int/md/S24-CWGFHR17-C-0024/en" TargetMode="External"/><Relationship Id="rId3" Type="http://schemas.openxmlformats.org/officeDocument/2006/relationships/styles" Target="styles.xml"/><Relationship Id="rId21" Type="http://schemas.openxmlformats.org/officeDocument/2006/relationships/hyperlink" Target="https://www.itu.int/md/S23-CL-C-0104/e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en/council/Documents/basic-texts-2023/RES-151-E.pdf" TargetMode="External"/><Relationship Id="rId17" Type="http://schemas.openxmlformats.org/officeDocument/2006/relationships/hyperlink" Target="https://www.itu.int/md/S26-CL-C-0022/en" TargetMode="External"/><Relationship Id="rId25" Type="http://schemas.openxmlformats.org/officeDocument/2006/relationships/hyperlink" Target="https://www.itu.int/md/S24-CWGFHR19-C-0015/e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md/S26-CL-C-0042/en" TargetMode="External"/><Relationship Id="rId20" Type="http://schemas.openxmlformats.org/officeDocument/2006/relationships/hyperlink" Target="https://www.itu.int/md/S24-CL-C-0109/en" TargetMode="External"/><Relationship Id="rId29" Type="http://schemas.openxmlformats.org/officeDocument/2006/relationships/hyperlink" Target="https://www.itu.int/md/S26-CL-C-0022/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2023/RES-094-E.pdf" TargetMode="External"/><Relationship Id="rId24" Type="http://schemas.openxmlformats.org/officeDocument/2006/relationships/hyperlink" Target="https://www.itu.int/md/S25-CWGFHR20-C-0032/en"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tu.int/md/S26-CL-C-0055/en" TargetMode="External"/><Relationship Id="rId23" Type="http://schemas.openxmlformats.org/officeDocument/2006/relationships/hyperlink" Target="https://www.itu.int/md/S25-CWGFHR21-C-0025/en" TargetMode="External"/><Relationship Id="rId28" Type="http://schemas.openxmlformats.org/officeDocument/2006/relationships/hyperlink" Target="https://www.itu.int/md/S26-CL-C-0042/en" TargetMode="External"/><Relationship Id="rId10" Type="http://schemas.openxmlformats.org/officeDocument/2006/relationships/hyperlink" Target="https://www.itu.int/en/council/Documents/basic-texts-2023/DEC-005-E.pdf" TargetMode="External"/><Relationship Id="rId19" Type="http://schemas.openxmlformats.org/officeDocument/2006/relationships/hyperlink" Target="https://www.itu.int/md/S25-CL-C-0105/e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en/council/Documents/basic-texts/Convention-E.pdf" TargetMode="External"/><Relationship Id="rId14" Type="http://schemas.openxmlformats.org/officeDocument/2006/relationships/hyperlink" Target="https://www.itu.int/en/council/Documents/basic-texts-2023/RES-162-E.pdf" TargetMode="External"/><Relationship Id="rId22" Type="http://schemas.openxmlformats.org/officeDocument/2006/relationships/hyperlink" Target="https://www.itu.int/md/S26-CWGFHR22-C-0036/en" TargetMode="External"/><Relationship Id="rId27" Type="http://schemas.openxmlformats.org/officeDocument/2006/relationships/hyperlink" Target="https://www.itu.int/md/S25-CL-C-0040/en" TargetMode="External"/><Relationship Id="rId30" Type="http://schemas.openxmlformats.org/officeDocument/2006/relationships/footer" Target="footer1.xml"/><Relationship Id="rId8" Type="http://schemas.openxmlformats.org/officeDocument/2006/relationships/hyperlink" Target="https://www.itu.int/en/council/Documents/basic-texts/Constitution-E.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6853</Characters>
  <Application>Microsoft Office Word</Application>
  <DocSecurity>0</DocSecurity>
  <Lines>118</Lines>
  <Paragraphs>34</Paragraphs>
  <ScaleCrop>false</ScaleCrop>
  <HeadingPairs>
    <vt:vector size="2" baseType="variant">
      <vt:variant>
        <vt:lpstr>Title</vt:lpstr>
      </vt:variant>
      <vt:variant>
        <vt:i4>1</vt:i4>
      </vt:variant>
    </vt:vector>
  </HeadingPairs>
  <TitlesOfParts>
    <vt:vector size="1" baseType="lpstr">
      <vt:lpstr/>
    </vt:vector>
  </TitlesOfParts>
  <Manager>General Secretariat</Manager>
  <Company>International Telecommunication Union (ITU)</Company>
  <LinksUpToDate>false</LinksUpToDate>
  <CharactersWithSpaces>7904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 on enhancing transparency in the financial management of the ITU</dc:title>
  <dc:subject>ITU Council 2026</dc:subject>
  <cp:keywords>C26; C2026; Council 2026; PP26</cp:keywords>
  <dc:description/>
  <cp:lastPrinted>2000-07-18T13:30:00Z</cp:lastPrinted>
  <dcterms:created xsi:type="dcterms:W3CDTF">2026-04-24T06:27:00Z</dcterms:created>
  <dcterms:modified xsi:type="dcterms:W3CDTF">2026-04-24T06:27:00Z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