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4A0" w:firstRow="1" w:lastRow="0" w:firstColumn="1" w:lastColumn="0" w:noHBand="0" w:noVBand="1"/>
      </w:tblPr>
      <w:tblGrid>
        <w:gridCol w:w="3969"/>
        <w:gridCol w:w="5245"/>
      </w:tblGrid>
      <w:tr w:rsidR="00B76630" w:rsidRPr="005F518C" w14:paraId="5967B7BB" w14:textId="77777777">
        <w:trPr>
          <w:cantSplit/>
          <w:trHeight w:val="23"/>
        </w:trPr>
        <w:tc>
          <w:tcPr>
            <w:tcW w:w="3969" w:type="dxa"/>
            <w:vMerge w:val="restart"/>
            <w:tcMar>
              <w:left w:w="0" w:type="dxa"/>
            </w:tcMar>
          </w:tcPr>
          <w:p w14:paraId="77CEB6B3" w14:textId="028B5564" w:rsidR="00B76630" w:rsidRPr="00F32AE6" w:rsidRDefault="00C048A2">
            <w:pPr>
              <w:tabs>
                <w:tab w:val="left" w:pos="851"/>
              </w:tabs>
              <w:spacing w:before="0" w:line="240" w:lineRule="atLeast"/>
              <w:rPr>
                <w:b/>
                <w:bCs/>
                <w:lang w:val="fr-CH"/>
              </w:rPr>
            </w:pPr>
            <w:bookmarkStart w:id="0" w:name="dnum" w:colFirst="1" w:colLast="1"/>
            <w:bookmarkStart w:id="1" w:name="dmeeting" w:colFirst="0" w:colLast="0"/>
            <w:bookmarkStart w:id="2" w:name="_Hlk133421839"/>
            <w:proofErr w:type="spellStart"/>
            <w:r w:rsidRPr="005F518C">
              <w:rPr>
                <w:rFonts w:cstheme="minorHAnsi" w:hint="eastAsia"/>
                <w:b/>
                <w:bCs/>
                <w:lang w:val="ru-RU"/>
              </w:rPr>
              <w:t>议项</w:t>
            </w:r>
            <w:proofErr w:type="spellEnd"/>
            <w:r w:rsidRPr="005F518C">
              <w:rPr>
                <w:rFonts w:cstheme="minorHAnsi" w:hint="eastAsia"/>
                <w:b/>
                <w:bCs/>
                <w:lang w:val="ru-RU"/>
              </w:rPr>
              <w:t>：</w:t>
            </w:r>
            <w:r w:rsidR="00F32AE6">
              <w:rPr>
                <w:rFonts w:cstheme="minorHAnsi"/>
                <w:b/>
                <w:bCs/>
                <w:lang w:val="ru-RU"/>
              </w:rPr>
              <w:t>A</w:t>
            </w:r>
            <w:r w:rsidR="00F32AE6">
              <w:rPr>
                <w:rFonts w:cstheme="minorHAnsi"/>
                <w:b/>
                <w:bCs/>
                <w:lang w:val="fr-CH"/>
              </w:rPr>
              <w:t>DM 1</w:t>
            </w:r>
          </w:p>
        </w:tc>
        <w:tc>
          <w:tcPr>
            <w:tcW w:w="5245" w:type="dxa"/>
          </w:tcPr>
          <w:p w14:paraId="5043F054" w14:textId="36069B4F" w:rsidR="00B76630" w:rsidRPr="005F518C" w:rsidRDefault="00C048A2">
            <w:pPr>
              <w:tabs>
                <w:tab w:val="left" w:pos="851"/>
              </w:tabs>
              <w:spacing w:before="0" w:line="240" w:lineRule="atLeast"/>
              <w:jc w:val="right"/>
              <w:rPr>
                <w:b/>
                <w:lang w:val="fr-CH"/>
              </w:rPr>
            </w:pPr>
            <w:proofErr w:type="spellStart"/>
            <w:r w:rsidRPr="005F518C">
              <w:rPr>
                <w:rFonts w:cstheme="minorHAnsi"/>
                <w:b/>
                <w:bCs/>
                <w:lang w:val="ru-RU"/>
              </w:rPr>
              <w:t>文件</w:t>
            </w:r>
            <w:proofErr w:type="spellEnd"/>
            <w:r w:rsidRPr="005F518C">
              <w:rPr>
                <w:rFonts w:cstheme="minorHAnsi" w:hint="eastAsia"/>
                <w:b/>
                <w:bCs/>
                <w:lang w:val="ru-RU"/>
              </w:rPr>
              <w:t xml:space="preserve"> </w:t>
            </w:r>
            <w:r w:rsidRPr="005F518C">
              <w:rPr>
                <w:b/>
                <w:lang w:val="fr-CH"/>
              </w:rPr>
              <w:t>C26/</w:t>
            </w:r>
            <w:r w:rsidR="002972FF" w:rsidRPr="005F518C">
              <w:rPr>
                <w:b/>
                <w:lang w:val="fr-CH"/>
              </w:rPr>
              <w:t>80</w:t>
            </w:r>
            <w:r w:rsidRPr="005F518C">
              <w:rPr>
                <w:b/>
                <w:lang w:val="fr-CH"/>
              </w:rPr>
              <w:t>-C</w:t>
            </w:r>
          </w:p>
        </w:tc>
      </w:tr>
      <w:tr w:rsidR="00B76630" w:rsidRPr="005F518C" w14:paraId="7E7D34B6" w14:textId="77777777">
        <w:trPr>
          <w:cantSplit/>
        </w:trPr>
        <w:tc>
          <w:tcPr>
            <w:tcW w:w="3969" w:type="dxa"/>
            <w:vMerge/>
          </w:tcPr>
          <w:p w14:paraId="7B006C61" w14:textId="77777777" w:rsidR="00B76630" w:rsidRPr="005F518C" w:rsidRDefault="00B76630">
            <w:pPr>
              <w:tabs>
                <w:tab w:val="left" w:pos="851"/>
              </w:tabs>
              <w:spacing w:line="240" w:lineRule="atLeast"/>
              <w:rPr>
                <w:b/>
                <w:lang w:val="fr-CH"/>
              </w:rPr>
            </w:pPr>
            <w:bookmarkStart w:id="3" w:name="ddate" w:colFirst="1" w:colLast="1"/>
            <w:bookmarkEnd w:id="0"/>
            <w:bookmarkEnd w:id="1"/>
          </w:p>
        </w:tc>
        <w:tc>
          <w:tcPr>
            <w:tcW w:w="5245" w:type="dxa"/>
          </w:tcPr>
          <w:p w14:paraId="5A4AB135" w14:textId="799FCC70" w:rsidR="00B76630" w:rsidRPr="005F518C" w:rsidRDefault="002972FF">
            <w:pPr>
              <w:tabs>
                <w:tab w:val="left" w:pos="851"/>
              </w:tabs>
              <w:spacing w:before="0"/>
              <w:jc w:val="right"/>
              <w:rPr>
                <w:b/>
              </w:rPr>
            </w:pPr>
            <w:r w:rsidRPr="005F518C">
              <w:rPr>
                <w:rFonts w:hint="eastAsia"/>
                <w:b/>
                <w:lang w:eastAsia="zh-CN"/>
              </w:rPr>
              <w:t>2026</w:t>
            </w:r>
            <w:r w:rsidRPr="005F518C">
              <w:rPr>
                <w:rFonts w:hint="eastAsia"/>
                <w:b/>
                <w:lang w:eastAsia="zh-CN"/>
              </w:rPr>
              <w:t>年</w:t>
            </w:r>
            <w:r w:rsidRPr="005F518C">
              <w:rPr>
                <w:rFonts w:hint="eastAsia"/>
                <w:b/>
                <w:lang w:eastAsia="zh-CN"/>
              </w:rPr>
              <w:t>4</w:t>
            </w:r>
            <w:r w:rsidRPr="005F518C">
              <w:rPr>
                <w:rFonts w:hint="eastAsia"/>
                <w:b/>
                <w:lang w:eastAsia="zh-CN"/>
              </w:rPr>
              <w:t>月</w:t>
            </w:r>
            <w:r w:rsidRPr="005F518C">
              <w:rPr>
                <w:rFonts w:hint="eastAsia"/>
                <w:b/>
                <w:lang w:eastAsia="zh-CN"/>
              </w:rPr>
              <w:t>14</w:t>
            </w:r>
            <w:r w:rsidRPr="005F518C">
              <w:rPr>
                <w:rFonts w:hint="eastAsia"/>
                <w:b/>
                <w:lang w:eastAsia="zh-CN"/>
              </w:rPr>
              <w:t>日</w:t>
            </w:r>
          </w:p>
        </w:tc>
      </w:tr>
      <w:tr w:rsidR="00B76630" w:rsidRPr="005F518C" w14:paraId="71192186" w14:textId="77777777">
        <w:trPr>
          <w:cantSplit/>
          <w:trHeight w:val="23"/>
        </w:trPr>
        <w:tc>
          <w:tcPr>
            <w:tcW w:w="3969" w:type="dxa"/>
            <w:vMerge/>
          </w:tcPr>
          <w:p w14:paraId="245C30FD" w14:textId="77777777" w:rsidR="00B76630" w:rsidRPr="005F518C" w:rsidRDefault="00B76630">
            <w:pPr>
              <w:tabs>
                <w:tab w:val="left" w:pos="851"/>
              </w:tabs>
              <w:spacing w:line="240" w:lineRule="atLeast"/>
              <w:rPr>
                <w:b/>
              </w:rPr>
            </w:pPr>
            <w:bookmarkStart w:id="4" w:name="dorlang" w:colFirst="1" w:colLast="1"/>
            <w:bookmarkEnd w:id="3"/>
          </w:p>
        </w:tc>
        <w:tc>
          <w:tcPr>
            <w:tcW w:w="5245" w:type="dxa"/>
          </w:tcPr>
          <w:p w14:paraId="7FD031F3" w14:textId="6629276A" w:rsidR="00B76630" w:rsidRPr="005F518C" w:rsidRDefault="00C048A2">
            <w:pPr>
              <w:tabs>
                <w:tab w:val="left" w:pos="851"/>
              </w:tabs>
              <w:spacing w:before="0" w:line="240" w:lineRule="atLeast"/>
              <w:jc w:val="right"/>
              <w:rPr>
                <w:b/>
                <w:lang w:val="en-US" w:eastAsia="zh-CN"/>
              </w:rPr>
            </w:pPr>
            <w:r w:rsidRPr="005F518C">
              <w:rPr>
                <w:rFonts w:cstheme="minorHAnsi"/>
                <w:b/>
                <w:bCs/>
                <w:lang w:val="ru-RU"/>
              </w:rPr>
              <w:t>原文：</w:t>
            </w:r>
            <w:r w:rsidR="004257E7">
              <w:rPr>
                <w:rFonts w:cstheme="minorHAnsi" w:hint="eastAsia"/>
                <w:b/>
                <w:bCs/>
                <w:lang w:val="en-US" w:eastAsia="zh-CN"/>
              </w:rPr>
              <w:t>中文</w:t>
            </w:r>
            <w:r w:rsidR="004257E7">
              <w:rPr>
                <w:rFonts w:cstheme="minorHAnsi" w:hint="eastAsia"/>
                <w:b/>
                <w:bCs/>
                <w:lang w:val="en-US" w:eastAsia="zh-CN"/>
              </w:rPr>
              <w:t>/</w:t>
            </w:r>
            <w:r w:rsidR="004257E7">
              <w:rPr>
                <w:rFonts w:cstheme="minorHAnsi" w:hint="eastAsia"/>
                <w:b/>
                <w:bCs/>
                <w:lang w:val="en-US" w:eastAsia="zh-CN"/>
              </w:rPr>
              <w:t>英文</w:t>
            </w:r>
          </w:p>
        </w:tc>
      </w:tr>
      <w:tr w:rsidR="00B76630" w:rsidRPr="005F518C" w14:paraId="539C5151" w14:textId="77777777">
        <w:trPr>
          <w:cantSplit/>
          <w:trHeight w:val="132"/>
        </w:trPr>
        <w:tc>
          <w:tcPr>
            <w:tcW w:w="3969" w:type="dxa"/>
          </w:tcPr>
          <w:p w14:paraId="6C280165" w14:textId="77777777" w:rsidR="00B76630" w:rsidRPr="005F518C" w:rsidRDefault="00B76630">
            <w:pPr>
              <w:tabs>
                <w:tab w:val="left" w:pos="851"/>
              </w:tabs>
              <w:spacing w:line="240" w:lineRule="atLeast"/>
              <w:rPr>
                <w:b/>
              </w:rPr>
            </w:pPr>
          </w:p>
        </w:tc>
        <w:tc>
          <w:tcPr>
            <w:tcW w:w="5245" w:type="dxa"/>
          </w:tcPr>
          <w:p w14:paraId="55CA794D" w14:textId="77777777" w:rsidR="00B76630" w:rsidRPr="005F518C" w:rsidRDefault="00B76630">
            <w:pPr>
              <w:tabs>
                <w:tab w:val="left" w:pos="851"/>
              </w:tabs>
              <w:spacing w:before="0" w:line="240" w:lineRule="atLeast"/>
              <w:jc w:val="right"/>
              <w:rPr>
                <w:b/>
              </w:rPr>
            </w:pPr>
          </w:p>
        </w:tc>
      </w:tr>
      <w:tr w:rsidR="00B76630" w:rsidRPr="005F518C" w14:paraId="28D67B1F" w14:textId="77777777">
        <w:trPr>
          <w:cantSplit/>
          <w:trHeight w:val="895"/>
        </w:trPr>
        <w:tc>
          <w:tcPr>
            <w:tcW w:w="9214" w:type="dxa"/>
            <w:gridSpan w:val="2"/>
            <w:tcMar>
              <w:left w:w="0" w:type="dxa"/>
            </w:tcMar>
          </w:tcPr>
          <w:p w14:paraId="2EE8822B" w14:textId="64ECAD5A" w:rsidR="00B76630" w:rsidRPr="005F518C" w:rsidRDefault="00C048A2">
            <w:pPr>
              <w:pStyle w:val="Source"/>
              <w:spacing w:before="840"/>
              <w:jc w:val="left"/>
              <w:rPr>
                <w:sz w:val="34"/>
                <w:szCs w:val="34"/>
                <w:lang w:eastAsia="zh-CN"/>
              </w:rPr>
            </w:pPr>
            <w:bookmarkStart w:id="5" w:name="dsource" w:colFirst="0" w:colLast="0"/>
            <w:bookmarkEnd w:id="4"/>
            <w:r w:rsidRPr="005F518C">
              <w:rPr>
                <w:rFonts w:cstheme="minorHAnsi" w:hint="eastAsia"/>
                <w:sz w:val="32"/>
                <w:szCs w:val="32"/>
                <w:lang w:val="en-US" w:eastAsia="zh-CN"/>
              </w:rPr>
              <w:t>中华人民共和国</w:t>
            </w:r>
            <w:r w:rsidR="00F438D8">
              <w:rPr>
                <w:rFonts w:cstheme="minorHAnsi" w:hint="eastAsia"/>
                <w:sz w:val="32"/>
                <w:szCs w:val="32"/>
                <w:lang w:val="en-US" w:eastAsia="zh-CN"/>
              </w:rPr>
              <w:t>、巴西（联邦共和国）和古巴</w:t>
            </w:r>
            <w:r w:rsidRPr="005F518C">
              <w:rPr>
                <w:rFonts w:cstheme="minorHAnsi" w:hint="eastAsia"/>
                <w:sz w:val="32"/>
                <w:szCs w:val="32"/>
                <w:lang w:val="ru-RU" w:eastAsia="zh-CN"/>
              </w:rPr>
              <w:t>的文稿</w:t>
            </w:r>
          </w:p>
        </w:tc>
      </w:tr>
      <w:tr w:rsidR="00B76630" w:rsidRPr="005F518C" w14:paraId="35E05F9D" w14:textId="77777777">
        <w:trPr>
          <w:cantSplit/>
        </w:trPr>
        <w:tc>
          <w:tcPr>
            <w:tcW w:w="9214" w:type="dxa"/>
            <w:gridSpan w:val="2"/>
            <w:tcMar>
              <w:left w:w="0" w:type="dxa"/>
            </w:tcMar>
          </w:tcPr>
          <w:p w14:paraId="473E2363" w14:textId="77777777" w:rsidR="00B76630" w:rsidRPr="005F518C" w:rsidRDefault="00C048A2">
            <w:pPr>
              <w:pStyle w:val="Subtitle"/>
              <w:framePr w:hSpace="0" w:wrap="auto" w:hAnchor="text" w:xAlign="left" w:yAlign="inline"/>
              <w:rPr>
                <w:rFonts w:eastAsia="SimSun"/>
                <w:lang w:val="en-US" w:eastAsia="zh-CN"/>
              </w:rPr>
            </w:pPr>
            <w:bookmarkStart w:id="6" w:name="dtitle1" w:colFirst="0" w:colLast="0"/>
            <w:bookmarkEnd w:id="5"/>
            <w:r w:rsidRPr="005F518C">
              <w:rPr>
                <w:rFonts w:eastAsia="SimSun" w:hint="eastAsia"/>
                <w:lang w:val="en-US" w:eastAsia="zh-CN"/>
              </w:rPr>
              <w:t>关于</w:t>
            </w:r>
            <w:r w:rsidRPr="005F518C">
              <w:rPr>
                <w:rFonts w:eastAsia="SimSun" w:hint="eastAsia"/>
                <w:lang w:eastAsia="zh-CN"/>
              </w:rPr>
              <w:t>提升国际电联财务管理透明度</w:t>
            </w:r>
            <w:r w:rsidRPr="005F518C">
              <w:rPr>
                <w:rFonts w:eastAsia="SimSun" w:hint="eastAsia"/>
                <w:lang w:val="en-US" w:eastAsia="zh-CN"/>
              </w:rPr>
              <w:t>的建议</w:t>
            </w:r>
          </w:p>
        </w:tc>
      </w:tr>
      <w:tr w:rsidR="00B76630" w:rsidRPr="005F518C" w14:paraId="6A609C0E" w14:textId="77777777">
        <w:trPr>
          <w:cantSplit/>
        </w:trPr>
        <w:tc>
          <w:tcPr>
            <w:tcW w:w="9214" w:type="dxa"/>
            <w:gridSpan w:val="2"/>
            <w:tcBorders>
              <w:top w:val="single" w:sz="4" w:space="0" w:color="auto"/>
              <w:bottom w:val="single" w:sz="4" w:space="0" w:color="auto"/>
            </w:tcBorders>
            <w:tcMar>
              <w:left w:w="0" w:type="dxa"/>
            </w:tcMar>
          </w:tcPr>
          <w:p w14:paraId="7BC0CAEB" w14:textId="0B3D063B" w:rsidR="00B76630" w:rsidRPr="005F518C" w:rsidRDefault="00C048A2">
            <w:pPr>
              <w:spacing w:after="120"/>
              <w:rPr>
                <w:b/>
                <w:bCs/>
                <w:lang w:eastAsia="zh-CN"/>
              </w:rPr>
            </w:pPr>
            <w:r w:rsidRPr="005F518C">
              <w:rPr>
                <w:b/>
                <w:bCs/>
                <w:lang w:eastAsia="zh-CN"/>
              </w:rPr>
              <w:t>目的</w:t>
            </w:r>
          </w:p>
          <w:p w14:paraId="2E35A51D" w14:textId="6F301214" w:rsidR="00B76630" w:rsidRPr="00BB1307" w:rsidRDefault="00C048A2" w:rsidP="00BB1307">
            <w:pPr>
              <w:spacing w:after="120"/>
              <w:ind w:firstLineChars="200" w:firstLine="480"/>
              <w:jc w:val="both"/>
              <w:rPr>
                <w:rFonts w:asciiTheme="minorHAnsi" w:eastAsiaTheme="majorEastAsia" w:hAnsiTheme="minorHAnsi" w:cstheme="minorHAnsi"/>
                <w:lang w:eastAsia="zh-CN"/>
              </w:rPr>
            </w:pPr>
            <w:r w:rsidRPr="00BB1307">
              <w:rPr>
                <w:rFonts w:asciiTheme="minorHAnsi" w:eastAsiaTheme="majorEastAsia" w:hAnsiTheme="minorHAnsi" w:cstheme="minorHAnsi"/>
                <w:lang w:eastAsia="zh-CN"/>
              </w:rPr>
              <w:t>财务管理的透明度、优化资源配置效率，对于保障国际电</w:t>
            </w:r>
            <w:proofErr w:type="gramStart"/>
            <w:r w:rsidRPr="00BB1307">
              <w:rPr>
                <w:rFonts w:asciiTheme="minorHAnsi" w:eastAsiaTheme="majorEastAsia" w:hAnsiTheme="minorHAnsi" w:cstheme="minorHAnsi"/>
                <w:lang w:eastAsia="zh-CN"/>
              </w:rPr>
              <w:t>联战略</w:t>
            </w:r>
            <w:proofErr w:type="gramEnd"/>
            <w:r w:rsidRPr="00BB1307">
              <w:rPr>
                <w:rFonts w:asciiTheme="minorHAnsi" w:eastAsiaTheme="majorEastAsia" w:hAnsiTheme="minorHAnsi" w:cstheme="minorHAnsi"/>
                <w:lang w:eastAsia="zh-CN"/>
              </w:rPr>
              <w:t>目标的实现和</w:t>
            </w:r>
            <w:r w:rsidRPr="00BB1307">
              <w:rPr>
                <w:rFonts w:asciiTheme="minorHAnsi" w:eastAsiaTheme="majorEastAsia" w:hAnsiTheme="minorHAnsi" w:cstheme="minorHAnsi"/>
                <w:lang w:val="en-US" w:eastAsia="zh-CN"/>
              </w:rPr>
              <w:t>提升成员信心</w:t>
            </w:r>
            <w:r w:rsidRPr="00BB1307">
              <w:rPr>
                <w:rFonts w:asciiTheme="minorHAnsi" w:eastAsiaTheme="majorEastAsia" w:hAnsiTheme="minorHAnsi" w:cstheme="minorHAnsi"/>
                <w:lang w:eastAsia="zh-CN"/>
              </w:rPr>
              <w:t>至关重要。</w:t>
            </w:r>
            <w:r w:rsidRPr="00BB1307">
              <w:rPr>
                <w:rFonts w:asciiTheme="minorHAnsi" w:eastAsiaTheme="majorEastAsia" w:hAnsiTheme="minorHAnsi" w:cstheme="minorHAnsi"/>
                <w:lang w:val="en-US" w:eastAsia="zh-CN"/>
              </w:rPr>
              <w:t>考虑到</w:t>
            </w:r>
            <w:r w:rsidRPr="00BB1307">
              <w:rPr>
                <w:rFonts w:asciiTheme="minorHAnsi" w:eastAsiaTheme="majorEastAsia" w:hAnsiTheme="minorHAnsi" w:cstheme="minorHAnsi"/>
                <w:lang w:val="en-US" w:eastAsia="zh-CN"/>
              </w:rPr>
              <w:t>2026</w:t>
            </w:r>
            <w:r w:rsidRPr="00BB1307">
              <w:rPr>
                <w:rFonts w:asciiTheme="minorHAnsi" w:eastAsiaTheme="majorEastAsia" w:hAnsiTheme="minorHAnsi" w:cstheme="minorHAnsi"/>
                <w:lang w:val="en-US" w:eastAsia="zh-CN"/>
              </w:rPr>
              <w:t>年全权代表大会（</w:t>
            </w:r>
            <w:r w:rsidRPr="00BB1307">
              <w:rPr>
                <w:rFonts w:asciiTheme="minorHAnsi" w:eastAsiaTheme="majorEastAsia" w:hAnsiTheme="minorHAnsi" w:cstheme="minorHAnsi"/>
                <w:lang w:val="en-US" w:eastAsia="zh-CN"/>
              </w:rPr>
              <w:t>PP-26</w:t>
            </w:r>
            <w:r w:rsidRPr="00BB1307">
              <w:rPr>
                <w:rFonts w:asciiTheme="minorHAnsi" w:eastAsiaTheme="majorEastAsia" w:hAnsiTheme="minorHAnsi" w:cstheme="minorHAnsi"/>
                <w:lang w:val="en-US" w:eastAsia="zh-CN"/>
              </w:rPr>
              <w:t>）将对新的四年周期的财务管理工作提出指导意见，本提案基于</w:t>
            </w:r>
            <w:r w:rsidRPr="00BB1307">
              <w:rPr>
                <w:rFonts w:asciiTheme="minorHAnsi" w:eastAsiaTheme="majorEastAsia" w:hAnsiTheme="minorHAnsi" w:cstheme="minorHAnsi"/>
                <w:lang w:val="en-US" w:eastAsia="zh-CN"/>
              </w:rPr>
              <w:t>2023</w:t>
            </w:r>
            <w:r w:rsidRPr="00BB1307">
              <w:rPr>
                <w:rFonts w:asciiTheme="minorHAnsi" w:eastAsiaTheme="majorEastAsia" w:hAnsiTheme="minorHAnsi" w:cstheme="minorHAnsi"/>
                <w:lang w:val="en-US" w:eastAsia="zh-CN"/>
              </w:rPr>
              <w:t>年以来理事会及理事会财务和人力资源工作组（</w:t>
            </w:r>
            <w:r w:rsidRPr="00BB1307">
              <w:rPr>
                <w:rFonts w:asciiTheme="minorHAnsi" w:eastAsiaTheme="majorEastAsia" w:hAnsiTheme="minorHAnsi" w:cstheme="minorHAnsi"/>
                <w:lang w:val="en-US" w:eastAsia="zh-CN"/>
              </w:rPr>
              <w:t>CWG-FHR</w:t>
            </w:r>
            <w:r w:rsidRPr="00BB1307">
              <w:rPr>
                <w:rFonts w:asciiTheme="minorHAnsi" w:eastAsiaTheme="majorEastAsia" w:hAnsiTheme="minorHAnsi" w:cstheme="minorHAnsi"/>
                <w:lang w:val="en-US" w:eastAsia="zh-CN"/>
              </w:rPr>
              <w:t>）相关讨论</w:t>
            </w:r>
            <w:r w:rsidRPr="00BB1307">
              <w:rPr>
                <w:rFonts w:asciiTheme="minorHAnsi" w:hAnsiTheme="minorHAnsi" w:cstheme="minorHAnsi"/>
                <w:szCs w:val="24"/>
                <w:lang w:val="en-US" w:eastAsia="zh-CN"/>
              </w:rPr>
              <w:t>，</w:t>
            </w:r>
            <w:r w:rsidRPr="00BB1307">
              <w:rPr>
                <w:rFonts w:asciiTheme="minorHAnsi" w:eastAsiaTheme="majorEastAsia" w:hAnsiTheme="minorHAnsi" w:cstheme="minorHAnsi"/>
                <w:lang w:eastAsia="zh-CN"/>
              </w:rPr>
              <w:t>提出具体</w:t>
            </w:r>
            <w:r w:rsidRPr="00BB1307">
              <w:rPr>
                <w:rFonts w:asciiTheme="minorHAnsi" w:eastAsiaTheme="majorEastAsia" w:hAnsiTheme="minorHAnsi" w:cstheme="minorHAnsi"/>
                <w:lang w:val="en-US" w:eastAsia="zh-CN"/>
              </w:rPr>
              <w:t>的工作</w:t>
            </w:r>
            <w:r w:rsidRPr="00BB1307">
              <w:rPr>
                <w:rFonts w:asciiTheme="minorHAnsi" w:eastAsiaTheme="majorEastAsia" w:hAnsiTheme="minorHAnsi" w:cstheme="minorHAnsi"/>
                <w:lang w:eastAsia="zh-CN"/>
              </w:rPr>
              <w:t>建议。</w:t>
            </w:r>
          </w:p>
          <w:p w14:paraId="5B0C1A3B" w14:textId="77777777" w:rsidR="00B76630" w:rsidRPr="005F518C" w:rsidRDefault="00C048A2">
            <w:pPr>
              <w:spacing w:after="120"/>
              <w:rPr>
                <w:b/>
                <w:bCs/>
                <w:lang w:eastAsia="zh-CN"/>
              </w:rPr>
            </w:pPr>
            <w:r w:rsidRPr="005F518C">
              <w:rPr>
                <w:b/>
                <w:bCs/>
                <w:lang w:eastAsia="zh-CN"/>
              </w:rPr>
              <w:t>理事会需采取的行动</w:t>
            </w:r>
          </w:p>
          <w:p w14:paraId="7A573B52" w14:textId="634D0DAD" w:rsidR="00B76630" w:rsidRPr="005F518C" w:rsidRDefault="00C048A2" w:rsidP="00BB1307">
            <w:pPr>
              <w:spacing w:after="120"/>
              <w:ind w:firstLineChars="200" w:firstLine="480"/>
              <w:rPr>
                <w:rFonts w:asciiTheme="majorEastAsia" w:eastAsiaTheme="majorEastAsia" w:hAnsiTheme="majorEastAsia"/>
                <w:lang w:eastAsia="zh-CN"/>
              </w:rPr>
            </w:pPr>
            <w:r w:rsidRPr="005F518C">
              <w:rPr>
                <w:rFonts w:ascii="SimSun" w:hAnsi="SimSun" w:cstheme="minorHAnsi" w:hint="eastAsia"/>
                <w:szCs w:val="24"/>
                <w:lang w:val="en-US" w:eastAsia="zh-CN"/>
              </w:rPr>
              <w:t>请理事会酌情考虑文稿建议并采取必要</w:t>
            </w:r>
            <w:r w:rsidR="004257E7">
              <w:rPr>
                <w:rFonts w:ascii="SimSun" w:hAnsi="SimSun" w:cstheme="minorHAnsi" w:hint="eastAsia"/>
                <w:szCs w:val="24"/>
                <w:lang w:val="en-US" w:eastAsia="zh-CN"/>
              </w:rPr>
              <w:t>的</w:t>
            </w:r>
            <w:r w:rsidRPr="005F518C">
              <w:rPr>
                <w:rFonts w:ascii="SimSun" w:hAnsi="SimSun" w:cstheme="minorHAnsi" w:hint="eastAsia"/>
                <w:szCs w:val="24"/>
                <w:lang w:val="en-US" w:eastAsia="zh-CN"/>
              </w:rPr>
              <w:t>行动。</w:t>
            </w:r>
          </w:p>
          <w:p w14:paraId="7F8BBC96" w14:textId="77777777" w:rsidR="00B76630" w:rsidRPr="005F518C" w:rsidRDefault="00C048A2">
            <w:pPr>
              <w:spacing w:after="120"/>
              <w:rPr>
                <w:rFonts w:ascii="SimSun" w:hAnsi="SimSun" w:cstheme="minorHAnsi"/>
                <w:b/>
                <w:bCs/>
                <w:sz w:val="26"/>
                <w:szCs w:val="26"/>
                <w:lang w:eastAsia="zh-CN"/>
              </w:rPr>
            </w:pPr>
            <w:r w:rsidRPr="005F518C">
              <w:rPr>
                <w:rFonts w:ascii="SimSun" w:hAnsi="SimSun" w:cstheme="minorHAnsi"/>
                <w:b/>
                <w:bCs/>
                <w:sz w:val="26"/>
                <w:szCs w:val="26"/>
                <w:lang w:eastAsia="zh-CN"/>
              </w:rPr>
              <w:t>__________________</w:t>
            </w:r>
          </w:p>
          <w:p w14:paraId="2ECEB3D0" w14:textId="77777777" w:rsidR="00B76630" w:rsidRPr="005F518C" w:rsidRDefault="00C048A2">
            <w:pPr>
              <w:spacing w:after="120"/>
              <w:rPr>
                <w:b/>
                <w:bCs/>
                <w:lang w:eastAsia="zh-CN"/>
              </w:rPr>
            </w:pPr>
            <w:r w:rsidRPr="005F518C">
              <w:rPr>
                <w:rFonts w:hint="eastAsia"/>
                <w:b/>
                <w:bCs/>
                <w:lang w:eastAsia="zh-CN"/>
              </w:rPr>
              <w:t>参考文件</w:t>
            </w:r>
          </w:p>
          <w:p w14:paraId="4AD50D00" w14:textId="05AAAE0A" w:rsidR="00B76630" w:rsidRPr="00BB1307" w:rsidRDefault="00C048A2" w:rsidP="00BB1307">
            <w:pPr>
              <w:spacing w:after="120"/>
              <w:ind w:firstLineChars="200" w:firstLine="480"/>
              <w:jc w:val="both"/>
              <w:rPr>
                <w:rFonts w:asciiTheme="minorHAnsi" w:eastAsia="STKaiti" w:hAnsiTheme="minorHAnsi" w:cstheme="minorHAnsi"/>
                <w:i/>
                <w:iCs/>
                <w:sz w:val="22"/>
                <w:szCs w:val="22"/>
                <w:lang w:val="en-US" w:eastAsia="zh-CN"/>
              </w:rPr>
            </w:pPr>
            <w:hyperlink r:id="rId8" w:history="1">
              <w:r w:rsidRPr="00BB1307">
                <w:rPr>
                  <w:rStyle w:val="Hyperlink"/>
                  <w:rFonts w:asciiTheme="minorHAnsi" w:eastAsia="STKaiti" w:hAnsiTheme="minorHAnsi" w:cstheme="minorHAnsi"/>
                  <w:lang w:val="en-US" w:eastAsia="zh-CN"/>
                </w:rPr>
                <w:t>《组织法》第</w:t>
              </w:r>
              <w:r w:rsidRPr="00BB1307">
                <w:rPr>
                  <w:rStyle w:val="Hyperlink"/>
                  <w:rFonts w:asciiTheme="minorHAnsi" w:eastAsia="STKaiti" w:hAnsiTheme="minorHAnsi" w:cstheme="minorHAnsi"/>
                  <w:lang w:val="en-US" w:eastAsia="zh-CN"/>
                </w:rPr>
                <w:t>28</w:t>
              </w:r>
              <w:r w:rsidRPr="00BB1307">
                <w:rPr>
                  <w:rStyle w:val="Hyperlink"/>
                  <w:rFonts w:asciiTheme="minorHAnsi" w:eastAsia="STKaiti" w:hAnsiTheme="minorHAnsi" w:cstheme="minorHAnsi"/>
                  <w:lang w:val="en-US" w:eastAsia="zh-CN"/>
                </w:rPr>
                <w:t>条</w:t>
              </w:r>
            </w:hyperlink>
            <w:r w:rsidRPr="00BB1307">
              <w:rPr>
                <w:rFonts w:asciiTheme="minorHAnsi" w:eastAsia="STKaiti" w:hAnsiTheme="minorHAnsi" w:cstheme="minorHAnsi"/>
                <w:lang w:val="en-US" w:eastAsia="zh-CN"/>
              </w:rPr>
              <w:t>、</w:t>
            </w:r>
            <w:hyperlink r:id="rId9" w:history="1">
              <w:r w:rsidRPr="00BB1307">
                <w:rPr>
                  <w:rStyle w:val="Hyperlink"/>
                  <w:rFonts w:asciiTheme="minorHAnsi" w:eastAsia="STKaiti" w:hAnsiTheme="minorHAnsi" w:cstheme="minorHAnsi"/>
                  <w:lang w:val="en-US" w:eastAsia="zh-CN"/>
                </w:rPr>
                <w:t>《公约》</w:t>
              </w:r>
              <w:r w:rsidR="004257E7" w:rsidRPr="00BB1307">
                <w:rPr>
                  <w:rStyle w:val="Hyperlink"/>
                  <w:rFonts w:asciiTheme="minorHAnsi" w:eastAsia="STKaiti" w:hAnsiTheme="minorHAnsi" w:cstheme="minorHAnsi"/>
                  <w:lang w:val="en-US" w:eastAsia="zh-CN"/>
                </w:rPr>
                <w:t>第</w:t>
              </w:r>
              <w:r w:rsidRPr="00BB1307">
                <w:rPr>
                  <w:rStyle w:val="Hyperlink"/>
                  <w:rFonts w:asciiTheme="minorHAnsi" w:eastAsia="STKaiti" w:hAnsiTheme="minorHAnsi" w:cstheme="minorHAnsi"/>
                  <w:lang w:val="en-US" w:eastAsia="zh-CN"/>
                </w:rPr>
                <w:t>63</w:t>
              </w:r>
              <w:r w:rsidRPr="00BB1307">
                <w:rPr>
                  <w:rStyle w:val="Hyperlink"/>
                  <w:rFonts w:asciiTheme="minorHAnsi" w:eastAsia="STKaiti" w:hAnsiTheme="minorHAnsi" w:cstheme="minorHAnsi"/>
                  <w:lang w:val="en-US" w:eastAsia="zh-CN"/>
                </w:rPr>
                <w:t>款</w:t>
              </w:r>
            </w:hyperlink>
            <w:r w:rsidR="004257E7" w:rsidRPr="00BB1307">
              <w:rPr>
                <w:rFonts w:asciiTheme="minorHAnsi" w:eastAsia="STKaiti" w:hAnsiTheme="minorHAnsi" w:cstheme="minorHAnsi"/>
                <w:lang w:val="en-US" w:eastAsia="zh-CN"/>
              </w:rPr>
              <w:t>、</w:t>
            </w:r>
            <w:r w:rsidRPr="00BB1307">
              <w:rPr>
                <w:rFonts w:asciiTheme="minorHAnsi" w:eastAsia="STKaiti" w:hAnsiTheme="minorHAnsi" w:cstheme="minorHAnsi"/>
                <w:lang w:val="en-US" w:eastAsia="zh-CN"/>
              </w:rPr>
              <w:t>全权代表</w:t>
            </w:r>
            <w:proofErr w:type="gramStart"/>
            <w:r w:rsidRPr="00BB1307">
              <w:rPr>
                <w:rFonts w:asciiTheme="minorHAnsi" w:eastAsia="STKaiti" w:hAnsiTheme="minorHAnsi" w:cstheme="minorHAnsi"/>
                <w:lang w:val="en-US" w:eastAsia="zh-CN"/>
              </w:rPr>
              <w:t>大会</w:t>
            </w:r>
            <w:r w:rsidRPr="00BB1307">
              <w:rPr>
                <w:rStyle w:val="Hyperlink"/>
                <w:rFonts w:asciiTheme="minorHAnsi" w:eastAsia="STKaiti" w:hAnsiTheme="minorHAnsi" w:cstheme="minorHAnsi"/>
                <w:lang w:eastAsia="zh-CN"/>
              </w:rPr>
              <w:t>第</w:t>
            </w:r>
            <w:proofErr w:type="gramEnd"/>
            <w:r w:rsidR="004E4BED" w:rsidRPr="00BB1307">
              <w:rPr>
                <w:rStyle w:val="Hyperlink"/>
                <w:rFonts w:asciiTheme="minorHAnsi" w:eastAsia="STKaiti" w:hAnsiTheme="minorHAnsi" w:cstheme="minorHAnsi"/>
              </w:rPr>
              <w:fldChar w:fldCharType="begin"/>
            </w:r>
            <w:r w:rsidR="004E4BED" w:rsidRPr="00BB1307">
              <w:rPr>
                <w:rStyle w:val="Hyperlink"/>
                <w:rFonts w:asciiTheme="minorHAnsi" w:eastAsia="STKaiti" w:hAnsiTheme="minorHAnsi" w:cstheme="minorHAnsi"/>
                <w:lang w:eastAsia="zh-CN"/>
              </w:rPr>
              <w:instrText>HYPERLINK "https://www.itu.int/en/council/Documents/basic-texts-2023/DEC-005-C.pdf"</w:instrText>
            </w:r>
            <w:r w:rsidR="004E4BED" w:rsidRPr="00BB1307">
              <w:rPr>
                <w:rStyle w:val="Hyperlink"/>
                <w:rFonts w:asciiTheme="minorHAnsi" w:eastAsia="STKaiti" w:hAnsiTheme="minorHAnsi" w:cstheme="minorHAnsi"/>
              </w:rPr>
            </w:r>
            <w:r w:rsidR="004E4BED" w:rsidRPr="00BB1307">
              <w:rPr>
                <w:rStyle w:val="Hyperlink"/>
                <w:rFonts w:asciiTheme="minorHAnsi" w:eastAsia="STKaiti" w:hAnsiTheme="minorHAnsi" w:cstheme="minorHAnsi"/>
              </w:rPr>
              <w:fldChar w:fldCharType="separate"/>
            </w:r>
            <w:r w:rsidRPr="00BB1307">
              <w:rPr>
                <w:rStyle w:val="Hyperlink"/>
                <w:rFonts w:asciiTheme="minorHAnsi" w:eastAsia="STKaiti" w:hAnsiTheme="minorHAnsi" w:cstheme="minorHAnsi"/>
                <w:lang w:val="en-US" w:eastAsia="zh-CN"/>
              </w:rPr>
              <w:t>5</w:t>
            </w:r>
            <w:r w:rsidR="004E4BED" w:rsidRPr="00BB1307">
              <w:rPr>
                <w:rStyle w:val="Hyperlink"/>
                <w:rFonts w:asciiTheme="minorHAnsi" w:eastAsia="STKaiti" w:hAnsiTheme="minorHAnsi" w:cstheme="minorHAnsi"/>
              </w:rPr>
              <w:fldChar w:fldCharType="end"/>
            </w:r>
            <w:r w:rsidRPr="00BB1307">
              <w:rPr>
                <w:rStyle w:val="Hyperlink"/>
                <w:rFonts w:asciiTheme="minorHAnsi" w:eastAsia="STKaiti" w:hAnsiTheme="minorHAnsi" w:cstheme="minorHAnsi"/>
                <w:lang w:eastAsia="zh-CN"/>
              </w:rPr>
              <w:t>号决定（</w:t>
            </w:r>
            <w:r w:rsidRPr="00BB1307">
              <w:rPr>
                <w:rStyle w:val="Hyperlink"/>
                <w:rFonts w:asciiTheme="minorHAnsi" w:eastAsia="STKaiti" w:hAnsiTheme="minorHAnsi" w:cstheme="minorHAnsi"/>
                <w:lang w:eastAsia="zh-CN"/>
              </w:rPr>
              <w:t>2022</w:t>
            </w:r>
            <w:r w:rsidRPr="00BB1307">
              <w:rPr>
                <w:rStyle w:val="Hyperlink"/>
                <w:rFonts w:asciiTheme="minorHAnsi" w:eastAsia="STKaiti" w:hAnsiTheme="minorHAnsi" w:cstheme="minorHAnsi"/>
                <w:lang w:eastAsia="zh-CN"/>
              </w:rPr>
              <w:t>年，布加勒斯特，修订版）</w:t>
            </w:r>
            <w:r w:rsidRPr="00BB1307">
              <w:rPr>
                <w:rFonts w:asciiTheme="minorHAnsi" w:eastAsia="STKaiti" w:hAnsiTheme="minorHAnsi" w:cstheme="minorHAnsi"/>
                <w:lang w:val="en-US" w:eastAsia="zh-CN"/>
              </w:rPr>
              <w:t>、</w:t>
            </w:r>
            <w:r w:rsidRPr="00BB1307">
              <w:rPr>
                <w:rStyle w:val="Hyperlink"/>
                <w:rFonts w:asciiTheme="minorHAnsi" w:eastAsia="STKaiti" w:hAnsiTheme="minorHAnsi" w:cstheme="minorHAnsi"/>
                <w:lang w:eastAsia="zh-CN"/>
              </w:rPr>
              <w:t>第</w:t>
            </w:r>
            <w:hyperlink r:id="rId10" w:history="1">
              <w:r w:rsidRPr="00BB1307">
                <w:rPr>
                  <w:rStyle w:val="Hyperlink"/>
                  <w:rFonts w:asciiTheme="minorHAnsi" w:eastAsia="STKaiti" w:hAnsiTheme="minorHAnsi" w:cstheme="minorHAnsi"/>
                  <w:lang w:val="en-US" w:eastAsia="zh-CN"/>
                </w:rPr>
                <w:t>94</w:t>
              </w:r>
            </w:hyperlink>
            <w:r w:rsidRPr="00BB1307">
              <w:rPr>
                <w:rStyle w:val="Hyperlink"/>
                <w:rFonts w:asciiTheme="minorHAnsi" w:eastAsia="STKaiti" w:hAnsiTheme="minorHAnsi" w:cstheme="minorHAnsi"/>
                <w:lang w:eastAsia="zh-CN"/>
              </w:rPr>
              <w:t>号决议（</w:t>
            </w:r>
            <w:r w:rsidRPr="00BB1307">
              <w:rPr>
                <w:rStyle w:val="Hyperlink"/>
                <w:rFonts w:asciiTheme="minorHAnsi" w:eastAsia="STKaiti" w:hAnsiTheme="minorHAnsi" w:cstheme="minorHAnsi"/>
                <w:lang w:eastAsia="zh-CN"/>
              </w:rPr>
              <w:t>2022</w:t>
            </w:r>
            <w:r w:rsidRPr="00BB1307">
              <w:rPr>
                <w:rStyle w:val="Hyperlink"/>
                <w:rFonts w:asciiTheme="minorHAnsi" w:eastAsia="STKaiti" w:hAnsiTheme="minorHAnsi" w:cstheme="minorHAnsi"/>
                <w:lang w:eastAsia="zh-CN"/>
              </w:rPr>
              <w:t>年，布加勒斯特，修订版）</w:t>
            </w:r>
            <w:r w:rsidRPr="00BB1307">
              <w:rPr>
                <w:rFonts w:asciiTheme="minorHAnsi" w:eastAsia="STKaiti" w:hAnsiTheme="minorHAnsi" w:cstheme="minorHAnsi"/>
                <w:lang w:val="en-US" w:eastAsia="zh-CN"/>
              </w:rPr>
              <w:t>、</w:t>
            </w:r>
            <w:hyperlink r:id="rId11" w:history="1">
              <w:r w:rsidRPr="00BB1307">
                <w:rPr>
                  <w:rStyle w:val="Hyperlink"/>
                  <w:rFonts w:asciiTheme="minorHAnsi" w:eastAsia="STKaiti" w:hAnsiTheme="minorHAnsi" w:cstheme="minorHAnsi"/>
                  <w:lang w:val="en-US" w:eastAsia="zh-CN"/>
                </w:rPr>
                <w:t>第</w:t>
              </w:r>
              <w:r w:rsidRPr="00BB1307">
                <w:rPr>
                  <w:rStyle w:val="Hyperlink"/>
                  <w:rFonts w:asciiTheme="minorHAnsi" w:eastAsia="STKaiti" w:hAnsiTheme="minorHAnsi" w:cstheme="minorHAnsi"/>
                  <w:lang w:val="en-US" w:eastAsia="zh-CN"/>
                </w:rPr>
                <w:t>151</w:t>
              </w:r>
              <w:r w:rsidRPr="00BB1307">
                <w:rPr>
                  <w:rStyle w:val="Hyperlink"/>
                  <w:rFonts w:asciiTheme="minorHAnsi" w:eastAsia="STKaiti" w:hAnsiTheme="minorHAnsi" w:cstheme="minorHAnsi"/>
                  <w:lang w:val="en-US" w:eastAsia="zh-CN"/>
                </w:rPr>
                <w:t>号决议（</w:t>
              </w:r>
              <w:r w:rsidRPr="00BB1307">
                <w:rPr>
                  <w:rStyle w:val="Hyperlink"/>
                  <w:rFonts w:asciiTheme="minorHAnsi" w:eastAsia="STKaiti" w:hAnsiTheme="minorHAnsi" w:cstheme="minorHAnsi"/>
                  <w:lang w:val="en-US" w:eastAsia="zh-CN"/>
                </w:rPr>
                <w:t>2022</w:t>
              </w:r>
              <w:r w:rsidRPr="00BB1307">
                <w:rPr>
                  <w:rStyle w:val="Hyperlink"/>
                  <w:rFonts w:asciiTheme="minorHAnsi" w:eastAsia="STKaiti" w:hAnsiTheme="minorHAnsi" w:cstheme="minorHAnsi"/>
                  <w:lang w:val="en-US" w:eastAsia="zh-CN"/>
                </w:rPr>
                <w:t>年，布加勒斯特，修订版）</w:t>
              </w:r>
            </w:hyperlink>
            <w:r w:rsidRPr="00BB1307">
              <w:rPr>
                <w:rFonts w:asciiTheme="minorHAnsi" w:eastAsia="STKaiti" w:hAnsiTheme="minorHAnsi" w:cstheme="minorHAnsi"/>
                <w:lang w:val="en-US" w:eastAsia="zh-CN"/>
              </w:rPr>
              <w:t>、</w:t>
            </w:r>
            <w:hyperlink r:id="rId12" w:history="1">
              <w:r w:rsidRPr="00BB1307">
                <w:rPr>
                  <w:rStyle w:val="Hyperlink"/>
                  <w:rFonts w:asciiTheme="minorHAnsi" w:eastAsia="STKaiti" w:hAnsiTheme="minorHAnsi" w:cstheme="minorHAnsi"/>
                  <w:lang w:val="en-US" w:eastAsia="zh-CN"/>
                </w:rPr>
                <w:t>第</w:t>
              </w:r>
              <w:r w:rsidRPr="00BB1307">
                <w:rPr>
                  <w:rStyle w:val="Hyperlink"/>
                  <w:rFonts w:asciiTheme="minorHAnsi" w:eastAsia="STKaiti" w:hAnsiTheme="minorHAnsi" w:cstheme="minorHAnsi"/>
                  <w:lang w:val="en-US" w:eastAsia="zh-CN"/>
                </w:rPr>
                <w:t>158</w:t>
              </w:r>
              <w:r w:rsidRPr="00BB1307">
                <w:rPr>
                  <w:rStyle w:val="Hyperlink"/>
                  <w:rFonts w:asciiTheme="minorHAnsi" w:eastAsia="STKaiti" w:hAnsiTheme="minorHAnsi" w:cstheme="minorHAnsi"/>
                  <w:lang w:val="en-US" w:eastAsia="zh-CN"/>
                </w:rPr>
                <w:t>号决议（</w:t>
              </w:r>
              <w:r w:rsidRPr="00BB1307">
                <w:rPr>
                  <w:rStyle w:val="Hyperlink"/>
                  <w:rFonts w:asciiTheme="minorHAnsi" w:eastAsia="STKaiti" w:hAnsiTheme="minorHAnsi" w:cstheme="minorHAnsi"/>
                  <w:lang w:val="en-US" w:eastAsia="zh-CN"/>
                </w:rPr>
                <w:t>2014</w:t>
              </w:r>
              <w:r w:rsidRPr="00BB1307">
                <w:rPr>
                  <w:rStyle w:val="Hyperlink"/>
                  <w:rFonts w:asciiTheme="minorHAnsi" w:eastAsia="STKaiti" w:hAnsiTheme="minorHAnsi" w:cstheme="minorHAnsi"/>
                  <w:lang w:val="en-US" w:eastAsia="zh-CN"/>
                </w:rPr>
                <w:t>年，釜山，修订版）</w:t>
              </w:r>
            </w:hyperlink>
            <w:r w:rsidRPr="00BB1307">
              <w:rPr>
                <w:rFonts w:asciiTheme="minorHAnsi" w:eastAsia="STKaiti" w:hAnsiTheme="minorHAnsi" w:cstheme="minorHAnsi"/>
                <w:lang w:val="en-US" w:eastAsia="zh-CN"/>
              </w:rPr>
              <w:t>、</w:t>
            </w:r>
            <w:hyperlink r:id="rId13" w:history="1">
              <w:r w:rsidRPr="00BB1307">
                <w:rPr>
                  <w:rStyle w:val="Hyperlink"/>
                  <w:rFonts w:asciiTheme="minorHAnsi" w:eastAsia="STKaiti" w:hAnsiTheme="minorHAnsi" w:cstheme="minorHAnsi"/>
                  <w:lang w:val="en-US" w:eastAsia="zh-CN"/>
                </w:rPr>
                <w:t>第</w:t>
              </w:r>
              <w:r w:rsidRPr="00BB1307">
                <w:rPr>
                  <w:rStyle w:val="Hyperlink"/>
                  <w:rFonts w:asciiTheme="minorHAnsi" w:eastAsia="STKaiti" w:hAnsiTheme="minorHAnsi" w:cstheme="minorHAnsi"/>
                  <w:lang w:val="en-US" w:eastAsia="zh-CN"/>
                </w:rPr>
                <w:t>162</w:t>
              </w:r>
              <w:r w:rsidRPr="00BB1307">
                <w:rPr>
                  <w:rStyle w:val="Hyperlink"/>
                  <w:rFonts w:asciiTheme="minorHAnsi" w:eastAsia="STKaiti" w:hAnsiTheme="minorHAnsi" w:cstheme="minorHAnsi"/>
                  <w:lang w:val="en-US" w:eastAsia="zh-CN"/>
                </w:rPr>
                <w:t>号决议（</w:t>
              </w:r>
              <w:r w:rsidRPr="00BB1307">
                <w:rPr>
                  <w:rStyle w:val="Hyperlink"/>
                  <w:rFonts w:asciiTheme="minorHAnsi" w:eastAsia="STKaiti" w:hAnsiTheme="minorHAnsi" w:cstheme="minorHAnsi"/>
                  <w:lang w:val="en-US" w:eastAsia="zh-CN"/>
                </w:rPr>
                <w:t>2022</w:t>
              </w:r>
              <w:r w:rsidRPr="00BB1307">
                <w:rPr>
                  <w:rStyle w:val="Hyperlink"/>
                  <w:rFonts w:asciiTheme="minorHAnsi" w:eastAsia="STKaiti" w:hAnsiTheme="minorHAnsi" w:cstheme="minorHAnsi"/>
                  <w:lang w:val="en-US" w:eastAsia="zh-CN"/>
                </w:rPr>
                <w:t>年，布加勒斯特，修订版）</w:t>
              </w:r>
            </w:hyperlink>
            <w:r w:rsidR="004E4BED" w:rsidRPr="00BB1307">
              <w:rPr>
                <w:rFonts w:asciiTheme="minorHAnsi" w:eastAsia="STKaiti" w:hAnsiTheme="minorHAnsi" w:cstheme="minorHAnsi"/>
                <w:lang w:val="en-US" w:eastAsia="zh-CN"/>
              </w:rPr>
              <w:t>；</w:t>
            </w:r>
            <w:r w:rsidRPr="00BB1307">
              <w:rPr>
                <w:rFonts w:asciiTheme="minorHAnsi" w:eastAsia="STKaiti" w:hAnsiTheme="minorHAnsi" w:cstheme="minorHAnsi"/>
                <w:lang w:val="en-US" w:eastAsia="zh-CN"/>
              </w:rPr>
              <w:t>理事会</w:t>
            </w:r>
            <w:r w:rsidR="004257E7" w:rsidRPr="00BB1307">
              <w:rPr>
                <w:rFonts w:asciiTheme="minorHAnsi" w:eastAsia="STKaiti" w:hAnsiTheme="minorHAnsi" w:cstheme="minorHAnsi"/>
                <w:lang w:val="en-US" w:eastAsia="zh-CN"/>
              </w:rPr>
              <w:t>有关国际电联</w:t>
            </w:r>
            <w:r w:rsidRPr="00BB1307">
              <w:rPr>
                <w:rFonts w:asciiTheme="minorHAnsi" w:eastAsia="STKaiti" w:hAnsiTheme="minorHAnsi" w:cstheme="minorHAnsi"/>
                <w:lang w:val="en-US" w:eastAsia="zh-CN"/>
              </w:rPr>
              <w:t>转型</w:t>
            </w:r>
            <w:r w:rsidR="004257E7" w:rsidRPr="00BB1307">
              <w:rPr>
                <w:rFonts w:asciiTheme="minorHAnsi" w:eastAsia="STKaiti" w:hAnsiTheme="minorHAnsi" w:cstheme="minorHAnsi"/>
                <w:lang w:val="en-US" w:eastAsia="zh-CN"/>
              </w:rPr>
              <w:t>最新情况的</w:t>
            </w:r>
            <w:hyperlink r:id="rId14" w:history="1">
              <w:r w:rsidR="00C03B4B" w:rsidRPr="00BB1307">
                <w:rPr>
                  <w:rFonts w:asciiTheme="minorHAnsi" w:eastAsia="STKaiti" w:hAnsiTheme="minorHAnsi" w:cstheme="minorHAnsi"/>
                  <w:color w:val="4F81BD" w:themeColor="accent1"/>
                  <w:sz w:val="22"/>
                  <w:szCs w:val="22"/>
                  <w:lang w:eastAsia="zh-CN"/>
                </w:rPr>
                <w:t>C26/55</w:t>
              </w:r>
            </w:hyperlink>
            <w:r w:rsidR="00C03B4B" w:rsidRPr="00BB1307">
              <w:rPr>
                <w:rFonts w:asciiTheme="minorHAnsi" w:eastAsia="STKaiti" w:hAnsiTheme="minorHAnsi" w:cstheme="minorHAnsi"/>
                <w:lang w:val="en-US" w:eastAsia="zh-CN"/>
              </w:rPr>
              <w:t>号文件</w:t>
            </w:r>
            <w:r w:rsidRPr="00BB1307">
              <w:rPr>
                <w:rFonts w:asciiTheme="minorHAnsi" w:eastAsia="STKaiti" w:hAnsiTheme="minorHAnsi" w:cstheme="minorHAnsi"/>
                <w:lang w:val="en-US" w:eastAsia="zh-CN"/>
              </w:rPr>
              <w:t>、</w:t>
            </w:r>
            <w:r w:rsidRPr="00BB1307">
              <w:rPr>
                <w:rFonts w:asciiTheme="minorHAnsi" w:eastAsia="STKaiti" w:hAnsiTheme="minorHAnsi" w:cstheme="minorHAnsi"/>
                <w:lang w:eastAsia="zh-CN"/>
              </w:rPr>
              <w:t>2025</w:t>
            </w:r>
            <w:r w:rsidRPr="00BB1307">
              <w:rPr>
                <w:rFonts w:asciiTheme="minorHAnsi" w:eastAsia="STKaiti" w:hAnsiTheme="minorHAnsi" w:cstheme="minorHAnsi"/>
                <w:lang w:eastAsia="zh-CN"/>
              </w:rPr>
              <w:t>年预算节余的分配</w:t>
            </w:r>
            <w:hyperlink r:id="rId15" w:history="1">
              <w:r w:rsidR="004E4BED" w:rsidRPr="00BB1307">
                <w:rPr>
                  <w:rStyle w:val="Hyperlink"/>
                  <w:rFonts w:asciiTheme="minorHAnsi" w:eastAsia="STKaiti" w:hAnsiTheme="minorHAnsi" w:cstheme="minorHAnsi"/>
                  <w:sz w:val="22"/>
                  <w:szCs w:val="22"/>
                  <w:lang w:eastAsia="zh-CN"/>
                </w:rPr>
                <w:t>C26/42</w:t>
              </w:r>
            </w:hyperlink>
            <w:r w:rsidR="00C03B4B" w:rsidRPr="00BB1307">
              <w:rPr>
                <w:rFonts w:asciiTheme="minorHAnsi" w:eastAsia="STKaiti" w:hAnsiTheme="minorHAnsi" w:cstheme="minorHAnsi"/>
                <w:bCs/>
                <w:lang w:eastAsia="zh-CN"/>
              </w:rPr>
              <w:t>号文件</w:t>
            </w:r>
            <w:r w:rsidRPr="00BB1307">
              <w:rPr>
                <w:rFonts w:asciiTheme="minorHAnsi" w:eastAsia="STKaiti" w:hAnsiTheme="minorHAnsi" w:cstheme="minorHAnsi"/>
                <w:bCs/>
                <w:lang w:val="fr-CH" w:eastAsia="zh-CN"/>
              </w:rPr>
              <w:t>、</w:t>
            </w:r>
            <w:r w:rsidRPr="00BB1307">
              <w:rPr>
                <w:rFonts w:asciiTheme="minorHAnsi" w:eastAsia="STKaiti" w:hAnsiTheme="minorHAnsi" w:cstheme="minorHAnsi"/>
                <w:bCs/>
                <w:lang w:val="en-US" w:eastAsia="zh-CN"/>
              </w:rPr>
              <w:t>独立管理</w:t>
            </w:r>
            <w:r w:rsidR="00C03B4B" w:rsidRPr="00BB1307">
              <w:rPr>
                <w:rFonts w:asciiTheme="minorHAnsi" w:eastAsia="STKaiti" w:hAnsiTheme="minorHAnsi" w:cstheme="minorHAnsi"/>
                <w:bCs/>
                <w:lang w:val="en-US" w:eastAsia="zh-CN"/>
              </w:rPr>
              <w:t>顾问</w:t>
            </w:r>
            <w:r w:rsidRPr="00BB1307">
              <w:rPr>
                <w:rFonts w:asciiTheme="minorHAnsi" w:eastAsia="STKaiti" w:hAnsiTheme="minorHAnsi" w:cstheme="minorHAnsi"/>
                <w:bCs/>
                <w:lang w:val="en-US" w:eastAsia="zh-CN"/>
              </w:rPr>
              <w:t>委员会</w:t>
            </w:r>
            <w:r w:rsidR="00C03B4B" w:rsidRPr="00BB1307">
              <w:rPr>
                <w:rFonts w:asciiTheme="minorHAnsi" w:eastAsia="STKaiti" w:hAnsiTheme="minorHAnsi" w:cstheme="minorHAnsi"/>
                <w:bCs/>
                <w:lang w:val="en-US" w:eastAsia="zh-CN"/>
              </w:rPr>
              <w:t>（</w:t>
            </w:r>
            <w:r w:rsidR="00C03B4B" w:rsidRPr="00BB1307">
              <w:rPr>
                <w:rFonts w:asciiTheme="minorHAnsi" w:eastAsia="STKaiti" w:hAnsiTheme="minorHAnsi" w:cstheme="minorHAnsi"/>
                <w:bCs/>
                <w:lang w:val="en-US" w:eastAsia="zh-CN"/>
              </w:rPr>
              <w:t>IMAC</w:t>
            </w:r>
            <w:r w:rsidR="00C03B4B" w:rsidRPr="00BB1307">
              <w:rPr>
                <w:rFonts w:asciiTheme="minorHAnsi" w:eastAsia="STKaiti" w:hAnsiTheme="minorHAnsi" w:cstheme="minorHAnsi"/>
                <w:bCs/>
                <w:lang w:val="en-US" w:eastAsia="zh-CN"/>
              </w:rPr>
              <w:t>）</w:t>
            </w:r>
            <w:r w:rsidRPr="00BB1307">
              <w:rPr>
                <w:rFonts w:asciiTheme="minorHAnsi" w:eastAsia="STKaiti" w:hAnsiTheme="minorHAnsi" w:cstheme="minorHAnsi"/>
                <w:bCs/>
                <w:lang w:val="en-US" w:eastAsia="zh-CN"/>
              </w:rPr>
              <w:t>第十五次报告</w:t>
            </w:r>
            <w:r w:rsidR="00C03B4B" w:rsidRPr="00BB1307">
              <w:rPr>
                <w:rFonts w:asciiTheme="minorHAnsi" w:eastAsia="STKaiti" w:hAnsiTheme="minorHAnsi" w:cstheme="minorHAnsi"/>
                <w:bCs/>
                <w:lang w:val="en-US" w:eastAsia="zh-CN"/>
              </w:rPr>
              <w:t>的</w:t>
            </w:r>
            <w:hyperlink r:id="rId16" w:history="1">
              <w:r w:rsidR="004E4BED" w:rsidRPr="00BB1307">
                <w:rPr>
                  <w:rStyle w:val="Hyperlink"/>
                  <w:rFonts w:asciiTheme="minorHAnsi" w:eastAsia="STKaiti" w:hAnsiTheme="minorHAnsi" w:cstheme="minorHAnsi"/>
                  <w:sz w:val="22"/>
                  <w:szCs w:val="22"/>
                  <w:lang w:eastAsia="zh-CN"/>
                </w:rPr>
                <w:t>C26/22</w:t>
              </w:r>
            </w:hyperlink>
            <w:r w:rsidR="00C03B4B" w:rsidRPr="00BB1307">
              <w:rPr>
                <w:rFonts w:asciiTheme="minorHAnsi" w:eastAsia="STKaiti" w:hAnsiTheme="minorHAnsi" w:cstheme="minorHAnsi"/>
                <w:bCs/>
                <w:lang w:val="en-US" w:eastAsia="zh-CN"/>
              </w:rPr>
              <w:t>号文件</w:t>
            </w:r>
            <w:r w:rsidRPr="00BB1307">
              <w:rPr>
                <w:rFonts w:asciiTheme="minorHAnsi" w:eastAsia="STKaiti" w:hAnsiTheme="minorHAnsi" w:cstheme="minorHAnsi"/>
                <w:bCs/>
                <w:lang w:val="en-US" w:eastAsia="zh-CN"/>
              </w:rPr>
              <w:t>、</w:t>
            </w:r>
            <w:r w:rsidR="00C03B4B" w:rsidRPr="00BB1307">
              <w:rPr>
                <w:rFonts w:asciiTheme="minorHAnsi" w:eastAsia="STKaiti" w:hAnsiTheme="minorHAnsi" w:cstheme="minorHAnsi"/>
                <w:bCs/>
                <w:lang w:val="en-US" w:eastAsia="zh-CN"/>
              </w:rPr>
              <w:t>有关</w:t>
            </w:r>
            <w:r w:rsidRPr="00BB1307">
              <w:rPr>
                <w:rFonts w:asciiTheme="minorHAnsi" w:eastAsia="STKaiti" w:hAnsiTheme="minorHAnsi" w:cstheme="minorHAnsi"/>
                <w:lang w:eastAsia="zh-CN"/>
              </w:rPr>
              <w:t>2024</w:t>
            </w:r>
            <w:r w:rsidRPr="00BB1307">
              <w:rPr>
                <w:rFonts w:asciiTheme="minorHAnsi" w:eastAsia="STKaiti" w:hAnsiTheme="minorHAnsi" w:cstheme="minorHAnsi"/>
                <w:lang w:eastAsia="zh-CN"/>
              </w:rPr>
              <w:t>财年财务</w:t>
            </w:r>
            <w:r w:rsidR="00C03B4B" w:rsidRPr="00BB1307">
              <w:rPr>
                <w:rFonts w:asciiTheme="minorHAnsi" w:eastAsia="STKaiti" w:hAnsiTheme="minorHAnsi" w:cstheme="minorHAnsi"/>
                <w:lang w:eastAsia="zh-CN"/>
              </w:rPr>
              <w:t>运作</w:t>
            </w:r>
            <w:r w:rsidRPr="00BB1307">
              <w:rPr>
                <w:rFonts w:asciiTheme="minorHAnsi" w:eastAsia="STKaiti" w:hAnsiTheme="minorHAnsi" w:cstheme="minorHAnsi"/>
                <w:lang w:eastAsia="zh-CN"/>
              </w:rPr>
              <w:t>报告和经审计的财务报表</w:t>
            </w:r>
            <w:r w:rsidR="00C03B4B" w:rsidRPr="00BB1307">
              <w:rPr>
                <w:rFonts w:asciiTheme="minorHAnsi" w:eastAsia="STKaiti" w:hAnsiTheme="minorHAnsi" w:cstheme="minorHAnsi"/>
                <w:lang w:eastAsia="zh-CN"/>
              </w:rPr>
              <w:t>的</w:t>
            </w:r>
            <w:hyperlink r:id="rId17" w:history="1">
              <w:r w:rsidR="004E4BED" w:rsidRPr="00BB1307">
                <w:rPr>
                  <w:rStyle w:val="Hyperlink"/>
                  <w:rFonts w:asciiTheme="minorHAnsi" w:eastAsia="STKaiti" w:hAnsiTheme="minorHAnsi" w:cstheme="minorHAnsi"/>
                  <w:sz w:val="22"/>
                  <w:szCs w:val="22"/>
                  <w:lang w:eastAsia="zh-CN"/>
                </w:rPr>
                <w:t>C25/40</w:t>
              </w:r>
            </w:hyperlink>
            <w:r w:rsidR="00C03B4B" w:rsidRPr="00BB1307">
              <w:rPr>
                <w:rFonts w:asciiTheme="minorHAnsi" w:eastAsia="STKaiti" w:hAnsiTheme="minorHAnsi" w:cstheme="minorHAnsi"/>
                <w:lang w:val="en-US" w:eastAsia="zh-CN"/>
              </w:rPr>
              <w:t>号文件；</w:t>
            </w:r>
            <w:r w:rsidRPr="00BB1307">
              <w:rPr>
                <w:rFonts w:asciiTheme="minorHAnsi" w:eastAsia="STKaiti" w:hAnsiTheme="minorHAnsi" w:cstheme="minorHAnsi"/>
                <w:lang w:val="en-US" w:eastAsia="zh-CN"/>
              </w:rPr>
              <w:t>理事会相关</w:t>
            </w:r>
            <w:r w:rsidR="00C03B4B" w:rsidRPr="00BB1307">
              <w:rPr>
                <w:rFonts w:asciiTheme="minorHAnsi" w:eastAsia="STKaiti" w:hAnsiTheme="minorHAnsi" w:cstheme="minorHAnsi"/>
                <w:lang w:val="en-US" w:eastAsia="zh-CN"/>
              </w:rPr>
              <w:t>决定</w:t>
            </w:r>
            <w:r w:rsidRPr="00BB1307">
              <w:rPr>
                <w:rFonts w:asciiTheme="minorHAnsi" w:eastAsia="STKaiti" w:hAnsiTheme="minorHAnsi" w:cstheme="minorHAnsi"/>
                <w:lang w:val="en-US" w:eastAsia="zh-CN"/>
              </w:rPr>
              <w:t>摘要：</w:t>
            </w:r>
            <w:hyperlink r:id="rId18" w:history="1">
              <w:r w:rsidR="004E4BED" w:rsidRPr="00BB1307">
                <w:rPr>
                  <w:rStyle w:val="Hyperlink"/>
                  <w:rFonts w:asciiTheme="minorHAnsi" w:eastAsia="STKaiti" w:hAnsiTheme="minorHAnsi" w:cstheme="minorHAnsi"/>
                  <w:sz w:val="22"/>
                  <w:szCs w:val="22"/>
                  <w:lang w:eastAsia="zh-CN"/>
                </w:rPr>
                <w:t>C25/105</w:t>
              </w:r>
            </w:hyperlink>
            <w:r w:rsidR="004E4BED" w:rsidRPr="00BB1307">
              <w:rPr>
                <w:rFonts w:asciiTheme="minorHAnsi" w:eastAsia="STKaiti" w:hAnsiTheme="minorHAnsi" w:cstheme="minorHAnsi"/>
                <w:sz w:val="22"/>
                <w:szCs w:val="22"/>
                <w:lang w:eastAsia="zh-CN"/>
              </w:rPr>
              <w:t>、</w:t>
            </w:r>
            <w:hyperlink r:id="rId19" w:history="1">
              <w:r w:rsidR="004E4BED" w:rsidRPr="00BB1307">
                <w:rPr>
                  <w:rStyle w:val="Hyperlink"/>
                  <w:rFonts w:asciiTheme="minorHAnsi" w:eastAsia="STKaiti" w:hAnsiTheme="minorHAnsi" w:cstheme="minorHAnsi"/>
                  <w:sz w:val="22"/>
                  <w:szCs w:val="22"/>
                  <w:lang w:eastAsia="zh-CN"/>
                </w:rPr>
                <w:t>C24/109</w:t>
              </w:r>
            </w:hyperlink>
            <w:r w:rsidR="004E4BED" w:rsidRPr="00BB1307">
              <w:rPr>
                <w:rFonts w:asciiTheme="minorHAnsi" w:eastAsia="STKaiti" w:hAnsiTheme="minorHAnsi" w:cstheme="minorHAnsi"/>
                <w:sz w:val="22"/>
                <w:szCs w:val="22"/>
                <w:lang w:eastAsia="zh-CN"/>
              </w:rPr>
              <w:t>、</w:t>
            </w:r>
            <w:hyperlink r:id="rId20" w:history="1">
              <w:r w:rsidR="004E4BED" w:rsidRPr="00BB1307">
                <w:rPr>
                  <w:rStyle w:val="Hyperlink"/>
                  <w:rFonts w:asciiTheme="minorHAnsi" w:eastAsia="STKaiti" w:hAnsiTheme="minorHAnsi" w:cstheme="minorHAnsi"/>
                  <w:sz w:val="22"/>
                  <w:szCs w:val="22"/>
                  <w:lang w:eastAsia="zh-CN"/>
                </w:rPr>
                <w:t>C23/104</w:t>
              </w:r>
            </w:hyperlink>
            <w:r w:rsidR="004E4BED" w:rsidRPr="00BB1307">
              <w:rPr>
                <w:rFonts w:asciiTheme="minorHAnsi" w:eastAsia="STKaiti" w:hAnsiTheme="minorHAnsi" w:cstheme="minorHAnsi"/>
                <w:lang w:val="en-US" w:eastAsia="zh-CN"/>
              </w:rPr>
              <w:t>；</w:t>
            </w:r>
            <w:r w:rsidRPr="00BB1307">
              <w:rPr>
                <w:rFonts w:asciiTheme="minorHAnsi" w:eastAsia="STKaiti" w:hAnsiTheme="minorHAnsi" w:cstheme="minorHAnsi"/>
                <w:lang w:val="en-US" w:eastAsia="zh-CN"/>
              </w:rPr>
              <w:t>CWG-FHR</w:t>
            </w:r>
            <w:r w:rsidRPr="00BB1307">
              <w:rPr>
                <w:rFonts w:asciiTheme="minorHAnsi" w:eastAsia="STKaiti" w:hAnsiTheme="minorHAnsi" w:cstheme="minorHAnsi"/>
                <w:lang w:val="en-US" w:eastAsia="zh-CN"/>
              </w:rPr>
              <w:t>会议摘要：</w:t>
            </w:r>
            <w:r w:rsidRPr="00BB1307">
              <w:rPr>
                <w:rFonts w:asciiTheme="minorHAnsi" w:eastAsia="STKaiti" w:hAnsiTheme="minorHAnsi" w:cstheme="minorHAnsi"/>
                <w:lang w:val="en-US" w:eastAsia="zh-CN"/>
              </w:rPr>
              <w:t>CWG-FHR</w:t>
            </w:r>
            <w:r w:rsidR="00C03B4B" w:rsidRPr="00BB1307">
              <w:rPr>
                <w:rFonts w:asciiTheme="minorHAnsi" w:eastAsia="STKaiti" w:hAnsiTheme="minorHAnsi" w:cstheme="minorHAnsi"/>
                <w:lang w:val="en-US" w:eastAsia="zh-CN"/>
              </w:rPr>
              <w:t>会议摘要：</w:t>
            </w:r>
            <w:hyperlink r:id="rId21" w:history="1">
              <w:r w:rsidR="00C03B4B" w:rsidRPr="003872FA">
                <w:rPr>
                  <w:rFonts w:asciiTheme="minorHAnsi" w:eastAsia="STKaiti" w:hAnsiTheme="minorHAnsi" w:cstheme="minorHAnsi"/>
                  <w:color w:val="4F81BD" w:themeColor="accent1"/>
                  <w:sz w:val="22"/>
                  <w:szCs w:val="22"/>
                  <w:lang w:eastAsia="zh-CN"/>
                </w:rPr>
                <w:t>CWG-FHR-22/36</w:t>
              </w:r>
            </w:hyperlink>
            <w:r w:rsidR="00C03B4B" w:rsidRPr="003872FA">
              <w:rPr>
                <w:rFonts w:asciiTheme="minorHAnsi" w:eastAsia="STKaiti" w:hAnsiTheme="minorHAnsi" w:cstheme="minorHAnsi"/>
                <w:lang w:eastAsia="zh-CN"/>
              </w:rPr>
              <w:t>、</w:t>
            </w:r>
            <w:hyperlink r:id="rId22" w:history="1">
              <w:r w:rsidR="00C03B4B" w:rsidRPr="003872FA">
                <w:rPr>
                  <w:rFonts w:asciiTheme="minorHAnsi" w:eastAsia="STKaiti" w:hAnsiTheme="minorHAnsi" w:cstheme="minorHAnsi"/>
                  <w:color w:val="4F81BD" w:themeColor="accent1"/>
                  <w:sz w:val="22"/>
                  <w:szCs w:val="22"/>
                  <w:lang w:eastAsia="zh-CN"/>
                </w:rPr>
                <w:t>CWG-FHR-21/25</w:t>
              </w:r>
            </w:hyperlink>
            <w:r w:rsidR="00C03B4B" w:rsidRPr="003872FA">
              <w:rPr>
                <w:rFonts w:asciiTheme="minorHAnsi" w:eastAsia="STKaiti" w:hAnsiTheme="minorHAnsi" w:cstheme="minorHAnsi"/>
                <w:lang w:eastAsia="zh-CN"/>
              </w:rPr>
              <w:t>、</w:t>
            </w:r>
            <w:hyperlink r:id="rId23" w:history="1">
              <w:r w:rsidR="00C03B4B" w:rsidRPr="003872FA">
                <w:rPr>
                  <w:rFonts w:asciiTheme="minorHAnsi" w:eastAsia="STKaiti" w:hAnsiTheme="minorHAnsi" w:cstheme="minorHAnsi"/>
                  <w:color w:val="4F81BD" w:themeColor="accent1"/>
                  <w:sz w:val="22"/>
                  <w:szCs w:val="22"/>
                  <w:lang w:eastAsia="zh-CN"/>
                </w:rPr>
                <w:t>CWG-FHR-20/32</w:t>
              </w:r>
            </w:hyperlink>
            <w:r w:rsidR="00C03B4B" w:rsidRPr="003872FA">
              <w:rPr>
                <w:rFonts w:asciiTheme="minorHAnsi" w:eastAsia="STKaiti" w:hAnsiTheme="minorHAnsi" w:cstheme="minorHAnsi"/>
                <w:lang w:eastAsia="zh-CN"/>
              </w:rPr>
              <w:t>、</w:t>
            </w:r>
            <w:hyperlink r:id="rId24" w:history="1">
              <w:r w:rsidR="00C03B4B" w:rsidRPr="003872FA">
                <w:rPr>
                  <w:rFonts w:asciiTheme="minorHAnsi" w:eastAsia="STKaiti" w:hAnsiTheme="minorHAnsi" w:cstheme="minorHAnsi"/>
                  <w:color w:val="4F81BD" w:themeColor="accent1"/>
                  <w:sz w:val="22"/>
                  <w:szCs w:val="22"/>
                  <w:lang w:eastAsia="zh-CN"/>
                </w:rPr>
                <w:t>CWG-FHR-19/15</w:t>
              </w:r>
            </w:hyperlink>
            <w:r w:rsidR="00C03B4B" w:rsidRPr="003872FA">
              <w:rPr>
                <w:rFonts w:asciiTheme="minorHAnsi" w:eastAsia="STKaiti" w:hAnsiTheme="minorHAnsi" w:cstheme="minorHAnsi"/>
                <w:lang w:eastAsia="zh-CN"/>
              </w:rPr>
              <w:t>、</w:t>
            </w:r>
            <w:hyperlink r:id="rId25" w:history="1">
              <w:r w:rsidR="00C03B4B" w:rsidRPr="003872FA">
                <w:rPr>
                  <w:rFonts w:asciiTheme="minorHAnsi" w:eastAsia="STKaiti" w:hAnsiTheme="minorHAnsi" w:cstheme="minorHAnsi"/>
                  <w:color w:val="4F81BD" w:themeColor="accent1"/>
                  <w:sz w:val="22"/>
                  <w:szCs w:val="22"/>
                  <w:lang w:eastAsia="zh-CN"/>
                </w:rPr>
                <w:t>CWG-FHR-17/24</w:t>
              </w:r>
            </w:hyperlink>
            <w:r w:rsidR="00C03B4B" w:rsidRPr="00BB1307">
              <w:rPr>
                <w:rFonts w:asciiTheme="minorHAnsi" w:eastAsia="STKaiti" w:hAnsiTheme="minorHAnsi" w:cstheme="minorHAnsi"/>
                <w:lang w:val="en-US" w:eastAsia="zh-CN"/>
              </w:rPr>
              <w:t>号文件</w:t>
            </w:r>
            <w:r w:rsidR="002D57D0">
              <w:rPr>
                <w:rFonts w:asciiTheme="minorHAnsi" w:eastAsia="STKaiti" w:hAnsiTheme="minorHAnsi" w:cstheme="minorHAnsi" w:hint="eastAsia"/>
                <w:lang w:val="en-US" w:eastAsia="zh-CN"/>
              </w:rPr>
              <w:t>。</w:t>
            </w:r>
          </w:p>
        </w:tc>
      </w:tr>
      <w:bookmarkEnd w:id="2"/>
      <w:bookmarkEnd w:id="6"/>
    </w:tbl>
    <w:p w14:paraId="174FA3DF" w14:textId="77777777" w:rsidR="00B76630" w:rsidRPr="005F518C" w:rsidRDefault="00B76630">
      <w:pPr>
        <w:tabs>
          <w:tab w:val="clear" w:pos="794"/>
          <w:tab w:val="clear" w:pos="1191"/>
          <w:tab w:val="clear" w:pos="1588"/>
          <w:tab w:val="clear" w:pos="1985"/>
        </w:tabs>
        <w:overflowPunct/>
        <w:autoSpaceDE/>
        <w:autoSpaceDN/>
        <w:adjustRightInd/>
        <w:spacing w:before="0"/>
        <w:textAlignment w:val="auto"/>
        <w:rPr>
          <w:lang w:eastAsia="zh-CN"/>
        </w:rPr>
      </w:pPr>
    </w:p>
    <w:p w14:paraId="654E733B" w14:textId="77777777" w:rsidR="00B76630" w:rsidRPr="005F518C" w:rsidRDefault="00C048A2">
      <w:pPr>
        <w:tabs>
          <w:tab w:val="clear" w:pos="794"/>
          <w:tab w:val="clear" w:pos="1191"/>
          <w:tab w:val="clear" w:pos="1588"/>
          <w:tab w:val="clear" w:pos="1985"/>
        </w:tabs>
        <w:overflowPunct/>
        <w:autoSpaceDE/>
        <w:autoSpaceDN/>
        <w:adjustRightInd/>
        <w:spacing w:before="0"/>
        <w:textAlignment w:val="auto"/>
        <w:rPr>
          <w:lang w:eastAsia="zh-CN"/>
        </w:rPr>
      </w:pPr>
      <w:r w:rsidRPr="005F518C">
        <w:rPr>
          <w:lang w:eastAsia="zh-CN"/>
        </w:rPr>
        <w:br w:type="page"/>
      </w:r>
    </w:p>
    <w:p w14:paraId="0DA79ABE" w14:textId="57BB84AC" w:rsidR="00B76630" w:rsidRPr="005F518C" w:rsidRDefault="00C048A2" w:rsidP="00BB1307">
      <w:pPr>
        <w:pStyle w:val="Heading1"/>
        <w:rPr>
          <w:bCs/>
          <w:lang w:val="en-US" w:eastAsia="zh-CN"/>
        </w:rPr>
      </w:pPr>
      <w:r w:rsidRPr="005F518C">
        <w:rPr>
          <w:rFonts w:hint="eastAsia"/>
          <w:lang w:val="en-US" w:eastAsia="zh-CN"/>
        </w:rPr>
        <w:lastRenderedPageBreak/>
        <w:t>1</w:t>
      </w:r>
      <w:r w:rsidRPr="005F518C">
        <w:rPr>
          <w:rFonts w:hint="eastAsia"/>
          <w:lang w:val="en-US" w:eastAsia="zh-CN"/>
        </w:rPr>
        <w:tab/>
      </w:r>
      <w:r w:rsidRPr="005F518C">
        <w:rPr>
          <w:rFonts w:hint="eastAsia"/>
          <w:lang w:val="en-US" w:eastAsia="zh-CN"/>
        </w:rPr>
        <w:t>背景</w:t>
      </w:r>
    </w:p>
    <w:p w14:paraId="71E82B9C" w14:textId="4BAD1E86" w:rsidR="00B76630" w:rsidRPr="005F518C" w:rsidRDefault="00C048A2">
      <w:pPr>
        <w:snapToGrid w:val="0"/>
        <w:ind w:firstLineChars="200" w:firstLine="480"/>
        <w:jc w:val="both"/>
        <w:rPr>
          <w:lang w:val="en-US" w:eastAsia="zh-CN"/>
        </w:rPr>
      </w:pPr>
      <w:r w:rsidRPr="005F518C">
        <w:rPr>
          <w:rFonts w:hint="eastAsia"/>
          <w:lang w:val="en-US" w:eastAsia="zh-CN"/>
        </w:rPr>
        <w:t>国际电信联盟（</w:t>
      </w:r>
      <w:r w:rsidR="00D56911">
        <w:rPr>
          <w:rFonts w:hint="eastAsia"/>
          <w:lang w:val="en-US" w:eastAsia="zh-CN"/>
        </w:rPr>
        <w:t>国际电联</w:t>
      </w:r>
      <w:r w:rsidRPr="005F518C">
        <w:rPr>
          <w:rFonts w:hint="eastAsia"/>
          <w:lang w:val="en-US" w:eastAsia="zh-CN"/>
        </w:rPr>
        <w:t>）作为联合国专门机构，面临严格财务预算约束。近年来，随着组织转型、机构建设和职能拓展支出不断上升，</w:t>
      </w:r>
      <w:r w:rsidR="00D56911">
        <w:rPr>
          <w:rFonts w:hint="eastAsia"/>
          <w:lang w:val="en-US" w:eastAsia="zh-CN"/>
        </w:rPr>
        <w:t>国际电</w:t>
      </w:r>
      <w:proofErr w:type="gramStart"/>
      <w:r w:rsidR="00D56911">
        <w:rPr>
          <w:rFonts w:hint="eastAsia"/>
          <w:lang w:val="en-US" w:eastAsia="zh-CN"/>
        </w:rPr>
        <w:t>联</w:t>
      </w:r>
      <w:r w:rsidRPr="005F518C">
        <w:rPr>
          <w:rFonts w:hint="eastAsia"/>
          <w:lang w:val="en-US" w:eastAsia="zh-CN"/>
        </w:rPr>
        <w:t>预算</w:t>
      </w:r>
      <w:proofErr w:type="gramEnd"/>
      <w:r w:rsidRPr="005F518C">
        <w:rPr>
          <w:rFonts w:hint="eastAsia"/>
          <w:lang w:val="en-US" w:eastAsia="zh-CN"/>
        </w:rPr>
        <w:t>执行压力持续加大。根据秘书处</w:t>
      </w:r>
      <w:r w:rsidRPr="005F518C">
        <w:rPr>
          <w:rFonts w:hint="eastAsia"/>
          <w:lang w:val="en-US" w:eastAsia="zh-CN"/>
        </w:rPr>
        <w:t>2025</w:t>
      </w:r>
      <w:r w:rsidRPr="005F518C">
        <w:rPr>
          <w:rFonts w:hint="eastAsia"/>
          <w:lang w:val="en-US" w:eastAsia="zh-CN"/>
        </w:rPr>
        <w:t>年理事会报告（</w:t>
      </w:r>
      <w:hyperlink r:id="rId26" w:history="1">
        <w:r w:rsidR="00BB1307" w:rsidRPr="00C13840">
          <w:rPr>
            <w:rStyle w:val="Hyperlink"/>
            <w:rFonts w:eastAsia="SimSun" w:hint="eastAsia"/>
            <w:lang w:eastAsia="zh-CN"/>
          </w:rPr>
          <w:t>C25/40</w:t>
        </w:r>
      </w:hyperlink>
      <w:r w:rsidRPr="005F518C">
        <w:rPr>
          <w:rFonts w:hint="eastAsia"/>
          <w:lang w:val="en-US" w:eastAsia="zh-CN"/>
        </w:rPr>
        <w:t>），国际电联</w:t>
      </w:r>
      <w:r w:rsidRPr="005F518C">
        <w:rPr>
          <w:rFonts w:hint="eastAsia"/>
          <w:lang w:val="en-US" w:eastAsia="zh-CN"/>
        </w:rPr>
        <w:t>2024</w:t>
      </w:r>
      <w:r w:rsidRPr="005F518C">
        <w:rPr>
          <w:rFonts w:hint="eastAsia"/>
          <w:lang w:val="en-US" w:eastAsia="zh-CN"/>
        </w:rPr>
        <w:t>年净资产为负</w:t>
      </w:r>
      <w:r w:rsidRPr="005F518C">
        <w:rPr>
          <w:rFonts w:hint="eastAsia"/>
          <w:lang w:val="en-US" w:eastAsia="zh-CN"/>
        </w:rPr>
        <w:t>3.18</w:t>
      </w:r>
      <w:r w:rsidRPr="005F518C">
        <w:rPr>
          <w:rFonts w:hint="eastAsia"/>
          <w:lang w:val="en-US" w:eastAsia="zh-CN"/>
        </w:rPr>
        <w:t>亿瑞郎，负值较上年扩大</w:t>
      </w:r>
      <w:r w:rsidRPr="005F518C">
        <w:rPr>
          <w:rFonts w:hint="eastAsia"/>
          <w:lang w:val="en-US" w:eastAsia="zh-CN"/>
        </w:rPr>
        <w:t>6</w:t>
      </w:r>
      <w:r w:rsidR="00BB1307">
        <w:rPr>
          <w:rFonts w:hint="eastAsia"/>
          <w:lang w:val="en-US" w:eastAsia="zh-CN"/>
        </w:rPr>
        <w:t xml:space="preserve"> </w:t>
      </w:r>
      <w:r w:rsidRPr="005F518C">
        <w:rPr>
          <w:rFonts w:hint="eastAsia"/>
          <w:lang w:val="en-US" w:eastAsia="zh-CN"/>
        </w:rPr>
        <w:t>060</w:t>
      </w:r>
      <w:proofErr w:type="gramStart"/>
      <w:r w:rsidRPr="005F518C">
        <w:rPr>
          <w:rFonts w:hint="eastAsia"/>
          <w:lang w:val="en-US" w:eastAsia="zh-CN"/>
        </w:rPr>
        <w:t>万瑞</w:t>
      </w:r>
      <w:proofErr w:type="gramEnd"/>
      <w:r w:rsidRPr="005F518C">
        <w:rPr>
          <w:rFonts w:hint="eastAsia"/>
          <w:lang w:val="en-US" w:eastAsia="zh-CN"/>
        </w:rPr>
        <w:t>郎。</w:t>
      </w:r>
      <w:r w:rsidRPr="005F518C">
        <w:rPr>
          <w:rFonts w:hint="eastAsia"/>
          <w:bCs/>
          <w:lang w:val="en-US" w:eastAsia="zh-CN"/>
        </w:rPr>
        <w:t>2025</w:t>
      </w:r>
      <w:r w:rsidRPr="005F518C">
        <w:rPr>
          <w:rFonts w:hint="eastAsia"/>
          <w:bCs/>
          <w:lang w:val="en-US" w:eastAsia="zh-CN"/>
        </w:rPr>
        <w:t>年，国际电联实现盈余</w:t>
      </w:r>
      <w:r w:rsidRPr="005F518C">
        <w:rPr>
          <w:rFonts w:hint="eastAsia"/>
          <w:bCs/>
          <w:lang w:val="en-US" w:eastAsia="zh-CN"/>
        </w:rPr>
        <w:t>1</w:t>
      </w:r>
      <w:r w:rsidR="00BB1307">
        <w:rPr>
          <w:rFonts w:hint="eastAsia"/>
          <w:bCs/>
          <w:lang w:val="en-US" w:eastAsia="zh-CN"/>
        </w:rPr>
        <w:t xml:space="preserve"> </w:t>
      </w:r>
      <w:r w:rsidRPr="005F518C">
        <w:rPr>
          <w:rFonts w:hint="eastAsia"/>
          <w:bCs/>
          <w:lang w:val="en-US" w:eastAsia="zh-CN"/>
        </w:rPr>
        <w:t>080</w:t>
      </w:r>
      <w:r w:rsidRPr="005F518C">
        <w:rPr>
          <w:rFonts w:hint="eastAsia"/>
          <w:bCs/>
          <w:lang w:val="en-US" w:eastAsia="zh-CN"/>
        </w:rPr>
        <w:t>万瑞郎，但是</w:t>
      </w:r>
      <w:r w:rsidRPr="005F518C">
        <w:rPr>
          <w:rFonts w:hint="eastAsia"/>
          <w:lang w:val="en-US" w:eastAsia="zh-CN"/>
        </w:rPr>
        <w:t>秘书长的财务报告（</w:t>
      </w:r>
      <w:hyperlink r:id="rId27" w:history="1">
        <w:r w:rsidR="00BB1307" w:rsidRPr="00C13840">
          <w:rPr>
            <w:rStyle w:val="Hyperlink"/>
            <w:rFonts w:eastAsia="SimSun" w:hint="eastAsia"/>
            <w:lang w:eastAsia="zh-CN"/>
          </w:rPr>
          <w:t>C26/42</w:t>
        </w:r>
      </w:hyperlink>
      <w:r w:rsidRPr="005F518C">
        <w:rPr>
          <w:rFonts w:hint="eastAsia"/>
          <w:bCs/>
          <w:lang w:val="fr-CH" w:eastAsia="zh-CN"/>
        </w:rPr>
        <w:t>）</w:t>
      </w:r>
      <w:r w:rsidRPr="005F518C">
        <w:rPr>
          <w:rFonts w:hint="eastAsia"/>
          <w:lang w:val="en-US" w:eastAsia="zh-CN"/>
        </w:rPr>
        <w:t>和独立管理顾问委员会（</w:t>
      </w:r>
      <w:r w:rsidRPr="005F518C">
        <w:rPr>
          <w:rFonts w:hint="eastAsia"/>
          <w:lang w:val="en-US" w:eastAsia="zh-CN"/>
        </w:rPr>
        <w:t>IMAC</w:t>
      </w:r>
      <w:r w:rsidRPr="005F518C">
        <w:rPr>
          <w:rFonts w:hint="eastAsia"/>
          <w:lang w:val="en-US" w:eastAsia="zh-CN"/>
        </w:rPr>
        <w:t>）（</w:t>
      </w:r>
      <w:hyperlink r:id="rId28" w:history="1">
        <w:r w:rsidR="00BB1307" w:rsidRPr="00C13840">
          <w:rPr>
            <w:rStyle w:val="Hyperlink"/>
            <w:rFonts w:eastAsia="SimSun" w:hint="eastAsia"/>
            <w:lang w:eastAsia="zh-CN"/>
          </w:rPr>
          <w:t>C26/22</w:t>
        </w:r>
      </w:hyperlink>
      <w:r w:rsidRPr="005F518C">
        <w:rPr>
          <w:rFonts w:hint="eastAsia"/>
          <w:bCs/>
          <w:lang w:val="en-US" w:eastAsia="zh-CN"/>
        </w:rPr>
        <w:t>）均指出，这在很大程度上由延迟招聘和推迟实施所驱动，并非结构性效率提升，也不代表国际电联现有基础支出的结构性下降。</w:t>
      </w:r>
      <w:r w:rsidRPr="005F518C">
        <w:rPr>
          <w:rFonts w:ascii="Segoe UI" w:hAnsi="Segoe UI" w:cs="Segoe UI" w:hint="eastAsia"/>
          <w:color w:val="0F1115"/>
          <w:szCs w:val="24"/>
          <w:shd w:val="clear" w:color="auto" w:fill="FFFFFF"/>
          <w:lang w:val="en-US" w:eastAsia="zh-CN"/>
        </w:rPr>
        <w:t>此外，当前</w:t>
      </w:r>
      <w:r w:rsidRPr="005F518C">
        <w:rPr>
          <w:rFonts w:ascii="Segoe UI" w:hAnsi="Segoe UI" w:cs="Segoe UI" w:hint="eastAsia"/>
          <w:color w:val="0F1115"/>
          <w:szCs w:val="24"/>
          <w:shd w:val="clear" w:color="auto" w:fill="FFFFFF"/>
          <w:lang w:eastAsia="zh-CN"/>
        </w:rPr>
        <w:t>国际电联在战略和财务等关键领域</w:t>
      </w:r>
      <w:r w:rsidRPr="005F518C">
        <w:rPr>
          <w:rFonts w:ascii="Segoe UI" w:hAnsi="Segoe UI" w:cs="Segoe UI" w:hint="eastAsia"/>
          <w:color w:val="0F1115"/>
          <w:szCs w:val="24"/>
          <w:shd w:val="clear" w:color="auto" w:fill="FFFFFF"/>
          <w:lang w:val="en-US" w:eastAsia="zh-CN"/>
        </w:rPr>
        <w:t>高</w:t>
      </w:r>
      <w:r w:rsidRPr="005F518C">
        <w:rPr>
          <w:rFonts w:ascii="Segoe UI" w:hAnsi="Segoe UI" w:cs="Segoe UI" w:hint="eastAsia"/>
          <w:color w:val="0F1115"/>
          <w:szCs w:val="24"/>
          <w:shd w:val="clear" w:color="auto" w:fill="FFFFFF"/>
          <w:lang w:eastAsia="zh-CN"/>
        </w:rPr>
        <w:t>度依赖外包服务（如</w:t>
      </w:r>
      <w:r w:rsidRPr="005F518C">
        <w:rPr>
          <w:rFonts w:ascii="Segoe UI" w:hAnsi="Segoe UI" w:cs="Segoe UI" w:hint="eastAsia"/>
          <w:color w:val="0F1115"/>
          <w:szCs w:val="24"/>
          <w:shd w:val="clear" w:color="auto" w:fill="FFFFFF"/>
          <w:lang w:eastAsia="zh-CN"/>
        </w:rPr>
        <w:t>2023</w:t>
      </w:r>
      <w:r w:rsidRPr="005F518C">
        <w:rPr>
          <w:rFonts w:ascii="Segoe UI" w:hAnsi="Segoe UI" w:cs="Segoe UI" w:hint="eastAsia"/>
          <w:color w:val="0F1115"/>
          <w:szCs w:val="24"/>
          <w:shd w:val="clear" w:color="auto" w:fill="FFFFFF"/>
          <w:lang w:eastAsia="zh-CN"/>
        </w:rPr>
        <w:t>年支出</w:t>
      </w:r>
      <w:r w:rsidRPr="005F518C">
        <w:rPr>
          <w:rFonts w:ascii="Segoe UI" w:hAnsi="Segoe UI" w:cs="Segoe UI" w:hint="eastAsia"/>
          <w:color w:val="0F1115"/>
          <w:szCs w:val="24"/>
          <w:shd w:val="clear" w:color="auto" w:fill="FFFFFF"/>
          <w:lang w:eastAsia="zh-CN"/>
        </w:rPr>
        <w:t>48</w:t>
      </w:r>
      <w:r w:rsidRPr="005F518C">
        <w:rPr>
          <w:rFonts w:ascii="Segoe UI" w:hAnsi="Segoe UI" w:cs="Segoe UI" w:hint="eastAsia"/>
          <w:color w:val="0F1115"/>
          <w:szCs w:val="24"/>
          <w:shd w:val="clear" w:color="auto" w:fill="FFFFFF"/>
          <w:lang w:eastAsia="zh-CN"/>
        </w:rPr>
        <w:t>万瑞郎聘请安永编制</w:t>
      </w:r>
      <w:r w:rsidRPr="005F518C">
        <w:rPr>
          <w:rFonts w:ascii="Segoe UI" w:hAnsi="Segoe UI" w:cs="Segoe UI" w:hint="eastAsia"/>
          <w:color w:val="0F1115"/>
          <w:szCs w:val="24"/>
          <w:shd w:val="clear" w:color="auto" w:fill="FFFFFF"/>
          <w:lang w:eastAsia="zh-CN"/>
        </w:rPr>
        <w:t>IPSAS</w:t>
      </w:r>
      <w:r w:rsidRPr="005F518C">
        <w:rPr>
          <w:rFonts w:ascii="Segoe UI" w:hAnsi="Segoe UI" w:cs="Segoe UI" w:hint="eastAsia"/>
          <w:color w:val="0F1115"/>
          <w:szCs w:val="24"/>
          <w:shd w:val="clear" w:color="auto" w:fill="FFFFFF"/>
          <w:lang w:eastAsia="zh-CN"/>
        </w:rPr>
        <w:t>财务报告、</w:t>
      </w:r>
      <w:r w:rsidRPr="005F518C">
        <w:rPr>
          <w:rFonts w:ascii="Segoe UI" w:hAnsi="Segoe UI" w:cs="Segoe UI" w:hint="eastAsia"/>
          <w:color w:val="0F1115"/>
          <w:szCs w:val="24"/>
          <w:shd w:val="clear" w:color="auto" w:fill="FFFFFF"/>
          <w:lang w:eastAsia="zh-CN"/>
        </w:rPr>
        <w:t>2024</w:t>
      </w:r>
      <w:r w:rsidRPr="005F518C">
        <w:rPr>
          <w:rFonts w:ascii="Segoe UI" w:hAnsi="Segoe UI" w:cs="Segoe UI" w:hint="eastAsia"/>
          <w:color w:val="0F1115"/>
          <w:szCs w:val="24"/>
          <w:shd w:val="clear" w:color="auto" w:fill="FFFFFF"/>
          <w:lang w:eastAsia="zh-CN"/>
        </w:rPr>
        <w:t>年支出</w:t>
      </w:r>
      <w:r w:rsidRPr="005F518C">
        <w:rPr>
          <w:rFonts w:ascii="Segoe UI" w:hAnsi="Segoe UI" w:cs="Segoe UI" w:hint="eastAsia"/>
          <w:color w:val="0F1115"/>
          <w:szCs w:val="24"/>
          <w:shd w:val="clear" w:color="auto" w:fill="FFFFFF"/>
          <w:lang w:eastAsia="zh-CN"/>
        </w:rPr>
        <w:t>23</w:t>
      </w:r>
      <w:r w:rsidRPr="005F518C">
        <w:rPr>
          <w:rFonts w:ascii="Segoe UI" w:hAnsi="Segoe UI" w:cs="Segoe UI" w:hint="eastAsia"/>
          <w:color w:val="0F1115"/>
          <w:szCs w:val="24"/>
          <w:shd w:val="clear" w:color="auto" w:fill="FFFFFF"/>
          <w:lang w:eastAsia="zh-CN"/>
        </w:rPr>
        <w:t>万瑞郎委托达博进行架构评估），且</w:t>
      </w:r>
      <w:r w:rsidRPr="005F518C">
        <w:rPr>
          <w:rFonts w:ascii="Segoe UI" w:hAnsi="Segoe UI" w:cs="Segoe UI" w:hint="eastAsia"/>
          <w:color w:val="0F1115"/>
          <w:szCs w:val="24"/>
          <w:shd w:val="clear" w:color="auto" w:fill="FFFFFF"/>
          <w:lang w:val="en-US" w:eastAsia="zh-CN"/>
        </w:rPr>
        <w:t>特聘顾问（</w:t>
      </w:r>
      <w:r w:rsidRPr="005F518C">
        <w:rPr>
          <w:rFonts w:ascii="Segoe UI" w:hAnsi="Segoe UI" w:cs="Segoe UI" w:hint="eastAsia"/>
          <w:color w:val="0F1115"/>
          <w:szCs w:val="24"/>
          <w:shd w:val="clear" w:color="auto" w:fill="FFFFFF"/>
          <w:lang w:eastAsia="zh-CN"/>
        </w:rPr>
        <w:t>SSA</w:t>
      </w:r>
      <w:r w:rsidRPr="005F518C">
        <w:rPr>
          <w:rFonts w:ascii="Segoe UI" w:hAnsi="Segoe UI" w:cs="Segoe UI" w:hint="eastAsia"/>
          <w:color w:val="0F1115"/>
          <w:szCs w:val="24"/>
          <w:shd w:val="clear" w:color="auto" w:fill="FFFFFF"/>
          <w:lang w:eastAsia="zh-CN"/>
        </w:rPr>
        <w:t>）支出的预算影响和人员规模等信息披露不足。</w:t>
      </w:r>
    </w:p>
    <w:p w14:paraId="72DDEF89" w14:textId="43BBB848" w:rsidR="00B76630" w:rsidRPr="005F518C" w:rsidRDefault="00D56911">
      <w:pPr>
        <w:overflowPunct/>
        <w:autoSpaceDE/>
        <w:autoSpaceDN/>
        <w:snapToGrid w:val="0"/>
        <w:ind w:firstLineChars="200" w:firstLine="480"/>
        <w:jc w:val="both"/>
        <w:textAlignment w:val="auto"/>
        <w:rPr>
          <w:rFonts w:ascii="SimSun" w:hAnsi="SimSun" w:cs="SimSun"/>
          <w:szCs w:val="24"/>
          <w:lang w:val="en-US" w:eastAsia="zh-CN"/>
        </w:rPr>
      </w:pPr>
      <w:r>
        <w:rPr>
          <w:rFonts w:ascii="SimSun" w:hAnsi="SimSun" w:cs="SimSun" w:hint="eastAsia"/>
          <w:szCs w:val="24"/>
          <w:lang w:val="en-US" w:eastAsia="zh-CN"/>
        </w:rPr>
        <w:t>国际电</w:t>
      </w:r>
      <w:proofErr w:type="gramStart"/>
      <w:r>
        <w:rPr>
          <w:rFonts w:ascii="SimSun" w:hAnsi="SimSun" w:cs="SimSun" w:hint="eastAsia"/>
          <w:szCs w:val="24"/>
          <w:lang w:val="en-US" w:eastAsia="zh-CN"/>
        </w:rPr>
        <w:t>联</w:t>
      </w:r>
      <w:r w:rsidR="00C048A2" w:rsidRPr="005F518C">
        <w:rPr>
          <w:rFonts w:ascii="SimSun" w:hAnsi="SimSun" w:cs="SimSun" w:hint="eastAsia"/>
          <w:szCs w:val="24"/>
          <w:lang w:val="en-US" w:eastAsia="zh-CN"/>
        </w:rPr>
        <w:t>现有</w:t>
      </w:r>
      <w:proofErr w:type="gramEnd"/>
      <w:r w:rsidR="00C048A2" w:rsidRPr="005F518C">
        <w:rPr>
          <w:rFonts w:ascii="SimSun" w:hAnsi="SimSun" w:cs="SimSun" w:hint="eastAsia"/>
          <w:szCs w:val="24"/>
          <w:lang w:val="en-US" w:eastAsia="zh-CN"/>
        </w:rPr>
        <w:t>《基本文件》及相关决议已对提高财务管理透明度和资源使用的有效性提出了要求。根据</w:t>
      </w:r>
      <w:r>
        <w:rPr>
          <w:rFonts w:ascii="SimSun" w:hAnsi="SimSun" w:cs="SimSun" w:hint="eastAsia"/>
          <w:szCs w:val="24"/>
          <w:lang w:val="en-US" w:eastAsia="zh-CN"/>
        </w:rPr>
        <w:t>国际电联</w:t>
      </w:r>
      <w:r w:rsidR="00C048A2" w:rsidRPr="005F518C">
        <w:rPr>
          <w:rFonts w:ascii="SimSun" w:hAnsi="SimSun" w:cs="SimSun" w:hint="eastAsia"/>
          <w:szCs w:val="24"/>
          <w:lang w:val="en-US" w:eastAsia="zh-CN"/>
        </w:rPr>
        <w:t>全权代表大会</w:t>
      </w:r>
      <w:r w:rsidR="00C048A2" w:rsidRPr="00BB1307">
        <w:rPr>
          <w:rFonts w:asciiTheme="minorHAnsi" w:hAnsiTheme="minorHAnsi" w:cstheme="minorHAnsi"/>
          <w:szCs w:val="24"/>
          <w:lang w:val="en-US" w:eastAsia="zh-CN"/>
        </w:rPr>
        <w:t>第</w:t>
      </w:r>
      <w:r w:rsidR="00C048A2" w:rsidRPr="00BB1307">
        <w:rPr>
          <w:rFonts w:asciiTheme="minorHAnsi" w:hAnsiTheme="minorHAnsi" w:cstheme="minorHAnsi"/>
          <w:szCs w:val="24"/>
          <w:lang w:val="en-US" w:eastAsia="zh-CN"/>
        </w:rPr>
        <w:t>151</w:t>
      </w:r>
      <w:r w:rsidR="00C048A2" w:rsidRPr="00BB1307">
        <w:rPr>
          <w:rFonts w:asciiTheme="minorHAnsi" w:hAnsiTheme="minorHAnsi" w:cstheme="minorHAnsi"/>
          <w:szCs w:val="24"/>
          <w:lang w:val="en-US" w:eastAsia="zh-CN"/>
        </w:rPr>
        <w:t>号决议</w:t>
      </w:r>
      <w:r w:rsidR="00C048A2" w:rsidRPr="00BB1307">
        <w:rPr>
          <w:rFonts w:asciiTheme="minorHAnsi" w:hAnsiTheme="minorHAnsi" w:cstheme="minorHAnsi"/>
          <w:lang w:val="en-US" w:eastAsia="zh-CN"/>
        </w:rPr>
        <w:t>（</w:t>
      </w:r>
      <w:r w:rsidR="00C048A2" w:rsidRPr="00BB1307">
        <w:rPr>
          <w:rFonts w:asciiTheme="minorHAnsi" w:hAnsiTheme="minorHAnsi" w:cstheme="minorHAnsi"/>
          <w:lang w:val="en-US" w:eastAsia="zh-CN"/>
        </w:rPr>
        <w:t>2022</w:t>
      </w:r>
      <w:r w:rsidR="00C048A2" w:rsidRPr="00BB1307">
        <w:rPr>
          <w:rFonts w:asciiTheme="minorHAnsi" w:hAnsiTheme="minorHAnsi" w:cstheme="minorHAnsi"/>
          <w:lang w:val="en-US" w:eastAsia="zh-CN"/>
        </w:rPr>
        <w:t>年，布加勒斯特，修订版）</w:t>
      </w:r>
      <w:r w:rsidR="00C048A2" w:rsidRPr="00BB1307">
        <w:rPr>
          <w:rFonts w:asciiTheme="minorHAnsi" w:hAnsiTheme="minorHAnsi" w:cstheme="minorHAnsi"/>
          <w:szCs w:val="24"/>
          <w:lang w:val="en-US" w:eastAsia="zh-CN"/>
        </w:rPr>
        <w:t>，秘书长及三大局主任应继续建立全面的国际电</w:t>
      </w:r>
      <w:proofErr w:type="gramStart"/>
      <w:r w:rsidR="00C048A2" w:rsidRPr="00BB1307">
        <w:rPr>
          <w:rFonts w:asciiTheme="minorHAnsi" w:hAnsiTheme="minorHAnsi" w:cstheme="minorHAnsi"/>
          <w:szCs w:val="24"/>
          <w:lang w:val="en-US" w:eastAsia="zh-CN"/>
        </w:rPr>
        <w:t>联成果</w:t>
      </w:r>
      <w:proofErr w:type="gramEnd"/>
      <w:r w:rsidR="00C048A2" w:rsidRPr="00BB1307">
        <w:rPr>
          <w:rFonts w:asciiTheme="minorHAnsi" w:hAnsiTheme="minorHAnsi" w:cstheme="minorHAnsi"/>
          <w:szCs w:val="24"/>
          <w:lang w:val="en-US" w:eastAsia="zh-CN"/>
        </w:rPr>
        <w:t>框架，包括</w:t>
      </w:r>
      <w:r w:rsidR="00BB1307">
        <w:rPr>
          <w:rFonts w:asciiTheme="minorHAnsi" w:hAnsiTheme="minorHAnsi" w:cstheme="minorHAnsi" w:hint="eastAsia"/>
          <w:szCs w:val="24"/>
          <w:lang w:val="en-US" w:eastAsia="zh-CN"/>
        </w:rPr>
        <w:t>“</w:t>
      </w:r>
      <w:r w:rsidR="00C048A2" w:rsidRPr="00BB1307">
        <w:rPr>
          <w:rFonts w:asciiTheme="minorHAnsi" w:hAnsiTheme="minorHAnsi" w:cstheme="minorHAnsi"/>
          <w:szCs w:val="24"/>
          <w:lang w:val="en-US" w:eastAsia="zh-CN"/>
        </w:rPr>
        <w:t>列出国际电联的各项活动、这些活动的目标以及相关资源和结果</w:t>
      </w:r>
      <w:r w:rsidR="00BB1307">
        <w:rPr>
          <w:rFonts w:asciiTheme="minorHAnsi" w:hAnsiTheme="minorHAnsi" w:cstheme="minorHAnsi" w:hint="eastAsia"/>
          <w:szCs w:val="24"/>
          <w:lang w:val="en-US" w:eastAsia="zh-CN"/>
        </w:rPr>
        <w:t>”</w:t>
      </w:r>
      <w:r w:rsidR="00C048A2" w:rsidRPr="00BB1307">
        <w:rPr>
          <w:rFonts w:asciiTheme="minorHAnsi" w:hAnsiTheme="minorHAnsi" w:cstheme="minorHAnsi"/>
          <w:szCs w:val="24"/>
          <w:lang w:val="en-US" w:eastAsia="zh-CN"/>
        </w:rPr>
        <w:t>，并</w:t>
      </w:r>
      <w:r w:rsidR="00BB1307">
        <w:rPr>
          <w:rFonts w:asciiTheme="minorHAnsi" w:hAnsiTheme="minorHAnsi" w:cstheme="minorHAnsi" w:hint="eastAsia"/>
          <w:szCs w:val="24"/>
          <w:lang w:val="en-US" w:eastAsia="zh-CN"/>
        </w:rPr>
        <w:t>“</w:t>
      </w:r>
      <w:r w:rsidR="00C048A2" w:rsidRPr="00BB1307">
        <w:rPr>
          <w:rFonts w:asciiTheme="minorHAnsi" w:hAnsiTheme="minorHAnsi" w:cstheme="minorHAnsi"/>
          <w:szCs w:val="24"/>
          <w:lang w:val="en-US" w:eastAsia="zh-CN"/>
        </w:rPr>
        <w:t>通过公布（包括使用或部署财务和人力资源（外部或内部）产生的所有费用在内的）详细信息，确保报告的透明度</w:t>
      </w:r>
      <w:r w:rsidR="00BB1307">
        <w:rPr>
          <w:rFonts w:asciiTheme="minorHAnsi" w:hAnsiTheme="minorHAnsi" w:cstheme="minorHAnsi" w:hint="eastAsia"/>
          <w:szCs w:val="24"/>
          <w:lang w:val="en-US" w:eastAsia="zh-CN"/>
        </w:rPr>
        <w:t>”</w:t>
      </w:r>
      <w:r w:rsidR="00C048A2" w:rsidRPr="00BB1307">
        <w:rPr>
          <w:rFonts w:asciiTheme="minorHAnsi" w:hAnsiTheme="minorHAnsi" w:cstheme="minorHAnsi"/>
          <w:szCs w:val="24"/>
          <w:lang w:val="en-US" w:eastAsia="zh-CN"/>
        </w:rPr>
        <w:t>。第</w:t>
      </w:r>
      <w:r w:rsidR="00C048A2" w:rsidRPr="00BB1307">
        <w:rPr>
          <w:rFonts w:asciiTheme="minorHAnsi" w:hAnsiTheme="minorHAnsi" w:cstheme="minorHAnsi"/>
          <w:szCs w:val="24"/>
          <w:lang w:val="en-US" w:eastAsia="zh-CN"/>
        </w:rPr>
        <w:t>158</w:t>
      </w:r>
      <w:r w:rsidR="00C048A2" w:rsidRPr="00BB1307">
        <w:rPr>
          <w:rFonts w:asciiTheme="minorHAnsi" w:hAnsiTheme="minorHAnsi" w:cstheme="minorHAnsi"/>
          <w:szCs w:val="24"/>
          <w:lang w:val="en-US" w:eastAsia="zh-CN"/>
        </w:rPr>
        <w:t>号决议（</w:t>
      </w:r>
      <w:r w:rsidR="00C048A2" w:rsidRPr="00BB1307">
        <w:rPr>
          <w:rFonts w:asciiTheme="minorHAnsi" w:hAnsiTheme="minorHAnsi" w:cstheme="minorHAnsi"/>
          <w:szCs w:val="24"/>
          <w:lang w:val="en-US" w:eastAsia="zh-CN"/>
        </w:rPr>
        <w:t>2014</w:t>
      </w:r>
      <w:r w:rsidR="00C048A2" w:rsidRPr="00BB1307">
        <w:rPr>
          <w:rFonts w:asciiTheme="minorHAnsi" w:hAnsiTheme="minorHAnsi" w:cstheme="minorHAnsi"/>
          <w:szCs w:val="24"/>
          <w:lang w:val="en-US" w:eastAsia="zh-CN"/>
        </w:rPr>
        <w:t>年，釜山，修订版）</w:t>
      </w:r>
      <w:r w:rsidR="00C048A2" w:rsidRPr="00BB1307">
        <w:rPr>
          <w:rFonts w:asciiTheme="minorHAnsi" w:hAnsiTheme="minorHAnsi" w:cstheme="minorHAnsi"/>
          <w:szCs w:val="24"/>
          <w:lang w:val="en-US" w:eastAsia="zh-CN" w:bidi="ar"/>
        </w:rPr>
        <w:t>责成理事会</w:t>
      </w:r>
      <w:r w:rsidR="00BB1307">
        <w:rPr>
          <w:rFonts w:asciiTheme="minorHAnsi" w:hAnsiTheme="minorHAnsi" w:cstheme="minorHAnsi" w:hint="eastAsia"/>
          <w:szCs w:val="24"/>
          <w:lang w:val="en-US" w:eastAsia="zh-CN" w:bidi="ar"/>
        </w:rPr>
        <w:t>“</w:t>
      </w:r>
      <w:r w:rsidR="00C048A2" w:rsidRPr="00BB1307">
        <w:rPr>
          <w:rFonts w:asciiTheme="minorHAnsi" w:hAnsiTheme="minorHAnsi" w:cstheme="minorHAnsi"/>
          <w:szCs w:val="24"/>
          <w:lang w:val="en-US" w:eastAsia="zh-CN" w:bidi="ar"/>
        </w:rPr>
        <w:t>研究建立可提高国际电联财务稳定性的相关机制的可能性，并就此提出建议</w:t>
      </w:r>
      <w:r w:rsidR="00BB1307">
        <w:rPr>
          <w:rFonts w:asciiTheme="minorHAnsi" w:hAnsiTheme="minorHAnsi" w:cstheme="minorHAnsi" w:hint="eastAsia"/>
          <w:szCs w:val="24"/>
          <w:lang w:val="en-US" w:eastAsia="zh-CN" w:bidi="ar"/>
        </w:rPr>
        <w:t>”</w:t>
      </w:r>
      <w:r w:rsidR="00C048A2" w:rsidRPr="00BB1307">
        <w:rPr>
          <w:rFonts w:asciiTheme="minorHAnsi" w:hAnsiTheme="minorHAnsi" w:cstheme="minorHAnsi"/>
          <w:szCs w:val="24"/>
          <w:lang w:val="en-US" w:eastAsia="zh-CN"/>
        </w:rPr>
        <w:t>。</w:t>
      </w:r>
    </w:p>
    <w:p w14:paraId="473B6251" w14:textId="3741CF6C" w:rsidR="00B76630" w:rsidRPr="005F518C" w:rsidRDefault="00C048A2">
      <w:pPr>
        <w:snapToGrid w:val="0"/>
        <w:ind w:firstLineChars="200" w:firstLine="480"/>
        <w:jc w:val="both"/>
        <w:rPr>
          <w:lang w:val="en-US" w:eastAsia="zh-CN"/>
        </w:rPr>
      </w:pPr>
      <w:r w:rsidRPr="005F518C">
        <w:rPr>
          <w:rFonts w:hint="eastAsia"/>
          <w:lang w:val="en-US" w:eastAsia="zh-CN"/>
        </w:rPr>
        <w:t>成员国高度关注</w:t>
      </w:r>
      <w:r w:rsidR="00D56911">
        <w:rPr>
          <w:rFonts w:hint="eastAsia"/>
          <w:lang w:val="en-US" w:eastAsia="zh-CN"/>
        </w:rPr>
        <w:t>国际电联</w:t>
      </w:r>
      <w:r w:rsidRPr="005F518C">
        <w:rPr>
          <w:rFonts w:hint="eastAsia"/>
          <w:lang w:val="en-US" w:eastAsia="zh-CN"/>
        </w:rPr>
        <w:t>财务管理透明度问题，希望管理层不断提升资金使用效率。自</w:t>
      </w:r>
      <w:r w:rsidRPr="005F518C">
        <w:rPr>
          <w:rFonts w:hint="eastAsia"/>
          <w:lang w:val="en-US" w:eastAsia="zh-CN"/>
        </w:rPr>
        <w:t>2023</w:t>
      </w:r>
      <w:r w:rsidRPr="005F518C">
        <w:rPr>
          <w:rFonts w:hint="eastAsia"/>
          <w:lang w:val="en-US" w:eastAsia="zh-CN"/>
        </w:rPr>
        <w:t>年以来，理事会及其财务和人力资源工作组</w:t>
      </w:r>
      <w:r w:rsidR="00DE1A35" w:rsidRPr="00BB1307">
        <w:rPr>
          <w:rFonts w:asciiTheme="minorHAnsi" w:eastAsiaTheme="majorEastAsia" w:hAnsiTheme="minorHAnsi" w:cstheme="minorHAnsi"/>
          <w:lang w:val="en-US" w:eastAsia="zh-CN"/>
        </w:rPr>
        <w:t>（</w:t>
      </w:r>
      <w:r w:rsidR="00DE1A35" w:rsidRPr="00BB1307">
        <w:rPr>
          <w:rFonts w:asciiTheme="minorHAnsi" w:eastAsiaTheme="majorEastAsia" w:hAnsiTheme="minorHAnsi" w:cstheme="minorHAnsi"/>
          <w:lang w:val="en-US" w:eastAsia="zh-CN"/>
        </w:rPr>
        <w:t>CWG-FHR</w:t>
      </w:r>
      <w:r w:rsidR="00DE1A35" w:rsidRPr="00BB1307">
        <w:rPr>
          <w:rFonts w:asciiTheme="minorHAnsi" w:eastAsiaTheme="majorEastAsia" w:hAnsiTheme="minorHAnsi" w:cstheme="minorHAnsi"/>
          <w:lang w:val="en-US" w:eastAsia="zh-CN"/>
        </w:rPr>
        <w:t>）</w:t>
      </w:r>
      <w:r w:rsidRPr="005F518C">
        <w:rPr>
          <w:rFonts w:hint="eastAsia"/>
          <w:lang w:val="en-US" w:eastAsia="zh-CN"/>
        </w:rPr>
        <w:t>已围绕这一问题展开了广泛讨论</w:t>
      </w:r>
      <w:r w:rsidRPr="005F518C">
        <w:rPr>
          <w:rFonts w:hint="eastAsia"/>
          <w:lang w:val="en-US" w:eastAsia="zh-CN" w:bidi="ar"/>
        </w:rPr>
        <w:t>，各国普遍同意将</w:t>
      </w:r>
      <w:r w:rsidR="00D56911">
        <w:rPr>
          <w:rFonts w:hint="eastAsia"/>
          <w:lang w:val="en-US" w:eastAsia="zh-CN" w:bidi="ar"/>
        </w:rPr>
        <w:t>国际电联</w:t>
      </w:r>
      <w:r w:rsidRPr="005F518C">
        <w:rPr>
          <w:rFonts w:hint="eastAsia"/>
          <w:lang w:val="en-US" w:eastAsia="zh-CN" w:bidi="ar"/>
        </w:rPr>
        <w:t>的有限资源优先用于联盟核心任务，</w:t>
      </w:r>
      <w:r w:rsidR="00D56911">
        <w:rPr>
          <w:rFonts w:hint="eastAsia"/>
          <w:lang w:val="en-US" w:eastAsia="zh-CN"/>
        </w:rPr>
        <w:t>国际电联</w:t>
      </w:r>
      <w:r w:rsidRPr="005F518C">
        <w:rPr>
          <w:rFonts w:hint="eastAsia"/>
          <w:lang w:val="en-US" w:eastAsia="zh-CN"/>
        </w:rPr>
        <w:t>管理层也已启动财务管理转型计划，进一步强化战略、财务与业务规划之间的关联。但是，随着</w:t>
      </w:r>
      <w:r w:rsidR="00D56911">
        <w:rPr>
          <w:rFonts w:hint="eastAsia"/>
          <w:lang w:val="en-US" w:eastAsia="zh-CN"/>
        </w:rPr>
        <w:t>国际电联</w:t>
      </w:r>
      <w:r w:rsidRPr="005F518C">
        <w:rPr>
          <w:rFonts w:hint="eastAsia"/>
          <w:lang w:val="en-US" w:eastAsia="zh-CN"/>
        </w:rPr>
        <w:t>转型、内部组织架构调整及自身工作范围不断拓展，成员国需要在三个关键领域获得更明确的信息：当前</w:t>
      </w:r>
      <w:r w:rsidR="00D56911">
        <w:rPr>
          <w:rFonts w:hint="eastAsia"/>
          <w:lang w:val="en-US" w:eastAsia="zh-CN"/>
        </w:rPr>
        <w:t>国际电联</w:t>
      </w:r>
      <w:r w:rsidRPr="005F518C">
        <w:rPr>
          <w:rFonts w:hint="eastAsia"/>
          <w:lang w:val="en-US" w:eastAsia="zh-CN"/>
        </w:rPr>
        <w:t>开展诸多具有重大战略影响的活动是否与《组织法》《公约》及全权代表大会相关决议</w:t>
      </w:r>
      <w:r w:rsidRPr="005F518C">
        <w:rPr>
          <w:rFonts w:ascii="SimSun" w:hAnsi="SimSun" w:cs="SimSun" w:hint="eastAsia"/>
          <w:szCs w:val="24"/>
          <w:lang w:eastAsia="zh-CN"/>
        </w:rPr>
        <w:t>规定的</w:t>
      </w:r>
      <w:r w:rsidRPr="005F518C">
        <w:rPr>
          <w:rFonts w:ascii="SimSun" w:hAnsi="SimSun" w:cs="SimSun" w:hint="eastAsia"/>
          <w:szCs w:val="24"/>
          <w:lang w:val="en-US" w:eastAsia="zh-CN"/>
        </w:rPr>
        <w:t>核心</w:t>
      </w:r>
      <w:r w:rsidRPr="005F518C">
        <w:rPr>
          <w:rFonts w:ascii="SimSun" w:hAnsi="SimSun" w:cs="SimSun" w:hint="eastAsia"/>
          <w:szCs w:val="24"/>
          <w:lang w:eastAsia="zh-CN"/>
        </w:rPr>
        <w:t>职责范围</w:t>
      </w:r>
      <w:r w:rsidRPr="005F518C">
        <w:rPr>
          <w:rFonts w:ascii="SimSun" w:hAnsi="SimSun" w:cs="SimSun" w:hint="eastAsia"/>
          <w:szCs w:val="24"/>
          <w:lang w:val="en-US" w:eastAsia="zh-CN"/>
        </w:rPr>
        <w:t>相符；</w:t>
      </w:r>
      <w:r w:rsidR="00D56911">
        <w:rPr>
          <w:rFonts w:ascii="SimSun" w:hAnsi="SimSun" w:cs="SimSun" w:hint="eastAsia"/>
          <w:szCs w:val="24"/>
          <w:lang w:val="en-US" w:eastAsia="zh-CN"/>
        </w:rPr>
        <w:t>国际电</w:t>
      </w:r>
      <w:proofErr w:type="gramStart"/>
      <w:r w:rsidR="00D56911">
        <w:rPr>
          <w:rFonts w:ascii="SimSun" w:hAnsi="SimSun" w:cs="SimSun" w:hint="eastAsia"/>
          <w:szCs w:val="24"/>
          <w:lang w:val="en-US" w:eastAsia="zh-CN"/>
        </w:rPr>
        <w:t>联</w:t>
      </w:r>
      <w:r w:rsidRPr="005F518C">
        <w:rPr>
          <w:rFonts w:ascii="SimSun" w:hAnsi="SimSun" w:cs="SimSun" w:hint="eastAsia"/>
          <w:szCs w:val="24"/>
          <w:lang w:val="en-US" w:eastAsia="zh-CN"/>
        </w:rPr>
        <w:t>参与</w:t>
      </w:r>
      <w:proofErr w:type="gramEnd"/>
      <w:r w:rsidRPr="005F518C">
        <w:rPr>
          <w:rFonts w:ascii="SimSun" w:hAnsi="SimSun" w:cs="SimSun" w:hint="eastAsia"/>
          <w:szCs w:val="24"/>
          <w:lang w:val="en-US" w:eastAsia="zh-CN"/>
        </w:rPr>
        <w:t>的具有战略和财务影响的项目、活动及协议会对成员国及各类型成员带来哪些直接或间接影响；以及</w:t>
      </w:r>
      <w:r w:rsidR="00D56911">
        <w:rPr>
          <w:rFonts w:ascii="SimSun" w:hAnsi="SimSun" w:cs="SimSun" w:hint="eastAsia"/>
          <w:szCs w:val="24"/>
          <w:lang w:val="en-US" w:eastAsia="zh-CN"/>
        </w:rPr>
        <w:t>国际电联</w:t>
      </w:r>
      <w:r w:rsidRPr="005F518C">
        <w:rPr>
          <w:rFonts w:ascii="SimSun" w:hAnsi="SimSun" w:cs="SimSun" w:hint="eastAsia"/>
          <w:szCs w:val="24"/>
          <w:lang w:val="en-US" w:eastAsia="zh-CN"/>
        </w:rPr>
        <w:t>在当前战略、财务和运作规划下的财务状况是否具有可持续性。</w:t>
      </w:r>
    </w:p>
    <w:p w14:paraId="4C378788" w14:textId="65F20C7C" w:rsidR="00B76630" w:rsidRDefault="00C048A2" w:rsidP="00BB1307">
      <w:pPr>
        <w:pStyle w:val="Heading1"/>
        <w:rPr>
          <w:lang w:val="en-US" w:eastAsia="zh-CN"/>
        </w:rPr>
      </w:pPr>
      <w:r w:rsidRPr="005F518C">
        <w:rPr>
          <w:rFonts w:hint="eastAsia"/>
          <w:lang w:val="en-US" w:eastAsia="zh-CN"/>
        </w:rPr>
        <w:t>2</w:t>
      </w:r>
      <w:r w:rsidRPr="005F518C">
        <w:rPr>
          <w:rFonts w:hint="eastAsia"/>
          <w:lang w:val="en-US" w:eastAsia="zh-CN"/>
        </w:rPr>
        <w:tab/>
      </w:r>
      <w:r w:rsidRPr="005F518C">
        <w:rPr>
          <w:rFonts w:hint="eastAsia"/>
          <w:lang w:val="en-US" w:eastAsia="zh-CN"/>
        </w:rPr>
        <w:t>提议</w:t>
      </w:r>
    </w:p>
    <w:p w14:paraId="09573889" w14:textId="3E9AF8D6" w:rsidR="00B76630" w:rsidRDefault="00D56911">
      <w:pPr>
        <w:snapToGrid w:val="0"/>
        <w:ind w:firstLineChars="200" w:firstLine="480"/>
        <w:jc w:val="both"/>
        <w:rPr>
          <w:lang w:val="en-US" w:eastAsia="zh-CN"/>
        </w:rPr>
      </w:pPr>
      <w:r>
        <w:rPr>
          <w:rFonts w:hint="eastAsia"/>
          <w:lang w:val="en-US" w:eastAsia="zh-CN"/>
        </w:rPr>
        <w:t>国际电联</w:t>
      </w:r>
      <w:r w:rsidR="00C048A2">
        <w:rPr>
          <w:rFonts w:hint="eastAsia"/>
          <w:lang w:val="en-US" w:eastAsia="zh-CN"/>
        </w:rPr>
        <w:t>的财务管理工作不仅要聚焦近期缓解财务压力，还应该放眼未来，为提高财务管理的可持续性制定指导框架。因此，我们建议秘书长应与三大局主任密切协作，便于成员国更好监督</w:t>
      </w:r>
      <w:r>
        <w:rPr>
          <w:rFonts w:hint="eastAsia"/>
          <w:lang w:val="en-US" w:eastAsia="zh-CN"/>
        </w:rPr>
        <w:t>国际电联</w:t>
      </w:r>
      <w:r w:rsidR="00C048A2">
        <w:rPr>
          <w:rFonts w:hint="eastAsia"/>
          <w:lang w:val="en-US" w:eastAsia="zh-CN"/>
        </w:rPr>
        <w:t>财务执行情况，更好优化资源配置，确保组织运作的可持续性。</w:t>
      </w:r>
    </w:p>
    <w:p w14:paraId="7220A839" w14:textId="2A7C7897" w:rsidR="00B76630" w:rsidRDefault="00BB1307" w:rsidP="00BB1307">
      <w:pPr>
        <w:pStyle w:val="enumlev1"/>
        <w:rPr>
          <w:szCs w:val="24"/>
          <w:lang w:val="en-US" w:eastAsia="zh-CN"/>
        </w:rPr>
      </w:pPr>
      <w:r>
        <w:rPr>
          <w:rFonts w:hint="eastAsia"/>
          <w:lang w:val="en-US" w:eastAsia="zh-CN"/>
        </w:rPr>
        <w:t>(1)</w:t>
      </w:r>
      <w:r>
        <w:rPr>
          <w:lang w:val="en-US" w:eastAsia="zh-CN"/>
        </w:rPr>
        <w:tab/>
      </w:r>
      <w:r w:rsidR="00C048A2">
        <w:rPr>
          <w:rFonts w:hint="eastAsia"/>
          <w:lang w:val="en-US" w:eastAsia="zh-CN"/>
        </w:rPr>
        <w:t>提高预算与战略优先事项匹配度，</w:t>
      </w:r>
      <w:r w:rsidR="00C048A2">
        <w:rPr>
          <w:rFonts w:hint="eastAsia"/>
          <w:lang w:eastAsia="zh-CN"/>
        </w:rPr>
        <w:t>确保</w:t>
      </w:r>
      <w:r w:rsidR="00C048A2">
        <w:rPr>
          <w:rFonts w:hint="eastAsia"/>
          <w:shd w:val="clear" w:color="auto" w:fill="FFFFFF"/>
          <w:lang w:eastAsia="zh-CN"/>
        </w:rPr>
        <w:t>整个</w:t>
      </w:r>
      <w:r w:rsidR="00D56911">
        <w:rPr>
          <w:rFonts w:hint="eastAsia"/>
          <w:shd w:val="clear" w:color="auto" w:fill="FFFFFF"/>
          <w:lang w:val="en-US" w:eastAsia="zh-CN"/>
        </w:rPr>
        <w:t>国际电联</w:t>
      </w:r>
      <w:r w:rsidR="00C048A2">
        <w:rPr>
          <w:rFonts w:hint="eastAsia"/>
          <w:shd w:val="clear" w:color="auto" w:fill="FFFFFF"/>
          <w:lang w:eastAsia="zh-CN"/>
        </w:rPr>
        <w:t>的资源按工作</w:t>
      </w:r>
      <w:r w:rsidR="00C048A2">
        <w:rPr>
          <w:rFonts w:hint="eastAsia"/>
          <w:shd w:val="clear" w:color="auto" w:fill="FFFFFF"/>
          <w:lang w:val="en-US" w:eastAsia="zh-CN"/>
        </w:rPr>
        <w:t>重要性</w:t>
      </w:r>
      <w:r w:rsidR="00C048A2">
        <w:rPr>
          <w:rFonts w:hint="eastAsia"/>
          <w:shd w:val="clear" w:color="auto" w:fill="FFFFFF"/>
          <w:lang w:eastAsia="zh-CN"/>
        </w:rPr>
        <w:t>进行分配，</w:t>
      </w:r>
      <w:r w:rsidR="00C048A2">
        <w:rPr>
          <w:rFonts w:hint="eastAsia"/>
          <w:szCs w:val="24"/>
          <w:lang w:val="en-US" w:eastAsia="zh-CN"/>
        </w:rPr>
        <w:t>优先保障国际电联核心职能相关活动的资金需求</w:t>
      </w:r>
      <w:r w:rsidR="00DE1A35">
        <w:rPr>
          <w:rFonts w:hint="eastAsia"/>
          <w:szCs w:val="24"/>
          <w:lang w:val="en-US" w:eastAsia="zh-CN"/>
        </w:rPr>
        <w:t>。</w:t>
      </w:r>
    </w:p>
    <w:p w14:paraId="69E28558" w14:textId="7F1DBA83" w:rsidR="00B76630" w:rsidRDefault="00BB1307" w:rsidP="00BB1307">
      <w:pPr>
        <w:pStyle w:val="enumlev1"/>
        <w:rPr>
          <w:szCs w:val="24"/>
          <w:lang w:val="en-US" w:eastAsia="zh-CN"/>
        </w:rPr>
      </w:pPr>
      <w:r>
        <w:rPr>
          <w:rFonts w:hint="eastAsia"/>
          <w:szCs w:val="24"/>
          <w:lang w:val="en-US" w:eastAsia="zh-CN"/>
        </w:rPr>
        <w:t>(2)</w:t>
      </w:r>
      <w:r>
        <w:rPr>
          <w:szCs w:val="24"/>
          <w:lang w:val="en-US" w:eastAsia="zh-CN"/>
        </w:rPr>
        <w:tab/>
      </w:r>
      <w:r w:rsidR="00C048A2">
        <w:rPr>
          <w:rFonts w:hint="eastAsia"/>
          <w:szCs w:val="24"/>
          <w:lang w:val="en-US" w:eastAsia="zh-CN"/>
        </w:rPr>
        <w:t>进一步提高</w:t>
      </w:r>
      <w:r w:rsidR="00D56911">
        <w:rPr>
          <w:rFonts w:hint="eastAsia"/>
          <w:szCs w:val="24"/>
          <w:lang w:val="en-US" w:eastAsia="zh-CN"/>
        </w:rPr>
        <w:t>国际电联</w:t>
      </w:r>
      <w:r w:rsidR="00C048A2">
        <w:rPr>
          <w:rFonts w:hint="eastAsia"/>
          <w:szCs w:val="24"/>
          <w:lang w:val="en-US" w:eastAsia="zh-CN"/>
        </w:rPr>
        <w:t>（已有和新增的）</w:t>
      </w:r>
      <w:r w:rsidR="00C048A2">
        <w:rPr>
          <w:rFonts w:hint="eastAsia"/>
          <w:lang w:val="en-US" w:eastAsia="zh-CN"/>
        </w:rPr>
        <w:t>具有显著财务或战略影响的项目、活动及协议透明度，秘书处和三大局应自行评估有关项目、活动及协议与</w:t>
      </w:r>
      <w:r w:rsidR="00D56911">
        <w:rPr>
          <w:rFonts w:hint="eastAsia"/>
          <w:lang w:val="en-US" w:eastAsia="zh-CN"/>
        </w:rPr>
        <w:t>国际电联</w:t>
      </w:r>
      <w:r w:rsidR="00C048A2">
        <w:rPr>
          <w:rFonts w:hint="eastAsia"/>
          <w:lang w:val="en-US" w:eastAsia="zh-CN"/>
        </w:rPr>
        <w:t>核心职能和优先任务匹配度，并应作为输入文件提交理事会年度会议审议</w:t>
      </w:r>
      <w:r w:rsidR="00DE1A35">
        <w:rPr>
          <w:rFonts w:hint="eastAsia"/>
          <w:lang w:val="en-US" w:eastAsia="zh-CN"/>
        </w:rPr>
        <w:t>。</w:t>
      </w:r>
    </w:p>
    <w:p w14:paraId="32227DE0" w14:textId="00E2293D" w:rsidR="00B76630" w:rsidRDefault="00BB1307" w:rsidP="00BB1307">
      <w:pPr>
        <w:pStyle w:val="enumlev1"/>
        <w:rPr>
          <w:lang w:val="en-US" w:eastAsia="zh-CN"/>
        </w:rPr>
      </w:pPr>
      <w:r>
        <w:rPr>
          <w:rFonts w:hint="eastAsia"/>
          <w:lang w:val="en-US" w:eastAsia="zh-CN"/>
        </w:rPr>
        <w:lastRenderedPageBreak/>
        <w:t>(3)</w:t>
      </w:r>
      <w:r>
        <w:rPr>
          <w:lang w:val="en-US" w:eastAsia="zh-CN"/>
        </w:rPr>
        <w:tab/>
      </w:r>
      <w:r w:rsidR="00C048A2">
        <w:rPr>
          <w:rFonts w:hint="eastAsia"/>
          <w:lang w:val="en-US" w:eastAsia="zh-CN"/>
        </w:rPr>
        <w:t>成员国应</w:t>
      </w:r>
      <w:r w:rsidR="00C048A2">
        <w:rPr>
          <w:lang w:val="en-US" w:eastAsia="zh-CN"/>
        </w:rPr>
        <w:t>及时、准确地</w:t>
      </w:r>
      <w:r w:rsidR="00C048A2">
        <w:rPr>
          <w:rFonts w:hint="eastAsia"/>
          <w:lang w:val="en-US" w:eastAsia="zh-CN"/>
        </w:rPr>
        <w:t>获取</w:t>
      </w:r>
      <w:r w:rsidR="00C048A2">
        <w:rPr>
          <w:lang w:val="en-US" w:eastAsia="zh-CN"/>
        </w:rPr>
        <w:t>全面的财务信息与绩效报告</w:t>
      </w:r>
      <w:r w:rsidR="00C048A2">
        <w:rPr>
          <w:rFonts w:hint="eastAsia"/>
          <w:lang w:val="en-US" w:eastAsia="zh-CN"/>
        </w:rPr>
        <w:t>，任何新的</w:t>
      </w:r>
      <w:r w:rsidR="00C048A2">
        <w:rPr>
          <w:lang w:val="en-US" w:eastAsia="zh-CN"/>
        </w:rPr>
        <w:t>基金与储备金</w:t>
      </w:r>
      <w:r w:rsidR="00C048A2">
        <w:rPr>
          <w:rFonts w:hint="eastAsia"/>
          <w:lang w:val="en-US" w:eastAsia="zh-CN"/>
        </w:rPr>
        <w:t>的设立须符合《基本文件》、</w:t>
      </w:r>
      <w:r w:rsidR="00C048A2">
        <w:rPr>
          <w:lang w:val="en-US" w:eastAsia="zh-CN"/>
        </w:rPr>
        <w:t>《财务规则和财务细则》</w:t>
      </w:r>
      <w:r w:rsidR="00C048A2">
        <w:rPr>
          <w:rFonts w:hint="eastAsia"/>
          <w:lang w:val="en-US" w:eastAsia="zh-CN"/>
        </w:rPr>
        <w:t>，并应获得理事会批准。</w:t>
      </w:r>
    </w:p>
    <w:p w14:paraId="7043CC58" w14:textId="1A82569D" w:rsidR="00B76630" w:rsidRDefault="00BB1307" w:rsidP="00BB1307">
      <w:pPr>
        <w:pStyle w:val="enumlev1"/>
        <w:rPr>
          <w:lang w:eastAsia="zh-CN"/>
        </w:rPr>
      </w:pPr>
      <w:r>
        <w:rPr>
          <w:rFonts w:hint="eastAsia"/>
          <w:lang w:val="en-US" w:eastAsia="zh-CN"/>
        </w:rPr>
        <w:t>(4)</w:t>
      </w:r>
      <w:r>
        <w:rPr>
          <w:lang w:val="en-US" w:eastAsia="zh-CN"/>
        </w:rPr>
        <w:tab/>
      </w:r>
      <w:r w:rsidR="00C048A2">
        <w:rPr>
          <w:rFonts w:hint="eastAsia"/>
          <w:lang w:val="en-US" w:eastAsia="zh-CN"/>
        </w:rPr>
        <w:t>开展新的有资金资助的活动或合作项目，即使对年度财务预算不产生影响，也应考虑相关活动占用</w:t>
      </w:r>
      <w:r w:rsidR="00D56911">
        <w:rPr>
          <w:rFonts w:hint="eastAsia"/>
          <w:lang w:val="en-US" w:eastAsia="zh-CN"/>
        </w:rPr>
        <w:t>国际电联</w:t>
      </w:r>
      <w:r w:rsidR="00C048A2">
        <w:rPr>
          <w:rFonts w:hint="eastAsia"/>
          <w:lang w:val="en-US" w:eastAsia="zh-CN"/>
        </w:rPr>
        <w:t>人力资源而产生的间接财务影响。</w:t>
      </w:r>
    </w:p>
    <w:p w14:paraId="7403413B" w14:textId="77777777" w:rsidR="00B76630" w:rsidRDefault="00C048A2" w:rsidP="00DE1A35">
      <w:pPr>
        <w:spacing w:before="480"/>
        <w:jc w:val="center"/>
      </w:pPr>
      <w:r>
        <w:t>______________</w:t>
      </w:r>
    </w:p>
    <w:sectPr w:rsidR="00B76630">
      <w:footerReference w:type="default" r:id="rId29"/>
      <w:headerReference w:type="first" r:id="rId30"/>
      <w:footerReference w:type="first" r:id="rId3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BC44" w14:textId="77777777" w:rsidR="00C048A2" w:rsidRDefault="00C048A2">
      <w:pPr>
        <w:spacing w:before="0"/>
      </w:pPr>
      <w:r>
        <w:separator/>
      </w:r>
    </w:p>
  </w:endnote>
  <w:endnote w:type="continuationSeparator" w:id="0">
    <w:p w14:paraId="5CD82AB0" w14:textId="77777777" w:rsidR="00C048A2" w:rsidRDefault="00C048A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STKaiti">
    <w:charset w:val="86"/>
    <w:family w:val="auto"/>
    <w:pitch w:val="variable"/>
    <w:sig w:usb0="00000287" w:usb1="080F0000" w:usb2="00000010" w:usb3="00000000" w:csb0="0004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76630" w14:paraId="12FF17D7" w14:textId="77777777">
      <w:trPr>
        <w:jc w:val="center"/>
      </w:trPr>
      <w:tc>
        <w:tcPr>
          <w:tcW w:w="1803" w:type="dxa"/>
          <w:vAlign w:val="center"/>
        </w:tcPr>
        <w:p w14:paraId="23EAF4B4" w14:textId="5DC3AC5A" w:rsidR="00B76630" w:rsidRDefault="00C048A2">
          <w:pPr>
            <w:pStyle w:val="Header"/>
            <w:jc w:val="left"/>
            <w:rPr>
              <w:color w:val="808080" w:themeColor="background1" w:themeShade="80"/>
            </w:rPr>
          </w:pPr>
          <w:r w:rsidRPr="00C048A2">
            <w:rPr>
              <w:color w:val="808080" w:themeColor="background1" w:themeShade="80"/>
            </w:rPr>
            <w:t>R2600911</w:t>
          </w:r>
        </w:p>
      </w:tc>
      <w:tc>
        <w:tcPr>
          <w:tcW w:w="8261" w:type="dxa"/>
        </w:tcPr>
        <w:p w14:paraId="07BA5943" w14:textId="437243FE" w:rsidR="00B76630" w:rsidRDefault="00C048A2">
          <w:pPr>
            <w:pStyle w:val="Header"/>
            <w:tabs>
              <w:tab w:val="left" w:pos="6731"/>
              <w:tab w:val="right" w:pos="8505"/>
              <w:tab w:val="right" w:pos="9639"/>
            </w:tabs>
            <w:jc w:val="left"/>
            <w:rPr>
              <w:rFonts w:ascii="Arial" w:hAnsi="Arial" w:cs="Arial"/>
              <w:b/>
              <w:bCs/>
              <w:color w:val="808080" w:themeColor="background1" w:themeShade="80"/>
              <w:szCs w:val="18"/>
            </w:rPr>
          </w:pPr>
          <w:r>
            <w:rPr>
              <w:bCs/>
              <w:color w:val="808080" w:themeColor="background1" w:themeShade="80"/>
            </w:rPr>
            <w:tab/>
            <w:t>C26/</w:t>
          </w:r>
          <w:r w:rsidR="002972FF">
            <w:rPr>
              <w:bCs/>
              <w:color w:val="808080" w:themeColor="background1" w:themeShade="80"/>
            </w:rPr>
            <w:t>80</w:t>
          </w:r>
          <w:r>
            <w:rPr>
              <w:bCs/>
              <w:color w:val="808080" w:themeColor="background1" w:themeShade="80"/>
            </w:rPr>
            <w:t>-C</w:t>
          </w:r>
          <w:r>
            <w:rPr>
              <w:bCs/>
              <w:color w:val="808080" w:themeColor="background1" w:themeShade="80"/>
            </w:rPr>
            <w:tab/>
          </w:r>
          <w:r>
            <w:rPr>
              <w:color w:val="808080" w:themeColor="background1" w:themeShade="80"/>
            </w:rPr>
            <w:fldChar w:fldCharType="begin"/>
          </w:r>
          <w:r>
            <w:rPr>
              <w:color w:val="808080" w:themeColor="background1" w:themeShade="80"/>
            </w:rPr>
            <w:instrText>PAGE</w:instrText>
          </w:r>
          <w:r>
            <w:rPr>
              <w:color w:val="808080" w:themeColor="background1" w:themeShade="80"/>
            </w:rPr>
            <w:fldChar w:fldCharType="separate"/>
          </w:r>
          <w:r>
            <w:rPr>
              <w:color w:val="808080" w:themeColor="background1" w:themeShade="80"/>
            </w:rPr>
            <w:t>1</w:t>
          </w:r>
          <w:r>
            <w:rPr>
              <w:color w:val="808080" w:themeColor="background1" w:themeShade="80"/>
            </w:rPr>
            <w:fldChar w:fldCharType="end"/>
          </w:r>
        </w:p>
      </w:tc>
    </w:tr>
  </w:tbl>
  <w:p w14:paraId="5F4244EE" w14:textId="77777777" w:rsidR="00B76630" w:rsidRDefault="00B76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B76630" w14:paraId="26457966" w14:textId="77777777">
      <w:trPr>
        <w:jc w:val="center"/>
      </w:trPr>
      <w:tc>
        <w:tcPr>
          <w:tcW w:w="1803" w:type="dxa"/>
          <w:vAlign w:val="center"/>
        </w:tcPr>
        <w:p w14:paraId="13235F3A" w14:textId="64E30564" w:rsidR="00B76630" w:rsidRDefault="00DE1A35">
          <w:pPr>
            <w:pStyle w:val="Header"/>
            <w:jc w:val="left"/>
          </w:pPr>
          <w:hyperlink r:id="rId1" w:history="1">
            <w:r w:rsidRPr="00C13840">
              <w:rPr>
                <w:rStyle w:val="Hyperlink"/>
              </w:rPr>
              <w:t>council.itu.int/2026</w:t>
            </w:r>
          </w:hyperlink>
        </w:p>
      </w:tc>
      <w:tc>
        <w:tcPr>
          <w:tcW w:w="8261" w:type="dxa"/>
        </w:tcPr>
        <w:p w14:paraId="4F08F901" w14:textId="74D355D7" w:rsidR="00B76630" w:rsidRDefault="00C048A2">
          <w:pPr>
            <w:pStyle w:val="Header"/>
            <w:tabs>
              <w:tab w:val="left" w:pos="6731"/>
              <w:tab w:val="right" w:pos="8505"/>
              <w:tab w:val="right" w:pos="9639"/>
            </w:tabs>
            <w:jc w:val="left"/>
            <w:rPr>
              <w:rFonts w:ascii="Arial" w:hAnsi="Arial" w:cs="Arial"/>
              <w:b/>
              <w:bCs/>
              <w:color w:val="808080" w:themeColor="background1" w:themeShade="80"/>
              <w:szCs w:val="18"/>
            </w:rPr>
          </w:pPr>
          <w:r>
            <w:rPr>
              <w:bCs/>
              <w:color w:val="808080" w:themeColor="background1" w:themeShade="80"/>
            </w:rPr>
            <w:tab/>
            <w:t>C26/</w:t>
          </w:r>
          <w:r w:rsidR="002972FF">
            <w:rPr>
              <w:bCs/>
              <w:color w:val="808080" w:themeColor="background1" w:themeShade="80"/>
            </w:rPr>
            <w:t>80</w:t>
          </w:r>
          <w:r>
            <w:rPr>
              <w:bCs/>
              <w:color w:val="808080" w:themeColor="background1" w:themeShade="80"/>
            </w:rPr>
            <w:t>-C</w:t>
          </w:r>
          <w:r>
            <w:rPr>
              <w:bCs/>
              <w:color w:val="808080" w:themeColor="background1" w:themeShade="80"/>
            </w:rPr>
            <w:tab/>
          </w:r>
          <w:r>
            <w:rPr>
              <w:color w:val="808080" w:themeColor="background1" w:themeShade="80"/>
            </w:rPr>
            <w:fldChar w:fldCharType="begin"/>
          </w:r>
          <w:r>
            <w:rPr>
              <w:color w:val="808080" w:themeColor="background1" w:themeShade="80"/>
            </w:rPr>
            <w:instrText>PAGE</w:instrText>
          </w:r>
          <w:r>
            <w:rPr>
              <w:color w:val="808080" w:themeColor="background1" w:themeShade="80"/>
            </w:rPr>
            <w:fldChar w:fldCharType="separate"/>
          </w:r>
          <w:r>
            <w:rPr>
              <w:color w:val="808080" w:themeColor="background1" w:themeShade="80"/>
            </w:rPr>
            <w:t>1</w:t>
          </w:r>
          <w:r>
            <w:rPr>
              <w:color w:val="808080" w:themeColor="background1" w:themeShade="80"/>
            </w:rPr>
            <w:fldChar w:fldCharType="end"/>
          </w:r>
        </w:p>
      </w:tc>
    </w:tr>
  </w:tbl>
  <w:p w14:paraId="524F1652" w14:textId="77777777" w:rsidR="00B76630" w:rsidRDefault="00B76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65355" w14:textId="77777777" w:rsidR="00B76630" w:rsidRDefault="00C048A2">
      <w:pPr>
        <w:spacing w:before="0"/>
      </w:pPr>
      <w:r>
        <w:separator/>
      </w:r>
    </w:p>
  </w:footnote>
  <w:footnote w:type="continuationSeparator" w:id="0">
    <w:p w14:paraId="100318D8" w14:textId="77777777" w:rsidR="00B76630" w:rsidRDefault="00C048A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DF45" w14:textId="77777777" w:rsidR="00B76630" w:rsidRDefault="00C048A2">
    <w:pPr>
      <w:pStyle w:val="Header"/>
    </w:pPr>
    <w:r>
      <w:rPr>
        <w:noProof/>
      </w:rPr>
      <w:drawing>
        <wp:inline distT="0" distB="0" distL="0" distR="0" wp14:anchorId="64E006D0" wp14:editId="017248E9">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7D3512"/>
    <w:multiLevelType w:val="singleLevel"/>
    <w:tmpl w:val="CD7D3512"/>
    <w:lvl w:ilvl="0">
      <w:start w:val="1"/>
      <w:numFmt w:val="decimal"/>
      <w:suff w:val="nothing"/>
      <w:lvlText w:val="（%1）"/>
      <w:lvlJc w:val="left"/>
    </w:lvl>
  </w:abstractNum>
  <w:num w:numId="1" w16cid:durableId="1391804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ZjODNkYjgzYjc4NTVlMTcyNThmYWNlMTIzYTI4YmUifQ=="/>
  </w:docVars>
  <w:rsids>
    <w:rsidRoot w:val="00B818CC"/>
    <w:rsid w:val="00001B77"/>
    <w:rsid w:val="0000517A"/>
    <w:rsid w:val="0000538F"/>
    <w:rsid w:val="00031E72"/>
    <w:rsid w:val="000404D2"/>
    <w:rsid w:val="000646BD"/>
    <w:rsid w:val="000853C0"/>
    <w:rsid w:val="00093DD9"/>
    <w:rsid w:val="0009409E"/>
    <w:rsid w:val="000A1C21"/>
    <w:rsid w:val="000C0BC5"/>
    <w:rsid w:val="000D15EA"/>
    <w:rsid w:val="000D7012"/>
    <w:rsid w:val="00100D84"/>
    <w:rsid w:val="00124C9D"/>
    <w:rsid w:val="001305DE"/>
    <w:rsid w:val="00144C52"/>
    <w:rsid w:val="0015333E"/>
    <w:rsid w:val="00157773"/>
    <w:rsid w:val="0018251A"/>
    <w:rsid w:val="00190272"/>
    <w:rsid w:val="00193244"/>
    <w:rsid w:val="00195C6C"/>
    <w:rsid w:val="00195FED"/>
    <w:rsid w:val="001A4BD6"/>
    <w:rsid w:val="001B6E2B"/>
    <w:rsid w:val="001D5A18"/>
    <w:rsid w:val="00215132"/>
    <w:rsid w:val="00220C45"/>
    <w:rsid w:val="00224449"/>
    <w:rsid w:val="00253319"/>
    <w:rsid w:val="00263CF8"/>
    <w:rsid w:val="00277DEA"/>
    <w:rsid w:val="00280EB8"/>
    <w:rsid w:val="002916B4"/>
    <w:rsid w:val="002972FF"/>
    <w:rsid w:val="002A1D39"/>
    <w:rsid w:val="002A6670"/>
    <w:rsid w:val="002C3F32"/>
    <w:rsid w:val="002D57D0"/>
    <w:rsid w:val="00303502"/>
    <w:rsid w:val="00325C25"/>
    <w:rsid w:val="00372C8F"/>
    <w:rsid w:val="00380ECE"/>
    <w:rsid w:val="003872FA"/>
    <w:rsid w:val="00393DDF"/>
    <w:rsid w:val="00397F55"/>
    <w:rsid w:val="003B4454"/>
    <w:rsid w:val="003C2E37"/>
    <w:rsid w:val="003F086E"/>
    <w:rsid w:val="003F1415"/>
    <w:rsid w:val="0040144C"/>
    <w:rsid w:val="00403EB7"/>
    <w:rsid w:val="004178E6"/>
    <w:rsid w:val="004257E7"/>
    <w:rsid w:val="00430BF0"/>
    <w:rsid w:val="00465C35"/>
    <w:rsid w:val="004672E6"/>
    <w:rsid w:val="00474ED1"/>
    <w:rsid w:val="00477D57"/>
    <w:rsid w:val="00491BA9"/>
    <w:rsid w:val="00493085"/>
    <w:rsid w:val="004A36EC"/>
    <w:rsid w:val="004D163F"/>
    <w:rsid w:val="004E4BED"/>
    <w:rsid w:val="004E4BFF"/>
    <w:rsid w:val="004F2598"/>
    <w:rsid w:val="005125A0"/>
    <w:rsid w:val="005403F7"/>
    <w:rsid w:val="00540632"/>
    <w:rsid w:val="00541CF4"/>
    <w:rsid w:val="005451E8"/>
    <w:rsid w:val="005507F2"/>
    <w:rsid w:val="00555C29"/>
    <w:rsid w:val="005759CC"/>
    <w:rsid w:val="00576C08"/>
    <w:rsid w:val="005A72E1"/>
    <w:rsid w:val="005C2CA5"/>
    <w:rsid w:val="005C6632"/>
    <w:rsid w:val="005D1C9E"/>
    <w:rsid w:val="005F518C"/>
    <w:rsid w:val="00602842"/>
    <w:rsid w:val="00630DD5"/>
    <w:rsid w:val="00637584"/>
    <w:rsid w:val="00654257"/>
    <w:rsid w:val="0065435A"/>
    <w:rsid w:val="00670D8A"/>
    <w:rsid w:val="006A2DD3"/>
    <w:rsid w:val="006A5113"/>
    <w:rsid w:val="006A5AF8"/>
    <w:rsid w:val="006C36CD"/>
    <w:rsid w:val="00700D1F"/>
    <w:rsid w:val="007205CB"/>
    <w:rsid w:val="0072138B"/>
    <w:rsid w:val="00726073"/>
    <w:rsid w:val="00734FE8"/>
    <w:rsid w:val="007360CE"/>
    <w:rsid w:val="0073788A"/>
    <w:rsid w:val="0077110E"/>
    <w:rsid w:val="00772315"/>
    <w:rsid w:val="00775157"/>
    <w:rsid w:val="007813AE"/>
    <w:rsid w:val="007A37DB"/>
    <w:rsid w:val="007E189D"/>
    <w:rsid w:val="007E37B6"/>
    <w:rsid w:val="007F0210"/>
    <w:rsid w:val="00806E3F"/>
    <w:rsid w:val="00811259"/>
    <w:rsid w:val="00813AA2"/>
    <w:rsid w:val="008173A3"/>
    <w:rsid w:val="008418F5"/>
    <w:rsid w:val="0084546D"/>
    <w:rsid w:val="0086059C"/>
    <w:rsid w:val="00864589"/>
    <w:rsid w:val="00874C82"/>
    <w:rsid w:val="00890AFB"/>
    <w:rsid w:val="00890FC4"/>
    <w:rsid w:val="00895905"/>
    <w:rsid w:val="008F64AD"/>
    <w:rsid w:val="00911230"/>
    <w:rsid w:val="00911867"/>
    <w:rsid w:val="009164A9"/>
    <w:rsid w:val="009258CB"/>
    <w:rsid w:val="0093362E"/>
    <w:rsid w:val="00944563"/>
    <w:rsid w:val="00953160"/>
    <w:rsid w:val="009625D8"/>
    <w:rsid w:val="00983878"/>
    <w:rsid w:val="0098459B"/>
    <w:rsid w:val="00997185"/>
    <w:rsid w:val="009A76A8"/>
    <w:rsid w:val="009C2458"/>
    <w:rsid w:val="009C4A7B"/>
    <w:rsid w:val="009C6123"/>
    <w:rsid w:val="009F1E3E"/>
    <w:rsid w:val="00A109AF"/>
    <w:rsid w:val="00A1213C"/>
    <w:rsid w:val="00A13406"/>
    <w:rsid w:val="00A272FF"/>
    <w:rsid w:val="00A5354B"/>
    <w:rsid w:val="00A71B57"/>
    <w:rsid w:val="00AB42C1"/>
    <w:rsid w:val="00AC516F"/>
    <w:rsid w:val="00AE195F"/>
    <w:rsid w:val="00AE2926"/>
    <w:rsid w:val="00B0184B"/>
    <w:rsid w:val="00B035CD"/>
    <w:rsid w:val="00B0769D"/>
    <w:rsid w:val="00B217F8"/>
    <w:rsid w:val="00B332EA"/>
    <w:rsid w:val="00B40A53"/>
    <w:rsid w:val="00B45365"/>
    <w:rsid w:val="00B46A65"/>
    <w:rsid w:val="00B52C33"/>
    <w:rsid w:val="00B60184"/>
    <w:rsid w:val="00B62D20"/>
    <w:rsid w:val="00B76630"/>
    <w:rsid w:val="00B818CC"/>
    <w:rsid w:val="00B81E75"/>
    <w:rsid w:val="00B91673"/>
    <w:rsid w:val="00B93453"/>
    <w:rsid w:val="00B9445B"/>
    <w:rsid w:val="00BB1307"/>
    <w:rsid w:val="00BD0954"/>
    <w:rsid w:val="00BD1A5A"/>
    <w:rsid w:val="00BD7A9B"/>
    <w:rsid w:val="00BD7BE1"/>
    <w:rsid w:val="00BF416B"/>
    <w:rsid w:val="00C03B4B"/>
    <w:rsid w:val="00C048A2"/>
    <w:rsid w:val="00C45EB2"/>
    <w:rsid w:val="00C63BAC"/>
    <w:rsid w:val="00C64E4E"/>
    <w:rsid w:val="00C66E64"/>
    <w:rsid w:val="00C761A0"/>
    <w:rsid w:val="00C85F7E"/>
    <w:rsid w:val="00C90D53"/>
    <w:rsid w:val="00CA0B2E"/>
    <w:rsid w:val="00CA260A"/>
    <w:rsid w:val="00CA6EF7"/>
    <w:rsid w:val="00CD47F0"/>
    <w:rsid w:val="00CD5566"/>
    <w:rsid w:val="00CD64D7"/>
    <w:rsid w:val="00CE6F22"/>
    <w:rsid w:val="00CF41F6"/>
    <w:rsid w:val="00CF7D3E"/>
    <w:rsid w:val="00D02B4E"/>
    <w:rsid w:val="00D21F11"/>
    <w:rsid w:val="00D36817"/>
    <w:rsid w:val="00D453EE"/>
    <w:rsid w:val="00D5666C"/>
    <w:rsid w:val="00D56911"/>
    <w:rsid w:val="00D666BC"/>
    <w:rsid w:val="00D83542"/>
    <w:rsid w:val="00D87C3A"/>
    <w:rsid w:val="00D92F45"/>
    <w:rsid w:val="00D94637"/>
    <w:rsid w:val="00D9725C"/>
    <w:rsid w:val="00DA0E66"/>
    <w:rsid w:val="00DA7006"/>
    <w:rsid w:val="00DB3621"/>
    <w:rsid w:val="00DC6427"/>
    <w:rsid w:val="00DD62F5"/>
    <w:rsid w:val="00DD66A1"/>
    <w:rsid w:val="00DE196D"/>
    <w:rsid w:val="00DE1A35"/>
    <w:rsid w:val="00DF6B49"/>
    <w:rsid w:val="00E067C5"/>
    <w:rsid w:val="00E24D59"/>
    <w:rsid w:val="00E265BF"/>
    <w:rsid w:val="00E323D0"/>
    <w:rsid w:val="00E34C96"/>
    <w:rsid w:val="00E378D8"/>
    <w:rsid w:val="00E43A12"/>
    <w:rsid w:val="00E67C67"/>
    <w:rsid w:val="00E77476"/>
    <w:rsid w:val="00E8228B"/>
    <w:rsid w:val="00EE5706"/>
    <w:rsid w:val="00EF373D"/>
    <w:rsid w:val="00F11595"/>
    <w:rsid w:val="00F13BC9"/>
    <w:rsid w:val="00F32AE6"/>
    <w:rsid w:val="00F357B2"/>
    <w:rsid w:val="00F36556"/>
    <w:rsid w:val="00F438D8"/>
    <w:rsid w:val="00F6736A"/>
    <w:rsid w:val="00F705DF"/>
    <w:rsid w:val="00F70622"/>
    <w:rsid w:val="00F85624"/>
    <w:rsid w:val="00F87C05"/>
    <w:rsid w:val="00F93191"/>
    <w:rsid w:val="00F93A17"/>
    <w:rsid w:val="00FA2AF6"/>
    <w:rsid w:val="00FB073D"/>
    <w:rsid w:val="00FB771F"/>
    <w:rsid w:val="00FC4B44"/>
    <w:rsid w:val="00FC5386"/>
    <w:rsid w:val="01544D90"/>
    <w:rsid w:val="02522377"/>
    <w:rsid w:val="1505607E"/>
    <w:rsid w:val="175C045F"/>
    <w:rsid w:val="1C6C7112"/>
    <w:rsid w:val="27577172"/>
    <w:rsid w:val="2F3008E2"/>
    <w:rsid w:val="30A35EA5"/>
    <w:rsid w:val="361E10D9"/>
    <w:rsid w:val="365233B0"/>
    <w:rsid w:val="36C079B5"/>
    <w:rsid w:val="52EE0354"/>
    <w:rsid w:val="53CD7EEA"/>
    <w:rsid w:val="59235FFE"/>
    <w:rsid w:val="600C4413"/>
    <w:rsid w:val="72F208F9"/>
    <w:rsid w:val="731005C4"/>
    <w:rsid w:val="731073A0"/>
    <w:rsid w:val="77A74F68"/>
    <w:rsid w:val="7BFC72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BAA5E"/>
  <w15:docId w15:val="{24A1FE61-D99B-47C8-8593-3D17239A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unhideWhenUsed="1"/>
    <w:lsdException w:name="header" w:uiPriority="99" w:qFormat="1"/>
    <w:lsdException w:name="footer" w:qFormat="1"/>
    <w:lsdException w:name="index heading" w:semiHidden="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lsdException w:name="line number" w:qFormat="1"/>
    <w:lsdException w:name="page number" w:qFormat="1"/>
    <w:lsdException w:name="endnote reference" w:semiHidden="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link w:val="Heading1Char"/>
    <w:qFormat/>
    <w:pPr>
      <w:keepNext/>
      <w:keepLines/>
      <w:spacing w:before="480"/>
      <w:ind w:left="794" w:hanging="794"/>
      <w:outlineLvl w:val="0"/>
    </w:pPr>
    <w:rPr>
      <w:b/>
      <w:sz w:val="28"/>
    </w:rPr>
  </w:style>
  <w:style w:type="paragraph" w:styleId="Heading2">
    <w:name w:val="heading 2"/>
    <w:basedOn w:val="Heading1"/>
    <w:next w:val="Normal"/>
    <w:link w:val="Heading2Char"/>
    <w:qFormat/>
    <w:pPr>
      <w:spacing w:before="320"/>
      <w:outlineLvl w:val="1"/>
    </w:pPr>
    <w:rPr>
      <w:sz w:val="24"/>
    </w:rPr>
  </w:style>
  <w:style w:type="paragraph" w:styleId="Heading3">
    <w:name w:val="heading 3"/>
    <w:basedOn w:val="Heading1"/>
    <w:next w:val="Normal"/>
    <w:qFormat/>
    <w:pPr>
      <w:spacing w:before="200"/>
      <w:ind w:left="0" w:firstLine="0"/>
      <w:outlineLvl w:val="2"/>
    </w:pPr>
    <w:rPr>
      <w:i/>
      <w:sz w:val="24"/>
    </w:rPr>
  </w:style>
  <w:style w:type="paragraph" w:styleId="Heading4">
    <w:name w:val="heading 4"/>
    <w:basedOn w:val="Heading3"/>
    <w:next w:val="Normal"/>
    <w:qFormat/>
    <w:pPr>
      <w:tabs>
        <w:tab w:val="clear" w:pos="794"/>
        <w:tab w:val="clear" w:pos="1191"/>
        <w:tab w:val="clear" w:pos="1588"/>
        <w:tab w:val="clear" w:pos="1985"/>
      </w:tabs>
      <w:outlineLvl w:val="3"/>
    </w:pPr>
    <w:rPr>
      <w:b w:val="0"/>
    </w:r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4"/>
    <w:semiHidden/>
    <w:qFormat/>
  </w:style>
  <w:style w:type="paragraph" w:styleId="TOC4">
    <w:name w:val="toc 4"/>
    <w:basedOn w:val="TOC3"/>
    <w:semiHidden/>
    <w:qFormat/>
    <w:pPr>
      <w:spacing w:before="80"/>
    </w:pPr>
  </w:style>
  <w:style w:type="paragraph" w:styleId="TOC3">
    <w:name w:val="toc 3"/>
    <w:basedOn w:val="TOC2"/>
    <w:semiHidden/>
    <w:qFormat/>
  </w:style>
  <w:style w:type="paragraph" w:styleId="TOC2">
    <w:name w:val="toc 2"/>
    <w:basedOn w:val="TOC1"/>
    <w:semiHidden/>
    <w:qFormat/>
    <w:pPr>
      <w:spacing w:before="160"/>
    </w:pPr>
  </w:style>
  <w:style w:type="paragraph" w:styleId="TOC1">
    <w:name w:val="toc 1"/>
    <w:basedOn w:val="Normal"/>
    <w:semiHidden/>
    <w:qFormat/>
    <w:pPr>
      <w:keepLines/>
      <w:tabs>
        <w:tab w:val="clear" w:pos="794"/>
        <w:tab w:val="clear" w:pos="1191"/>
        <w:tab w:val="clear" w:pos="1588"/>
        <w:tab w:val="clear" w:pos="1985"/>
        <w:tab w:val="left" w:leader="dot" w:pos="7938"/>
        <w:tab w:val="center" w:pos="8789"/>
      </w:tabs>
      <w:spacing w:before="240"/>
      <w:ind w:left="567" w:hanging="567"/>
    </w:pPr>
  </w:style>
  <w:style w:type="paragraph" w:styleId="NormalIndent">
    <w:name w:val="Normal Indent"/>
    <w:basedOn w:val="Normal"/>
    <w:qFormat/>
    <w:pPr>
      <w:ind w:left="794"/>
    </w:pPr>
  </w:style>
  <w:style w:type="paragraph" w:styleId="Index5">
    <w:name w:val="index 5"/>
    <w:basedOn w:val="Normal"/>
    <w:next w:val="Normal"/>
    <w:semiHidden/>
    <w:qFormat/>
    <w:pPr>
      <w:ind w:left="1132"/>
    </w:pPr>
  </w:style>
  <w:style w:type="paragraph" w:styleId="Index6">
    <w:name w:val="index 6"/>
    <w:basedOn w:val="Normal"/>
    <w:next w:val="Normal"/>
    <w:semiHidden/>
    <w:qFormat/>
    <w:pPr>
      <w:ind w:left="1415"/>
    </w:pPr>
  </w:style>
  <w:style w:type="paragraph" w:styleId="Index4">
    <w:name w:val="index 4"/>
    <w:basedOn w:val="Normal"/>
    <w:next w:val="Normal"/>
    <w:semiHidden/>
    <w:qFormat/>
    <w:pPr>
      <w:ind w:left="849"/>
    </w:pPr>
  </w:style>
  <w:style w:type="paragraph" w:styleId="TOC5">
    <w:name w:val="toc 5"/>
    <w:basedOn w:val="TOC4"/>
    <w:semiHidden/>
    <w:qFormat/>
  </w:style>
  <w:style w:type="paragraph" w:styleId="TOC8">
    <w:name w:val="toc 8"/>
    <w:basedOn w:val="TOC4"/>
    <w:semiHidden/>
    <w:qFormat/>
  </w:style>
  <w:style w:type="paragraph" w:styleId="Index3">
    <w:name w:val="index 3"/>
    <w:basedOn w:val="Normal"/>
    <w:next w:val="Normal"/>
    <w:semiHidden/>
    <w:qFormat/>
    <w:pPr>
      <w:ind w:left="566"/>
    </w:pPr>
  </w:style>
  <w:style w:type="paragraph" w:styleId="Footer">
    <w:name w:val="footer"/>
    <w:basedOn w:val="Normal"/>
    <w:link w:val="FooterChar"/>
    <w:qFormat/>
    <w:pPr>
      <w:tabs>
        <w:tab w:val="clear" w:pos="794"/>
        <w:tab w:val="clear" w:pos="1191"/>
        <w:tab w:val="clear" w:pos="1588"/>
        <w:tab w:val="clear" w:pos="1985"/>
        <w:tab w:val="left" w:pos="5954"/>
        <w:tab w:val="right" w:pos="9639"/>
      </w:tabs>
      <w:spacing w:before="0"/>
    </w:pPr>
    <w:rPr>
      <w:caps/>
      <w:sz w:val="16"/>
      <w:lang w:val="fr-FR"/>
    </w:rPr>
  </w:style>
  <w:style w:type="paragraph" w:styleId="Header">
    <w:name w:val="header"/>
    <w:basedOn w:val="Normal"/>
    <w:link w:val="HeaderChar"/>
    <w:uiPriority w:val="99"/>
    <w:qFormat/>
    <w:pPr>
      <w:tabs>
        <w:tab w:val="clear" w:pos="794"/>
        <w:tab w:val="clear" w:pos="1191"/>
        <w:tab w:val="clear" w:pos="1588"/>
        <w:tab w:val="clear" w:pos="1985"/>
      </w:tabs>
      <w:spacing w:before="0"/>
      <w:jc w:val="center"/>
    </w:pPr>
    <w:rPr>
      <w:sz w:val="18"/>
      <w:lang w:val="fr-FR"/>
    </w:rPr>
  </w:style>
  <w:style w:type="paragraph" w:styleId="IndexHeading">
    <w:name w:val="index heading"/>
    <w:basedOn w:val="Normal"/>
    <w:next w:val="Index1"/>
    <w:semiHidden/>
    <w:qFormat/>
  </w:style>
  <w:style w:type="paragraph" w:styleId="Index1">
    <w:name w:val="index 1"/>
    <w:basedOn w:val="Normal"/>
    <w:next w:val="Normal"/>
    <w:semiHidden/>
    <w:qFormat/>
  </w:style>
  <w:style w:type="paragraph" w:styleId="List">
    <w:name w:val="List"/>
    <w:basedOn w:val="Normal"/>
    <w:qFormat/>
    <w:pPr>
      <w:tabs>
        <w:tab w:val="clear" w:pos="794"/>
        <w:tab w:val="clear" w:pos="1191"/>
        <w:tab w:val="clear" w:pos="1588"/>
        <w:tab w:val="clear" w:pos="1985"/>
        <w:tab w:val="left" w:pos="1701"/>
        <w:tab w:val="left" w:pos="2127"/>
      </w:tabs>
      <w:ind w:left="2127" w:hanging="2127"/>
    </w:pPr>
  </w:style>
  <w:style w:type="paragraph" w:styleId="FootnoteText">
    <w:name w:val="footnote text"/>
    <w:basedOn w:val="Normal"/>
    <w:link w:val="FootnoteTextChar"/>
    <w:semiHidden/>
    <w:qFormat/>
    <w:pPr>
      <w:keepLines/>
      <w:tabs>
        <w:tab w:val="left" w:pos="255"/>
      </w:tabs>
      <w:ind w:left="255" w:hanging="255"/>
    </w:pPr>
  </w:style>
  <w:style w:type="paragraph" w:styleId="TOC6">
    <w:name w:val="toc 6"/>
    <w:basedOn w:val="TOC4"/>
    <w:semiHidden/>
    <w:qFormat/>
  </w:style>
  <w:style w:type="paragraph" w:styleId="BodyTextIndent3">
    <w:name w:val="Body Text Indent 3"/>
    <w:basedOn w:val="Normal"/>
    <w:link w:val="BodyTextIndent3Char"/>
    <w:qFormat/>
    <w:pPr>
      <w:spacing w:before="0"/>
      <w:ind w:firstLine="601"/>
      <w:textAlignment w:val="auto"/>
    </w:pPr>
    <w:rPr>
      <w:sz w:val="22"/>
      <w:lang w:val="fr-FR" w:eastAsia="zh-CN"/>
    </w:rPr>
  </w:style>
  <w:style w:type="paragraph" w:styleId="Index7">
    <w:name w:val="index 7"/>
    <w:basedOn w:val="Normal"/>
    <w:next w:val="Normal"/>
    <w:semiHidden/>
    <w:qFormat/>
    <w:pPr>
      <w:ind w:left="1698"/>
    </w:pPr>
  </w:style>
  <w:style w:type="paragraph" w:styleId="TOC9">
    <w:name w:val="toc 9"/>
    <w:basedOn w:val="TOC4"/>
    <w:semiHidden/>
    <w:qFormat/>
  </w:style>
  <w:style w:type="paragraph" w:styleId="Index2">
    <w:name w:val="index 2"/>
    <w:basedOn w:val="Normal"/>
    <w:next w:val="Normal"/>
    <w:semiHidden/>
    <w:qFormat/>
    <w:pPr>
      <w:ind w:left="283"/>
    </w:pPr>
  </w:style>
  <w:style w:type="table" w:styleId="TableGrid">
    <w:name w:val="Table Grid"/>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rFonts w:ascii="Calibri" w:hAnsi="Calibri"/>
      <w:color w:val="800080"/>
      <w:u w:val="single"/>
    </w:rPr>
  </w:style>
  <w:style w:type="character" w:styleId="LineNumber">
    <w:name w:val="line number"/>
    <w:basedOn w:val="DefaultParagraphFont"/>
    <w:qFormat/>
  </w:style>
  <w:style w:type="character" w:styleId="Hyperlink">
    <w:name w:val="Hyperlink"/>
    <w:basedOn w:val="DefaultParagraphFont"/>
    <w:qFormat/>
    <w:rPr>
      <w:rFonts w:eastAsia="Times New Roman"/>
      <w:color w:val="4F81BD" w:themeColor="accent1"/>
    </w:rPr>
  </w:style>
  <w:style w:type="character" w:styleId="FootnoteReference">
    <w:name w:val="footnote reference"/>
    <w:basedOn w:val="DefaultParagraphFont"/>
    <w:semiHidden/>
    <w:qFormat/>
    <w:rPr>
      <w:position w:val="6"/>
      <w:sz w:val="18"/>
    </w:rPr>
  </w:style>
  <w:style w:type="paragraph" w:customStyle="1" w:styleId="enumlev1">
    <w:name w:val="enumlev1"/>
    <w:basedOn w:val="Normal"/>
    <w:qFormat/>
    <w:pPr>
      <w:tabs>
        <w:tab w:val="left" w:pos="2608"/>
        <w:tab w:val="left" w:pos="3345"/>
      </w:tabs>
      <w:spacing w:before="80"/>
      <w:ind w:left="794" w:hanging="794"/>
    </w:pPr>
  </w:style>
  <w:style w:type="paragraph" w:customStyle="1" w:styleId="enumlev2">
    <w:name w:val="enumlev2"/>
    <w:basedOn w:val="enumlev1"/>
    <w:qFormat/>
    <w:pPr>
      <w:ind w:left="1191" w:hanging="397"/>
    </w:pPr>
  </w:style>
  <w:style w:type="paragraph" w:customStyle="1" w:styleId="enumlev3">
    <w:name w:val="enumlev3"/>
    <w:basedOn w:val="enumlev2"/>
    <w:qFormat/>
    <w:pPr>
      <w:ind w:left="1588"/>
    </w:pPr>
  </w:style>
  <w:style w:type="paragraph" w:customStyle="1" w:styleId="Normalaftertitle">
    <w:name w:val="Normal after title"/>
    <w:basedOn w:val="Normal"/>
    <w:next w:val="Normal"/>
    <w:link w:val="NormalaftertitleChar"/>
    <w:qFormat/>
    <w:pPr>
      <w:spacing w:before="320"/>
    </w:pPr>
  </w:style>
  <w:style w:type="paragraph" w:customStyle="1" w:styleId="Equation">
    <w:name w:val="Equation"/>
    <w:basedOn w:val="Normal"/>
    <w:qFormat/>
    <w:pPr>
      <w:tabs>
        <w:tab w:val="clear" w:pos="1191"/>
        <w:tab w:val="clear" w:pos="1588"/>
        <w:tab w:val="clear" w:pos="1985"/>
        <w:tab w:val="center" w:pos="4820"/>
        <w:tab w:val="right" w:pos="9639"/>
      </w:tabs>
    </w:pPr>
  </w:style>
  <w:style w:type="paragraph" w:customStyle="1" w:styleId="Head">
    <w:name w:val="Head"/>
    <w:basedOn w:val="Normal"/>
    <w:qFormat/>
    <w:pPr>
      <w:tabs>
        <w:tab w:val="left" w:pos="6663"/>
      </w:tabs>
      <w:overflowPunct/>
      <w:autoSpaceDE/>
      <w:autoSpaceDN/>
      <w:adjustRightInd/>
      <w:spacing w:before="0"/>
      <w:textAlignment w:val="auto"/>
    </w:pPr>
  </w:style>
  <w:style w:type="paragraph" w:customStyle="1" w:styleId="toc0">
    <w:name w:val="toc 0"/>
    <w:basedOn w:val="Normal"/>
    <w:next w:val="TOC1"/>
    <w:qFormat/>
    <w:pPr>
      <w:tabs>
        <w:tab w:val="clear" w:pos="1191"/>
        <w:tab w:val="clear" w:pos="1588"/>
        <w:tab w:val="clear" w:pos="1985"/>
        <w:tab w:val="center" w:pos="8789"/>
      </w:tabs>
    </w:pPr>
    <w:rPr>
      <w:b/>
    </w:rPr>
  </w:style>
  <w:style w:type="paragraph" w:customStyle="1" w:styleId="Part">
    <w:name w:val="Part"/>
    <w:basedOn w:val="Normal"/>
    <w:qFormat/>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qFormat/>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qFormat/>
    <w:pPr>
      <w:spacing w:before="480"/>
      <w:jc w:val="center"/>
    </w:pPr>
    <w:rPr>
      <w:b/>
      <w:sz w:val="28"/>
    </w:rPr>
  </w:style>
  <w:style w:type="paragraph" w:customStyle="1" w:styleId="meeting">
    <w:name w:val="meeting"/>
    <w:basedOn w:val="Head"/>
    <w:next w:val="Head"/>
    <w:qFormat/>
    <w:pPr>
      <w:tabs>
        <w:tab w:val="left" w:pos="7371"/>
      </w:tabs>
      <w:spacing w:after="567"/>
    </w:pPr>
  </w:style>
  <w:style w:type="paragraph" w:customStyle="1" w:styleId="Subject">
    <w:name w:val="Subject"/>
    <w:basedOn w:val="Normal"/>
    <w:next w:val="Source"/>
    <w:qFormat/>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qFormat/>
  </w:style>
  <w:style w:type="paragraph" w:customStyle="1" w:styleId="Data">
    <w:name w:val="Data"/>
    <w:basedOn w:val="Subject"/>
    <w:next w:val="Subject"/>
    <w:qFormat/>
  </w:style>
  <w:style w:type="paragraph" w:customStyle="1" w:styleId="Reasons">
    <w:name w:val="Reasons"/>
    <w:basedOn w:val="Normal"/>
    <w:qFormat/>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FirstFooter">
    <w:name w:val="FirstFooter"/>
    <w:basedOn w:val="Footer"/>
    <w:qFormat/>
    <w:pPr>
      <w:tabs>
        <w:tab w:val="clear" w:pos="5954"/>
        <w:tab w:val="clear" w:pos="9639"/>
      </w:tabs>
      <w:overflowPunct/>
      <w:autoSpaceDE/>
      <w:autoSpaceDN/>
      <w:adjustRightInd/>
      <w:spacing w:before="40"/>
      <w:textAlignment w:val="auto"/>
    </w:pPr>
    <w:rPr>
      <w:caps w:val="0"/>
    </w:rPr>
  </w:style>
  <w:style w:type="paragraph" w:customStyle="1" w:styleId="Note">
    <w:name w:val="Note"/>
    <w:basedOn w:val="Normal"/>
    <w:qFormat/>
    <w:pPr>
      <w:tabs>
        <w:tab w:val="clear" w:pos="794"/>
        <w:tab w:val="clear" w:pos="1191"/>
        <w:tab w:val="clear" w:pos="1588"/>
        <w:tab w:val="clear" w:pos="1985"/>
      </w:tabs>
      <w:spacing w:before="80"/>
    </w:pPr>
  </w:style>
  <w:style w:type="paragraph" w:customStyle="1" w:styleId="Headingb">
    <w:name w:val="Heading_b"/>
    <w:basedOn w:val="Heading3"/>
    <w:next w:val="Normal"/>
    <w:qFormat/>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paragraph" w:customStyle="1" w:styleId="Title1">
    <w:name w:val="Title 1"/>
    <w:basedOn w:val="Source"/>
    <w:next w:val="Title2"/>
    <w:qFormat/>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qFormat/>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qFormat/>
    <w:pPr>
      <w:spacing w:before="240"/>
    </w:pPr>
    <w:rPr>
      <w:caps w:val="0"/>
    </w:rPr>
  </w:style>
  <w:style w:type="paragraph" w:customStyle="1" w:styleId="Title4">
    <w:name w:val="Title 4"/>
    <w:basedOn w:val="Title3"/>
    <w:next w:val="Heading1"/>
    <w:qFormat/>
    <w:rPr>
      <w:b/>
    </w:rPr>
  </w:style>
  <w:style w:type="paragraph" w:customStyle="1" w:styleId="dnum">
    <w:name w:val="dnum"/>
    <w:basedOn w:val="Normal"/>
    <w:qFormat/>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qFormat/>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qFormat/>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qFormat/>
    <w:pPr>
      <w:keepNext/>
      <w:keepLines/>
      <w:spacing w:before="480" w:after="80"/>
      <w:jc w:val="center"/>
    </w:pPr>
    <w:rPr>
      <w:caps/>
      <w:sz w:val="28"/>
    </w:rPr>
  </w:style>
  <w:style w:type="paragraph" w:customStyle="1" w:styleId="Annextitle">
    <w:name w:val="Annex_title"/>
    <w:basedOn w:val="Normal"/>
    <w:next w:val="Annexref"/>
    <w:link w:val="AnnextitleChar"/>
    <w:qFormat/>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qFormat/>
    <w:pPr>
      <w:keepNext/>
      <w:keepLines/>
      <w:spacing w:after="280"/>
      <w:jc w:val="center"/>
    </w:pPr>
  </w:style>
  <w:style w:type="paragraph" w:customStyle="1" w:styleId="AppendixNo">
    <w:name w:val="Appendix_No"/>
    <w:basedOn w:val="AnnexNo"/>
    <w:next w:val="Appendixtitle"/>
    <w:qFormat/>
  </w:style>
  <w:style w:type="paragraph" w:customStyle="1" w:styleId="Appendixtitle">
    <w:name w:val="Appendix_title"/>
    <w:basedOn w:val="Annextitle"/>
    <w:next w:val="Appendixref"/>
    <w:qFormat/>
  </w:style>
  <w:style w:type="paragraph" w:customStyle="1" w:styleId="Appendixref">
    <w:name w:val="Appendix_ref"/>
    <w:basedOn w:val="Annexref"/>
    <w:next w:val="Normalaftertitle"/>
    <w:qFormat/>
  </w:style>
  <w:style w:type="paragraph" w:customStyle="1" w:styleId="Call">
    <w:name w:val="Call"/>
    <w:basedOn w:val="Normal"/>
    <w:next w:val="Normal"/>
    <w:link w:val="CallChar"/>
    <w:qFormat/>
    <w:pPr>
      <w:keepNext/>
      <w:keepLines/>
      <w:spacing w:before="160"/>
      <w:ind w:left="794"/>
    </w:pPr>
    <w:rPr>
      <w:rFonts w:ascii="STKaiti" w:hAnsi="STKaiti"/>
    </w:rPr>
  </w:style>
  <w:style w:type="paragraph" w:customStyle="1" w:styleId="Equationlegend">
    <w:name w:val="Equation_legend"/>
    <w:basedOn w:val="Normal"/>
    <w:qFormat/>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qFormat/>
    <w:pPr>
      <w:keepNext/>
      <w:keepLines/>
      <w:spacing w:after="120"/>
      <w:jc w:val="center"/>
    </w:pPr>
  </w:style>
  <w:style w:type="paragraph" w:customStyle="1" w:styleId="Figuretitle">
    <w:name w:val="Figure_title"/>
    <w:basedOn w:val="Tabletitle"/>
    <w:next w:val="Normalaftertitle"/>
    <w:qFormat/>
    <w:pPr>
      <w:spacing w:before="240" w:after="480"/>
    </w:pPr>
    <w:rPr>
      <w:rFonts w:ascii="Calibri" w:hAnsi="Calibri"/>
    </w:rPr>
  </w:style>
  <w:style w:type="paragraph" w:customStyle="1" w:styleId="Tabletitle">
    <w:name w:val="Table_title"/>
    <w:basedOn w:val="TableNo"/>
    <w:next w:val="Tabletext"/>
    <w:qFormat/>
    <w:pPr>
      <w:spacing w:before="0"/>
    </w:pPr>
    <w:rPr>
      <w:rFonts w:ascii="Times New Roman Bold" w:hAnsi="Times New Roman Bold"/>
      <w:b/>
      <w:caps w:val="0"/>
    </w:rPr>
  </w:style>
  <w:style w:type="paragraph" w:customStyle="1" w:styleId="TableNo">
    <w:name w:val="Table_No"/>
    <w:basedOn w:val="Normal"/>
    <w:next w:val="Tabletitle"/>
    <w:qFormat/>
    <w:pPr>
      <w:keepNext/>
      <w:spacing w:before="360" w:after="120"/>
      <w:jc w:val="center"/>
    </w:pPr>
    <w:rPr>
      <w:caps/>
    </w:rPr>
  </w:style>
  <w:style w:type="paragraph" w:customStyle="1" w:styleId="Tabletext">
    <w:name w:val="Table_text"/>
    <w:basedOn w:val="Normal"/>
    <w:qFormat/>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qFormat/>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qFormat/>
    <w:pPr>
      <w:keepNext/>
      <w:keepLines/>
      <w:spacing w:before="240" w:after="120"/>
      <w:jc w:val="center"/>
    </w:pPr>
    <w:rPr>
      <w:caps/>
    </w:rPr>
  </w:style>
  <w:style w:type="paragraph" w:customStyle="1" w:styleId="Figurewithouttitle">
    <w:name w:val="Figure_without_title"/>
    <w:basedOn w:val="Figure"/>
    <w:next w:val="Normalaftertitle"/>
    <w:qFormat/>
    <w:pPr>
      <w:keepNext w:val="0"/>
      <w:spacing w:after="240"/>
    </w:pPr>
  </w:style>
  <w:style w:type="paragraph" w:customStyle="1" w:styleId="Headingi">
    <w:name w:val="Heading_i"/>
    <w:basedOn w:val="Heading3"/>
    <w:next w:val="Normal"/>
    <w:qFormat/>
    <w:pPr>
      <w:spacing w:before="160"/>
    </w:pPr>
    <w:rPr>
      <w:rFonts w:ascii="STKaiti" w:hAnsi="STKaiti"/>
      <w:b w:val="0"/>
    </w:rPr>
  </w:style>
  <w:style w:type="paragraph" w:customStyle="1" w:styleId="PartNo">
    <w:name w:val="Part_No"/>
    <w:basedOn w:val="AnnexNo"/>
    <w:next w:val="Parttitle"/>
    <w:qFormat/>
  </w:style>
  <w:style w:type="paragraph" w:customStyle="1" w:styleId="Parttitle">
    <w:name w:val="Part_title"/>
    <w:basedOn w:val="Annextitle"/>
    <w:next w:val="Partref"/>
    <w:qFormat/>
    <w:rPr>
      <w:rFonts w:ascii="Calibri" w:hAnsi="Calibri"/>
    </w:rPr>
  </w:style>
  <w:style w:type="paragraph" w:customStyle="1" w:styleId="Partref">
    <w:name w:val="Part_ref"/>
    <w:basedOn w:val="Annexref"/>
    <w:next w:val="Normalaftertitle"/>
    <w:qFormat/>
  </w:style>
  <w:style w:type="paragraph" w:customStyle="1" w:styleId="RecNo">
    <w:name w:val="Rec_No"/>
    <w:basedOn w:val="Normal"/>
    <w:next w:val="Rectitle"/>
    <w:qFormat/>
    <w:pPr>
      <w:keepNext/>
      <w:keepLines/>
      <w:spacing w:before="480"/>
      <w:jc w:val="center"/>
    </w:pPr>
    <w:rPr>
      <w:caps/>
      <w:sz w:val="28"/>
    </w:rPr>
  </w:style>
  <w:style w:type="paragraph" w:customStyle="1" w:styleId="Rectitle">
    <w:name w:val="Rec_title"/>
    <w:basedOn w:val="RecNo"/>
    <w:next w:val="Recref"/>
    <w:qFormat/>
    <w:pPr>
      <w:spacing w:before="240"/>
    </w:pPr>
    <w:rPr>
      <w:b/>
      <w:caps w:val="0"/>
    </w:rPr>
  </w:style>
  <w:style w:type="paragraph" w:customStyle="1" w:styleId="Recref">
    <w:name w:val="Rec_ref"/>
    <w:basedOn w:val="Rectitle"/>
    <w:next w:val="Recdate"/>
    <w:qFormat/>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qFormat/>
    <w:pPr>
      <w:jc w:val="right"/>
    </w:pPr>
    <w:rPr>
      <w:sz w:val="22"/>
    </w:rPr>
  </w:style>
  <w:style w:type="paragraph" w:customStyle="1" w:styleId="Questiondate">
    <w:name w:val="Question_date"/>
    <w:basedOn w:val="Recdate"/>
    <w:next w:val="Normalaftertitle"/>
    <w:qFormat/>
  </w:style>
  <w:style w:type="paragraph" w:customStyle="1" w:styleId="QuestionNo">
    <w:name w:val="Question_No"/>
    <w:basedOn w:val="RecNo"/>
    <w:next w:val="Questiontitle"/>
    <w:qFormat/>
  </w:style>
  <w:style w:type="paragraph" w:customStyle="1" w:styleId="Questiontitle">
    <w:name w:val="Question_title"/>
    <w:basedOn w:val="Rectitle"/>
    <w:next w:val="Questionref"/>
    <w:qFormat/>
  </w:style>
  <w:style w:type="paragraph" w:customStyle="1" w:styleId="Questionref">
    <w:name w:val="Question_ref"/>
    <w:basedOn w:val="Recref"/>
    <w:next w:val="Questiondate"/>
    <w:qFormat/>
  </w:style>
  <w:style w:type="paragraph" w:customStyle="1" w:styleId="Reftext">
    <w:name w:val="Ref_text"/>
    <w:basedOn w:val="Normal"/>
    <w:qFormat/>
    <w:pPr>
      <w:ind w:left="794" w:hanging="794"/>
    </w:pPr>
  </w:style>
  <w:style w:type="paragraph" w:customStyle="1" w:styleId="Reftitle">
    <w:name w:val="Ref_title"/>
    <w:basedOn w:val="Normal"/>
    <w:next w:val="Reftext"/>
    <w:qFormat/>
    <w:pPr>
      <w:spacing w:before="480"/>
      <w:jc w:val="center"/>
    </w:pPr>
    <w:rPr>
      <w:caps/>
    </w:rPr>
  </w:style>
  <w:style w:type="paragraph" w:customStyle="1" w:styleId="Repdate">
    <w:name w:val="Rep_date"/>
    <w:basedOn w:val="Recdate"/>
    <w:next w:val="Normalaftertitle"/>
    <w:qFormat/>
  </w:style>
  <w:style w:type="paragraph" w:customStyle="1" w:styleId="RepNo">
    <w:name w:val="Rep_No"/>
    <w:basedOn w:val="RecNo"/>
    <w:next w:val="Reptitle"/>
    <w:qFormat/>
  </w:style>
  <w:style w:type="paragraph" w:customStyle="1" w:styleId="Reptitle">
    <w:name w:val="Rep_title"/>
    <w:basedOn w:val="Rectitle"/>
    <w:next w:val="Repref"/>
    <w:qFormat/>
  </w:style>
  <w:style w:type="paragraph" w:customStyle="1" w:styleId="Repref">
    <w:name w:val="Rep_ref"/>
    <w:basedOn w:val="Recref"/>
    <w:next w:val="Repdate"/>
    <w:qFormat/>
  </w:style>
  <w:style w:type="paragraph" w:customStyle="1" w:styleId="Resdate">
    <w:name w:val="Res_date"/>
    <w:basedOn w:val="Recdate"/>
    <w:next w:val="Normalaftertitle"/>
    <w:qFormat/>
  </w:style>
  <w:style w:type="paragraph" w:customStyle="1" w:styleId="ResNo">
    <w:name w:val="Res_No"/>
    <w:basedOn w:val="RecNo"/>
    <w:next w:val="Restitle"/>
    <w:qFormat/>
  </w:style>
  <w:style w:type="paragraph" w:customStyle="1" w:styleId="Restitle">
    <w:name w:val="Res_title"/>
    <w:basedOn w:val="Rectitle"/>
    <w:next w:val="Resref"/>
    <w:qFormat/>
  </w:style>
  <w:style w:type="paragraph" w:customStyle="1" w:styleId="Resref">
    <w:name w:val="Res_ref"/>
    <w:basedOn w:val="Recref"/>
    <w:next w:val="Resdate"/>
    <w:qFormat/>
  </w:style>
  <w:style w:type="paragraph" w:customStyle="1" w:styleId="SectionNo">
    <w:name w:val="Section_No"/>
    <w:basedOn w:val="AnnexNo"/>
    <w:next w:val="Sectiontitle"/>
    <w:qFormat/>
  </w:style>
  <w:style w:type="paragraph" w:customStyle="1" w:styleId="Sectiontitle">
    <w:name w:val="Section_title"/>
    <w:basedOn w:val="Normal"/>
    <w:next w:val="Normalaftertitle"/>
    <w:qFormat/>
    <w:rPr>
      <w:sz w:val="28"/>
    </w:rPr>
  </w:style>
  <w:style w:type="paragraph" w:customStyle="1" w:styleId="SpecialFooter">
    <w:name w:val="Special Footer"/>
    <w:basedOn w:val="Footer"/>
    <w:qFormat/>
    <w:pPr>
      <w:tabs>
        <w:tab w:val="left" w:pos="567"/>
        <w:tab w:val="left" w:pos="1134"/>
        <w:tab w:val="left" w:pos="1701"/>
        <w:tab w:val="left" w:pos="2268"/>
        <w:tab w:val="left" w:pos="2835"/>
      </w:tabs>
      <w:jc w:val="both"/>
    </w:pPr>
    <w:rPr>
      <w:caps w:val="0"/>
    </w:rPr>
  </w:style>
  <w:style w:type="paragraph" w:customStyle="1" w:styleId="Tablehead">
    <w:name w:val="Table_head"/>
    <w:basedOn w:val="Tabletext"/>
    <w:next w:val="Tabletext"/>
    <w:qFormat/>
    <w:pPr>
      <w:keepNext/>
      <w:spacing w:before="80" w:after="80"/>
      <w:jc w:val="center"/>
    </w:pPr>
    <w:rPr>
      <w:b/>
    </w:rPr>
  </w:style>
  <w:style w:type="paragraph" w:customStyle="1" w:styleId="Tablelegend">
    <w:name w:val="Table_legend"/>
    <w:basedOn w:val="Tabletext"/>
    <w:qFormat/>
    <w:pPr>
      <w:spacing w:before="120"/>
    </w:pPr>
  </w:style>
  <w:style w:type="paragraph" w:customStyle="1" w:styleId="Tableref">
    <w:name w:val="Table_ref"/>
    <w:basedOn w:val="Normal"/>
    <w:next w:val="Tabletitle"/>
    <w:qFormat/>
    <w:pPr>
      <w:keepNext/>
      <w:spacing w:before="567"/>
      <w:jc w:val="center"/>
    </w:pPr>
  </w:style>
  <w:style w:type="paragraph" w:customStyle="1" w:styleId="Artheading">
    <w:name w:val="Art_heading"/>
    <w:basedOn w:val="Normal"/>
    <w:next w:val="Normalaftertitle"/>
    <w:qFormat/>
    <w:pPr>
      <w:spacing w:before="480"/>
      <w:jc w:val="center"/>
    </w:pPr>
    <w:rPr>
      <w:rFonts w:ascii="Times New Roman Bold" w:hAnsi="Times New Roman Bold"/>
      <w:b/>
      <w:sz w:val="28"/>
    </w:rPr>
  </w:style>
  <w:style w:type="paragraph" w:customStyle="1" w:styleId="ArtNo">
    <w:name w:val="Art_No"/>
    <w:basedOn w:val="Normal"/>
    <w:next w:val="Normal"/>
    <w:qFormat/>
    <w:pPr>
      <w:keepNext/>
      <w:keepLines/>
      <w:spacing w:before="480"/>
      <w:jc w:val="center"/>
    </w:pPr>
    <w:rPr>
      <w:caps/>
      <w:sz w:val="28"/>
    </w:rPr>
  </w:style>
  <w:style w:type="paragraph" w:customStyle="1" w:styleId="Arttitle">
    <w:name w:val="Art_title"/>
    <w:basedOn w:val="Normal"/>
    <w:next w:val="Normalaftertitle"/>
    <w:qFormat/>
    <w:pPr>
      <w:keepNext/>
      <w:keepLines/>
      <w:spacing w:before="240"/>
      <w:jc w:val="center"/>
    </w:pPr>
    <w:rPr>
      <w:b/>
      <w:sz w:val="28"/>
    </w:rPr>
  </w:style>
  <w:style w:type="paragraph" w:customStyle="1" w:styleId="ChapNo">
    <w:name w:val="Chap_No"/>
    <w:basedOn w:val="ArtNo"/>
    <w:next w:val="Chaptitle"/>
    <w:qFormat/>
    <w:rPr>
      <w:b/>
    </w:rPr>
  </w:style>
  <w:style w:type="paragraph" w:customStyle="1" w:styleId="Chaptitle">
    <w:name w:val="Chap_title"/>
    <w:basedOn w:val="Arttitle"/>
    <w:next w:val="Normalaftertitle"/>
    <w:qFormat/>
  </w:style>
  <w:style w:type="paragraph" w:customStyle="1" w:styleId="NormalCH">
    <w:name w:val="NormalCH"/>
    <w:basedOn w:val="Normal"/>
    <w:next w:val="Normal"/>
    <w:qFormat/>
    <w:pPr>
      <w:ind w:firstLineChars="200" w:firstLine="200"/>
    </w:pPr>
    <w:rPr>
      <w:szCs w:val="19"/>
      <w:lang w:eastAsia="zh-CN"/>
    </w:rPr>
  </w:style>
  <w:style w:type="character" w:customStyle="1" w:styleId="Heading1Char">
    <w:name w:val="Heading 1 Char"/>
    <w:basedOn w:val="DefaultParagraphFont"/>
    <w:link w:val="Heading1"/>
    <w:qFormat/>
    <w:rPr>
      <w:rFonts w:ascii="Calibri" w:hAnsi="Calibri"/>
      <w:b/>
      <w:sz w:val="28"/>
      <w:lang w:val="en-GB" w:eastAsia="en-US"/>
    </w:rPr>
  </w:style>
  <w:style w:type="character" w:customStyle="1" w:styleId="Heading2Char">
    <w:name w:val="Heading 2 Char"/>
    <w:basedOn w:val="DefaultParagraphFont"/>
    <w:link w:val="Heading2"/>
    <w:qFormat/>
    <w:rPr>
      <w:rFonts w:ascii="Calibri" w:hAnsi="Calibri"/>
      <w:b/>
      <w:sz w:val="24"/>
      <w:lang w:val="en-GB" w:eastAsia="en-US"/>
    </w:rPr>
  </w:style>
  <w:style w:type="character" w:customStyle="1" w:styleId="FootnoteTextChar">
    <w:name w:val="Footnote Text Char"/>
    <w:basedOn w:val="DefaultParagraphFont"/>
    <w:link w:val="FootnoteText"/>
    <w:semiHidden/>
    <w:qFormat/>
    <w:rPr>
      <w:rFonts w:ascii="Calibri" w:hAnsi="Calibri"/>
      <w:sz w:val="24"/>
      <w:lang w:val="en-GB" w:eastAsia="en-US"/>
    </w:rPr>
  </w:style>
  <w:style w:type="paragraph" w:styleId="ListParagraph">
    <w:name w:val="List Paragraph"/>
    <w:basedOn w:val="Normal"/>
    <w:uiPriority w:val="34"/>
    <w:qFormat/>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character" w:customStyle="1" w:styleId="NormalaftertitleChar">
    <w:name w:val="Normal after title Char"/>
    <w:link w:val="Normalaftertitle"/>
    <w:qFormat/>
    <w:locked/>
    <w:rPr>
      <w:rFonts w:ascii="Calibri" w:hAnsi="Calibri"/>
      <w:sz w:val="24"/>
      <w:lang w:val="en-GB" w:eastAsia="en-US"/>
    </w:rPr>
  </w:style>
  <w:style w:type="character" w:customStyle="1" w:styleId="CallChar">
    <w:name w:val="Call Char"/>
    <w:basedOn w:val="DefaultParagraphFont"/>
    <w:link w:val="Call"/>
    <w:qFormat/>
    <w:rPr>
      <w:rFonts w:ascii="STKaiti" w:hAnsi="STKaiti"/>
      <w:sz w:val="24"/>
      <w:lang w:val="en-GB" w:eastAsia="en-US"/>
    </w:rPr>
  </w:style>
  <w:style w:type="character" w:customStyle="1" w:styleId="AnnextitleChar">
    <w:name w:val="Annex_title Char"/>
    <w:basedOn w:val="DefaultParagraphFont"/>
    <w:link w:val="Annextitle"/>
    <w:qFormat/>
    <w:locked/>
    <w:rPr>
      <w:rFonts w:ascii="Times New Roman Bold" w:hAnsi="Times New Roman Bold"/>
      <w:b/>
      <w:sz w:val="28"/>
      <w:lang w:val="en-GB" w:eastAsia="en-US"/>
    </w:rPr>
  </w:style>
  <w:style w:type="character" w:customStyle="1" w:styleId="FooterChar">
    <w:name w:val="Footer Char"/>
    <w:basedOn w:val="DefaultParagraphFont"/>
    <w:link w:val="Footer"/>
    <w:qFormat/>
    <w:rPr>
      <w:rFonts w:ascii="Calibri" w:hAnsi="Calibri"/>
      <w:caps/>
      <w:sz w:val="16"/>
      <w:lang w:val="fr-FR" w:eastAsia="en-US"/>
    </w:rPr>
  </w:style>
  <w:style w:type="character" w:customStyle="1" w:styleId="BodyTextIndent3Char">
    <w:name w:val="Body Text Indent 3 Char"/>
    <w:basedOn w:val="DefaultParagraphFont"/>
    <w:link w:val="BodyTextIndent3"/>
    <w:qFormat/>
    <w:rPr>
      <w:rFonts w:ascii="Calibri" w:hAnsi="Calibri"/>
      <w:sz w:val="22"/>
      <w:lang w:val="fr-FR"/>
    </w:rPr>
  </w:style>
  <w:style w:type="character" w:customStyle="1" w:styleId="HeaderChar">
    <w:name w:val="Header Char"/>
    <w:basedOn w:val="DefaultParagraphFont"/>
    <w:link w:val="Header"/>
    <w:uiPriority w:val="99"/>
    <w:qFormat/>
    <w:rPr>
      <w:rFonts w:ascii="Calibri" w:hAnsi="Calibri"/>
      <w:sz w:val="18"/>
      <w:lang w:val="fr-FR" w:eastAsia="en-US"/>
    </w:rPr>
  </w:style>
  <w:style w:type="paragraph" w:customStyle="1" w:styleId="Subtitle">
    <w:name w:val="Sub_title"/>
    <w:basedOn w:val="Title1"/>
    <w:qFormat/>
    <w:pPr>
      <w:framePr w:hSpace="180" w:wrap="around" w:hAnchor="page" w:x="1821" w:y="2317"/>
      <w:spacing w:before="120" w:after="160"/>
      <w:jc w:val="left"/>
    </w:pPr>
    <w:rPr>
      <w:rFonts w:eastAsia="Times New Roman"/>
      <w:caps w:val="0"/>
      <w:sz w:val="34"/>
    </w:rPr>
  </w:style>
  <w:style w:type="character" w:styleId="PlaceholderText">
    <w:name w:val="Placeholder Text"/>
    <w:basedOn w:val="DefaultParagraphFont"/>
    <w:uiPriority w:val="99"/>
    <w:semiHidden/>
    <w:qFormat/>
    <w:rPr>
      <w:color w:val="66666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4E4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RES-162-C.pdf" TargetMode="External"/><Relationship Id="rId18" Type="http://schemas.openxmlformats.org/officeDocument/2006/relationships/hyperlink" Target="https://www.itu.int/md/S25-CL-C-0105/en" TargetMode="External"/><Relationship Id="rId26" Type="http://schemas.openxmlformats.org/officeDocument/2006/relationships/hyperlink" Target="https://www.itu.int/md/S25-CL-C-0040/en" TargetMode="External"/><Relationship Id="rId3" Type="http://schemas.openxmlformats.org/officeDocument/2006/relationships/styles" Target="styles.xml"/><Relationship Id="rId21" Type="http://schemas.openxmlformats.org/officeDocument/2006/relationships/hyperlink" Target="https://www.itu.int/md/S26-CWGFHR22-C-0036/en" TargetMode="External"/><Relationship Id="rId7" Type="http://schemas.openxmlformats.org/officeDocument/2006/relationships/endnotes" Target="endnotes.xml"/><Relationship Id="rId12" Type="http://schemas.openxmlformats.org/officeDocument/2006/relationships/hyperlink" Target="https://www.itu.int/en/council/Documents/basic-texts-2023/RES-158-C.pdf" TargetMode="External"/><Relationship Id="rId17" Type="http://schemas.openxmlformats.org/officeDocument/2006/relationships/hyperlink" Target="https://www.itu.int/md/S25-CL-C-0040/en" TargetMode="External"/><Relationship Id="rId25" Type="http://schemas.openxmlformats.org/officeDocument/2006/relationships/hyperlink" Target="https://www.itu.int/md/S24-CWGFHR17-C-0024/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md/S26-CL-C-0022/en" TargetMode="External"/><Relationship Id="rId20" Type="http://schemas.openxmlformats.org/officeDocument/2006/relationships/hyperlink" Target="https://www.itu.int/md/S23-CL-C-0104/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2023/RES-151-C.pdf" TargetMode="External"/><Relationship Id="rId24" Type="http://schemas.openxmlformats.org/officeDocument/2006/relationships/hyperlink" Target="https://www.itu.int/md/S24-CWGFHR19-C-0015/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md/S26-CL-C-0042/en" TargetMode="External"/><Relationship Id="rId23" Type="http://schemas.openxmlformats.org/officeDocument/2006/relationships/hyperlink" Target="https://www.itu.int/md/S25-CWGFHR20-C-0032/en" TargetMode="External"/><Relationship Id="rId28" Type="http://schemas.openxmlformats.org/officeDocument/2006/relationships/hyperlink" Target="https://www.itu.int/md/S26-CL-C-0022/en" TargetMode="External"/><Relationship Id="rId10" Type="http://schemas.openxmlformats.org/officeDocument/2006/relationships/hyperlink" Target="https://www.itu.int/en/council/Documents/basic-texts-2023/RES-094-C.pdf" TargetMode="External"/><Relationship Id="rId19" Type="http://schemas.openxmlformats.org/officeDocument/2006/relationships/hyperlink" Target="https://www.itu.int/md/S24-CL-C-0109/en"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en/council/Documents/basic-texts/Convention-C.pdf" TargetMode="External"/><Relationship Id="rId14" Type="http://schemas.openxmlformats.org/officeDocument/2006/relationships/hyperlink" Target="https://www.itu.int/md/S26-CL-C-0055/en" TargetMode="External"/><Relationship Id="rId22" Type="http://schemas.openxmlformats.org/officeDocument/2006/relationships/hyperlink" Target="https://www.itu.int/md/S25-CWGFHR21-C-0025/en" TargetMode="External"/><Relationship Id="rId27" Type="http://schemas.openxmlformats.org/officeDocument/2006/relationships/hyperlink" Target="https://www.itu.int/md/S26-CL-C-0042/en" TargetMode="External"/><Relationship Id="rId30" Type="http://schemas.openxmlformats.org/officeDocument/2006/relationships/header" Target="header1.xml"/><Relationship Id="rId8" Type="http://schemas.openxmlformats.org/officeDocument/2006/relationships/hyperlink" Target="https://www.itu.int/en/council/Documents/basic-texts/Constitution-C.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1663</Words>
  <Characters>1913</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Recommendations on enhancing transparency in the financial management of the ITU</vt:lpstr>
    </vt:vector>
  </TitlesOfParts>
  <Manager>General Secretariat - Pool</Manager>
  <Company>International Telecommunication Union (ITU)</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 on enhancing transparency in the financial management of the ITU</dc:title>
  <dc:subject>ITU Council 2026</dc:subject>
  <dc:creator>GBS</dc:creator>
  <cp:keywords>C26; C2026; Council 2026; PP26</cp:keywords>
  <cp:lastModifiedBy>GBS</cp:lastModifiedBy>
  <cp:revision>2</cp:revision>
  <cp:lastPrinted>2015-02-24T13:23:00Z</cp:lastPrinted>
  <dcterms:created xsi:type="dcterms:W3CDTF">2026-04-27T18:49:00Z</dcterms:created>
  <dcterms:modified xsi:type="dcterms:W3CDTF">2026-04-27T18:49:00Z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y fmtid="{D5CDD505-2E9C-101B-9397-08002B2CF9AE}" pid="9" name="KSOProductBuildVer">
    <vt:lpwstr>2052-12.1.0.25865</vt:lpwstr>
  </property>
  <property fmtid="{D5CDD505-2E9C-101B-9397-08002B2CF9AE}" pid="10" name="ICV">
    <vt:lpwstr>49D3D95374894E3E8D36CC7523378A7A_13</vt:lpwstr>
  </property>
  <property fmtid="{D5CDD505-2E9C-101B-9397-08002B2CF9AE}" pid="11" name="KSOTemplateDocerSaveRecord">
    <vt:lpwstr>eyJoZGlkIjoiOTJhZDQ1ZDdjYzRkMmY4ZTAyNDhkMzQ5YTc0YjNiNzQiLCJ1c2VySWQiOiIzNjA1OTAwMjIifQ==</vt:lpwstr>
  </property>
</Properties>
</file>