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0"/>
        <w:gridCol w:w="3011"/>
      </w:tblGrid>
      <w:tr w:rsidR="007B0AA0" w14:paraId="0B5E34BA" w14:textId="77777777" w:rsidTr="00F363FE">
        <w:tc>
          <w:tcPr>
            <w:tcW w:w="6512" w:type="dxa"/>
          </w:tcPr>
          <w:p w14:paraId="5847D999" w14:textId="2663519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بند جدول الأعمال:</w:t>
            </w:r>
            <w:r w:rsidR="009975CD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="009975CD">
              <w:rPr>
                <w:b/>
                <w:bCs/>
                <w:lang w:bidi="ar-EG"/>
              </w:rPr>
              <w:t>ADM-1</w:t>
            </w:r>
          </w:p>
        </w:tc>
        <w:tc>
          <w:tcPr>
            <w:tcW w:w="3117" w:type="dxa"/>
          </w:tcPr>
          <w:p w14:paraId="5773AA6E" w14:textId="501B7C78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الوثيقة </w:t>
            </w:r>
            <w:r w:rsidRPr="007B0AA0">
              <w:rPr>
                <w:b/>
                <w:bCs/>
                <w:lang w:bidi="ar-EG"/>
              </w:rPr>
              <w:t>C2</w:t>
            </w:r>
            <w:r w:rsidR="000116AF">
              <w:rPr>
                <w:b/>
                <w:bCs/>
                <w:lang w:bidi="ar-EG"/>
              </w:rPr>
              <w:t>6</w:t>
            </w:r>
            <w:r w:rsidRPr="007B0AA0">
              <w:rPr>
                <w:b/>
                <w:bCs/>
                <w:lang w:bidi="ar-EG"/>
              </w:rPr>
              <w:t>/</w:t>
            </w:r>
            <w:r w:rsidR="009975CD">
              <w:rPr>
                <w:b/>
                <w:bCs/>
                <w:lang w:bidi="ar-EG"/>
              </w:rPr>
              <w:t>80</w:t>
            </w:r>
            <w:r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44A3C8DF" w14:textId="77777777" w:rsidTr="00F363FE">
        <w:tc>
          <w:tcPr>
            <w:tcW w:w="6512" w:type="dxa"/>
          </w:tcPr>
          <w:p w14:paraId="3819733A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43663FA0" w14:textId="3F01E613" w:rsidR="007B0AA0" w:rsidRPr="007B0AA0" w:rsidRDefault="009975CD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‏14‏ أبريل‏ 2026</w:t>
            </w:r>
          </w:p>
        </w:tc>
      </w:tr>
      <w:tr w:rsidR="007B0AA0" w14:paraId="0A24A6E4" w14:textId="77777777" w:rsidTr="00F363FE">
        <w:tc>
          <w:tcPr>
            <w:tcW w:w="6512" w:type="dxa"/>
          </w:tcPr>
          <w:p w14:paraId="5A5DF47E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3117" w:type="dxa"/>
          </w:tcPr>
          <w:p w14:paraId="61796BAD" w14:textId="7C68D27E" w:rsidR="007B0AA0" w:rsidRPr="007B0AA0" w:rsidRDefault="001D64C7" w:rsidP="009975CD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 xml:space="preserve">الأصل: </w:t>
            </w:r>
            <w:r w:rsidR="009975CD" w:rsidRPr="009975CD">
              <w:rPr>
                <w:rFonts w:hint="eastAsia"/>
                <w:b/>
                <w:bCs/>
                <w:rtl/>
              </w:rPr>
              <w:t>بالصينية</w:t>
            </w:r>
            <w:r w:rsidR="009975CD" w:rsidRPr="009975CD">
              <w:rPr>
                <w:b/>
                <w:bCs/>
                <w:rtl/>
              </w:rPr>
              <w:t>/</w:t>
            </w:r>
            <w:r w:rsidR="009975CD" w:rsidRPr="009975CD">
              <w:rPr>
                <w:rFonts w:hint="eastAsia"/>
                <w:b/>
                <w:bCs/>
                <w:rtl/>
              </w:rPr>
              <w:t>الإنكليزية</w:t>
            </w:r>
          </w:p>
        </w:tc>
      </w:tr>
      <w:tr w:rsidR="007B0AA0" w14:paraId="2F2AFB49" w14:textId="77777777" w:rsidTr="00F363FE">
        <w:tc>
          <w:tcPr>
            <w:tcW w:w="6512" w:type="dxa"/>
          </w:tcPr>
          <w:p w14:paraId="3B23208A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3117" w:type="dxa"/>
          </w:tcPr>
          <w:p w14:paraId="4DA43250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  <w:tr w:rsidR="007B0AA0" w14:paraId="7EFAC771" w14:textId="77777777" w:rsidTr="00EE7446">
        <w:tc>
          <w:tcPr>
            <w:tcW w:w="9629" w:type="dxa"/>
            <w:gridSpan w:val="2"/>
          </w:tcPr>
          <w:p w14:paraId="1EF6D94B" w14:textId="2308E832" w:rsidR="007B0AA0" w:rsidRDefault="009975CD" w:rsidP="009975CD">
            <w:pPr>
              <w:pStyle w:val="Source"/>
              <w:jc w:val="left"/>
              <w:rPr>
                <w:lang w:bidi="ar-EG"/>
              </w:rPr>
            </w:pPr>
            <w:r w:rsidRPr="009975CD">
              <w:rPr>
                <w:rFonts w:hint="eastAsia"/>
                <w:rtl/>
              </w:rPr>
              <w:t>مساهمة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مقدمة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من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جمهورية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الصين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الشعبية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وجمهورية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البرازيل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الاتحادية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وكوبا</w:t>
            </w:r>
          </w:p>
        </w:tc>
      </w:tr>
      <w:tr w:rsidR="007B0AA0" w14:paraId="370DE3B0" w14:textId="77777777" w:rsidTr="007B0AA0">
        <w:tc>
          <w:tcPr>
            <w:tcW w:w="9629" w:type="dxa"/>
            <w:gridSpan w:val="2"/>
            <w:tcBorders>
              <w:bottom w:val="single" w:sz="4" w:space="0" w:color="auto"/>
            </w:tcBorders>
          </w:tcPr>
          <w:p w14:paraId="75C238E7" w14:textId="57C5AD3C" w:rsidR="007B0AA0" w:rsidRPr="005546CF" w:rsidRDefault="009975CD" w:rsidP="009975CD">
            <w:pPr>
              <w:pStyle w:val="Subtitle0"/>
              <w:rPr>
                <w:sz w:val="32"/>
                <w:szCs w:val="32"/>
              </w:rPr>
            </w:pPr>
            <w:r w:rsidRPr="009975CD">
              <w:rPr>
                <w:rFonts w:hint="eastAsia"/>
                <w:sz w:val="32"/>
                <w:szCs w:val="32"/>
                <w:rtl/>
                <w:lang w:bidi="ar-SA"/>
              </w:rPr>
              <w:t>توصيات</w:t>
            </w:r>
            <w:r w:rsidRPr="009975CD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9975CD">
              <w:rPr>
                <w:rFonts w:hint="eastAsia"/>
                <w:sz w:val="32"/>
                <w:szCs w:val="32"/>
                <w:rtl/>
                <w:lang w:bidi="ar-SA"/>
              </w:rPr>
              <w:t>بشأن</w:t>
            </w:r>
            <w:r w:rsidRPr="009975CD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9975CD">
              <w:rPr>
                <w:rFonts w:hint="eastAsia"/>
                <w:sz w:val="32"/>
                <w:szCs w:val="32"/>
                <w:rtl/>
                <w:lang w:bidi="ar-SA"/>
              </w:rPr>
              <w:t>تعزيز</w:t>
            </w:r>
            <w:r w:rsidRPr="009975CD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9975CD">
              <w:rPr>
                <w:rFonts w:hint="eastAsia"/>
                <w:sz w:val="32"/>
                <w:szCs w:val="32"/>
                <w:rtl/>
                <w:lang w:bidi="ar-SA"/>
              </w:rPr>
              <w:t>الشفافية</w:t>
            </w:r>
            <w:r w:rsidRPr="009975CD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9975CD">
              <w:rPr>
                <w:rFonts w:hint="eastAsia"/>
                <w:sz w:val="32"/>
                <w:szCs w:val="32"/>
                <w:rtl/>
                <w:lang w:bidi="ar-SA"/>
              </w:rPr>
              <w:t>في</w:t>
            </w:r>
            <w:r w:rsidRPr="009975CD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9975CD">
              <w:rPr>
                <w:rFonts w:hint="eastAsia"/>
                <w:sz w:val="32"/>
                <w:szCs w:val="32"/>
                <w:rtl/>
                <w:lang w:bidi="ar-SA"/>
              </w:rPr>
              <w:t>الإدارة</w:t>
            </w:r>
            <w:r w:rsidRPr="009975CD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9975CD">
              <w:rPr>
                <w:rFonts w:hint="eastAsia"/>
                <w:sz w:val="32"/>
                <w:szCs w:val="32"/>
                <w:rtl/>
                <w:lang w:bidi="ar-SA"/>
              </w:rPr>
              <w:t>المالية</w:t>
            </w:r>
            <w:r w:rsidRPr="009975CD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9975CD">
              <w:rPr>
                <w:rFonts w:hint="eastAsia"/>
                <w:sz w:val="32"/>
                <w:szCs w:val="32"/>
                <w:rtl/>
                <w:lang w:bidi="ar-SA"/>
              </w:rPr>
              <w:t>للاتحاد</w:t>
            </w:r>
            <w:r w:rsidRPr="009975CD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9975CD">
              <w:rPr>
                <w:rFonts w:hint="eastAsia"/>
                <w:sz w:val="32"/>
                <w:szCs w:val="32"/>
                <w:rtl/>
                <w:lang w:bidi="ar-SA"/>
              </w:rPr>
              <w:t>الدولي</w:t>
            </w:r>
            <w:r w:rsidRPr="009975CD">
              <w:rPr>
                <w:sz w:val="32"/>
                <w:szCs w:val="32"/>
                <w:rtl/>
                <w:lang w:bidi="ar-SA"/>
              </w:rPr>
              <w:t xml:space="preserve"> </w:t>
            </w:r>
            <w:r w:rsidRPr="009975CD">
              <w:rPr>
                <w:rFonts w:hint="eastAsia"/>
                <w:sz w:val="32"/>
                <w:szCs w:val="32"/>
                <w:rtl/>
                <w:lang w:bidi="ar-SA"/>
              </w:rPr>
              <w:t>للاتصالات</w:t>
            </w:r>
          </w:p>
        </w:tc>
      </w:tr>
      <w:tr w:rsidR="007B0AA0" w14:paraId="3256339D" w14:textId="77777777" w:rsidTr="007B0AA0">
        <w:tc>
          <w:tcPr>
            <w:tcW w:w="96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E4B4D3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494119">
              <w:rPr>
                <w:rFonts w:hint="cs"/>
                <w:b/>
                <w:bCs/>
                <w:rtl/>
              </w:rPr>
              <w:t>الغرض</w:t>
            </w:r>
          </w:p>
          <w:p w14:paraId="22F9CCFC" w14:textId="5C6FC922" w:rsidR="007B0AA0" w:rsidRDefault="009975CD" w:rsidP="009975CD">
            <w:pPr>
              <w:rPr>
                <w:rtl/>
              </w:rPr>
            </w:pPr>
            <w:r w:rsidRPr="009975CD">
              <w:rPr>
                <w:rFonts w:hint="eastAsia"/>
                <w:rtl/>
              </w:rPr>
              <w:t>الشفافية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في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الإدارة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المالية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والكفاءة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في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توزيع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الموارد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أمران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ضروريان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لتحقيق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الأهداف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الاستراتيجية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للاتحاد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وتعزيز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ثقة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الأعضاء</w:t>
            </w:r>
            <w:r w:rsidRPr="009975CD">
              <w:rPr>
                <w:rtl/>
              </w:rPr>
              <w:t xml:space="preserve">. </w:t>
            </w:r>
            <w:r w:rsidRPr="009975CD">
              <w:rPr>
                <w:rFonts w:hint="eastAsia"/>
                <w:rtl/>
              </w:rPr>
              <w:t>وبما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أنه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من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المقرر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لمؤتمر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المندوبين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المفوضين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لعام</w:t>
            </w:r>
            <w:r w:rsidRPr="009975CD">
              <w:rPr>
                <w:rtl/>
              </w:rPr>
              <w:t xml:space="preserve"> 2026 (PP-26) </w:t>
            </w:r>
            <w:r w:rsidRPr="009975CD">
              <w:rPr>
                <w:rFonts w:hint="eastAsia"/>
                <w:rtl/>
              </w:rPr>
              <w:t>أن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يوجه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الإدارة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المالية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في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دورة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السنوات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الأربع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المقبلة،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تقترح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هذه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المساهمة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توصيات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ملموسة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تستند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إلى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المناقشات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التي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جرت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في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المجلس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وفريق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العمل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التابع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له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والمعني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بالموارد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المالية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والبشرية</w:t>
            </w:r>
            <w:r w:rsidRPr="009975CD">
              <w:rPr>
                <w:rtl/>
              </w:rPr>
              <w:t xml:space="preserve"> </w:t>
            </w:r>
            <w:r w:rsidRPr="009975CD">
              <w:t>(CWG-FHR)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منذ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عام</w:t>
            </w:r>
            <w:r w:rsidRPr="009975CD">
              <w:rPr>
                <w:rtl/>
              </w:rPr>
              <w:t xml:space="preserve"> 2023.</w:t>
            </w:r>
          </w:p>
          <w:p w14:paraId="64399A37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الإجراء المطلوب من المجلس</w:t>
            </w:r>
          </w:p>
          <w:p w14:paraId="090E90A8" w14:textId="6AA695B1" w:rsidR="006F363C" w:rsidRPr="005546CF" w:rsidRDefault="009975CD" w:rsidP="009975CD">
            <w:pPr>
              <w:rPr>
                <w:rtl/>
              </w:rPr>
            </w:pPr>
            <w:r w:rsidRPr="009975CD">
              <w:rPr>
                <w:rFonts w:hint="eastAsia"/>
                <w:rtl/>
              </w:rPr>
              <w:t>يدعى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المجلس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إلى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b/>
                <w:bCs/>
                <w:rtl/>
              </w:rPr>
              <w:t>النظر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في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التوصيات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الواردة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في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هذه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المساهمة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واتخاذ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الإجراءات</w:t>
            </w:r>
            <w:r w:rsidRPr="009975CD">
              <w:rPr>
                <w:rtl/>
              </w:rPr>
              <w:t xml:space="preserve"> </w:t>
            </w:r>
            <w:r w:rsidRPr="009975CD">
              <w:rPr>
                <w:rFonts w:hint="eastAsia"/>
                <w:rtl/>
              </w:rPr>
              <w:t>المناسبة</w:t>
            </w:r>
            <w:r w:rsidRPr="009975CD">
              <w:rPr>
                <w:rtl/>
              </w:rPr>
              <w:t>.</w:t>
            </w:r>
          </w:p>
          <w:p w14:paraId="0ED03289" w14:textId="77777777" w:rsidR="007B0AA0" w:rsidRPr="007B0AA0" w:rsidRDefault="007B0AA0" w:rsidP="007B0AA0">
            <w:pPr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7B0AA0">
              <w:rPr>
                <w:rFonts w:ascii="Traditional Arabic" w:hAnsi="Traditional Arabic" w:cs="Traditional Arabic"/>
                <w:sz w:val="30"/>
                <w:szCs w:val="30"/>
                <w:rtl/>
              </w:rPr>
              <w:t>___________</w:t>
            </w:r>
          </w:p>
          <w:p w14:paraId="642F5968" w14:textId="77777777" w:rsidR="007B0AA0" w:rsidRPr="007B0AA0" w:rsidRDefault="007B0AA0" w:rsidP="007B0AA0">
            <w:pPr>
              <w:rPr>
                <w:b/>
                <w:bCs/>
                <w:rtl/>
              </w:rPr>
            </w:pPr>
            <w:r w:rsidRPr="007B0AA0">
              <w:rPr>
                <w:rFonts w:hint="cs"/>
                <w:b/>
                <w:bCs/>
                <w:rtl/>
              </w:rPr>
              <w:t>المراجع</w:t>
            </w:r>
          </w:p>
          <w:p w14:paraId="0785C7FF" w14:textId="3D07C31B" w:rsidR="007B0AA0" w:rsidRPr="005D49F9" w:rsidRDefault="00E13453" w:rsidP="001652C5">
            <w:pPr>
              <w:rPr>
                <w:i/>
                <w:iCs/>
                <w:spacing w:val="-2"/>
                <w:rtl/>
              </w:rPr>
            </w:pPr>
            <w:hyperlink r:id="rId8" w:history="1">
              <w:r w:rsidRPr="005D49F9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>المادة 28 من الدستور</w:t>
              </w:r>
            </w:hyperlink>
            <w:r w:rsidRPr="005D49F9">
              <w:rPr>
                <w:i/>
                <w:iCs/>
                <w:spacing w:val="-2"/>
                <w:rtl/>
              </w:rPr>
              <w:t>، و</w:t>
            </w:r>
            <w:hyperlink r:id="rId9" w:history="1">
              <w:r w:rsidRPr="005D49F9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>الرقم 63 من الاتفاقية</w:t>
              </w:r>
            </w:hyperlink>
            <w:r w:rsidRPr="005D49F9">
              <w:rPr>
                <w:i/>
                <w:iCs/>
                <w:spacing w:val="-2"/>
                <w:rtl/>
              </w:rPr>
              <w:t>، والمقرر</w:t>
            </w:r>
            <w:hyperlink r:id="rId10" w:history="1">
              <w:r w:rsidRPr="005D49F9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5 (المراج</w:t>
              </w:r>
              <w:r w:rsidRPr="005D49F9">
                <w:rPr>
                  <w:rStyle w:val="Hyperlink"/>
                  <w:rFonts w:hint="cs"/>
                  <w:i/>
                  <w:iCs/>
                  <w:noProof w:val="0"/>
                  <w:spacing w:val="-2"/>
                  <w:rtl/>
                  <w:lang w:val="en-US" w:eastAsia="zh-CN"/>
                </w:rPr>
                <w:t>َ</w:t>
              </w:r>
              <w:r w:rsidRPr="005D49F9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>ع في بوخارست، 2022)</w:t>
              </w:r>
            </w:hyperlink>
            <w:r w:rsidRPr="005D49F9">
              <w:rPr>
                <w:i/>
                <w:iCs/>
                <w:spacing w:val="-2"/>
                <w:rtl/>
              </w:rPr>
              <w:t>، والقرار</w:t>
            </w:r>
            <w:hyperlink r:id="rId11" w:history="1">
              <w:r w:rsidRPr="005D49F9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 xml:space="preserve"> 94 (المراج</w:t>
              </w:r>
              <w:r w:rsidRPr="005D49F9">
                <w:rPr>
                  <w:rStyle w:val="Hyperlink"/>
                  <w:rFonts w:hint="cs"/>
                  <w:i/>
                  <w:iCs/>
                  <w:noProof w:val="0"/>
                  <w:spacing w:val="-2"/>
                  <w:rtl/>
                  <w:lang w:val="en-US" w:eastAsia="zh-CN"/>
                </w:rPr>
                <w:t>َ</w:t>
              </w:r>
              <w:r w:rsidRPr="005D49F9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>ع في</w:t>
              </w:r>
              <w:r w:rsidR="005D49F9">
                <w:rPr>
                  <w:rStyle w:val="Hyperlink"/>
                  <w:rFonts w:hint="cs"/>
                  <w:i/>
                  <w:iCs/>
                  <w:noProof w:val="0"/>
                  <w:spacing w:val="-2"/>
                  <w:rtl/>
                  <w:lang w:val="en-US" w:eastAsia="zh-CN"/>
                </w:rPr>
                <w:t> </w:t>
              </w:r>
              <w:r w:rsidRPr="005D49F9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>بوخارست، 2022)</w:t>
              </w:r>
            </w:hyperlink>
            <w:r w:rsidRPr="005D49F9">
              <w:rPr>
                <w:i/>
                <w:iCs/>
                <w:spacing w:val="-2"/>
                <w:rtl/>
              </w:rPr>
              <w:t xml:space="preserve">، والقرار </w:t>
            </w:r>
            <w:hyperlink r:id="rId12" w:history="1">
              <w:r w:rsidRPr="005D49F9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>151 (المراج</w:t>
              </w:r>
              <w:r w:rsidR="00684173" w:rsidRPr="005D49F9">
                <w:rPr>
                  <w:rStyle w:val="Hyperlink"/>
                  <w:rFonts w:hint="cs"/>
                  <w:i/>
                  <w:iCs/>
                  <w:noProof w:val="0"/>
                  <w:spacing w:val="-2"/>
                  <w:rtl/>
                  <w:lang w:val="en-US" w:eastAsia="zh-CN"/>
                </w:rPr>
                <w:t>َ</w:t>
              </w:r>
              <w:r w:rsidRPr="005D49F9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>ع في بوخارست، 2022</w:t>
              </w:r>
            </w:hyperlink>
            <w:r w:rsidRPr="005D49F9">
              <w:rPr>
                <w:i/>
                <w:iCs/>
                <w:spacing w:val="-2"/>
                <w:rtl/>
              </w:rPr>
              <w:t xml:space="preserve">)، والقرار </w:t>
            </w:r>
            <w:hyperlink r:id="rId13" w:history="1">
              <w:r w:rsidRPr="005D49F9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>158 (المراج</w:t>
              </w:r>
              <w:r w:rsidR="00684173" w:rsidRPr="005D49F9">
                <w:rPr>
                  <w:rStyle w:val="Hyperlink"/>
                  <w:rFonts w:hint="cs"/>
                  <w:i/>
                  <w:iCs/>
                  <w:noProof w:val="0"/>
                  <w:spacing w:val="-2"/>
                  <w:rtl/>
                  <w:lang w:val="en-US" w:eastAsia="zh-CN"/>
                </w:rPr>
                <w:t>َ</w:t>
              </w:r>
              <w:r w:rsidRPr="005D49F9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>ع في بوسان، 2014)</w:t>
              </w:r>
            </w:hyperlink>
            <w:r w:rsidRPr="005D49F9">
              <w:rPr>
                <w:i/>
                <w:iCs/>
                <w:spacing w:val="-2"/>
                <w:rtl/>
              </w:rPr>
              <w:t>، والقرار</w:t>
            </w:r>
            <w:r w:rsidR="005D49F9" w:rsidRPr="005D49F9">
              <w:rPr>
                <w:rFonts w:hint="cs"/>
                <w:i/>
                <w:iCs/>
                <w:spacing w:val="-2"/>
                <w:rtl/>
              </w:rPr>
              <w:t> </w:t>
            </w:r>
            <w:hyperlink r:id="rId14" w:history="1">
              <w:r w:rsidRPr="005D49F9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>162 (المراج</w:t>
              </w:r>
              <w:r w:rsidR="00684173" w:rsidRPr="005D49F9">
                <w:rPr>
                  <w:rStyle w:val="Hyperlink"/>
                  <w:rFonts w:hint="cs"/>
                  <w:i/>
                  <w:iCs/>
                  <w:noProof w:val="0"/>
                  <w:spacing w:val="-2"/>
                  <w:rtl/>
                  <w:lang w:val="en-US" w:eastAsia="zh-CN"/>
                </w:rPr>
                <w:t>َ</w:t>
              </w:r>
              <w:r w:rsidRPr="005D49F9">
                <w:rPr>
                  <w:rStyle w:val="Hyperlink"/>
                  <w:i/>
                  <w:iCs/>
                  <w:noProof w:val="0"/>
                  <w:spacing w:val="-2"/>
                  <w:rtl/>
                  <w:lang w:val="en-US" w:eastAsia="zh-CN"/>
                </w:rPr>
                <w:t>ع في بوخارست، 2022)</w:t>
              </w:r>
            </w:hyperlink>
            <w:r w:rsidRPr="005D49F9">
              <w:rPr>
                <w:i/>
                <w:iCs/>
                <w:spacing w:val="-2"/>
                <w:rtl/>
              </w:rPr>
              <w:t xml:space="preserve"> لمؤتمر المندوبين المفوضين؛ وثائق المجلس</w:t>
            </w:r>
            <w:r w:rsidR="00684173" w:rsidRPr="005D49F9">
              <w:rPr>
                <w:rFonts w:hint="cs"/>
                <w:i/>
                <w:iCs/>
                <w:spacing w:val="-2"/>
                <w:rtl/>
              </w:rPr>
              <w:t xml:space="preserve"> </w:t>
            </w:r>
            <w:hyperlink r:id="rId15" w:history="1">
              <w:r w:rsidR="00684173" w:rsidRPr="005D49F9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C26/55</w:t>
              </w:r>
            </w:hyperlink>
            <w:r w:rsidR="00684173" w:rsidRPr="005D49F9">
              <w:rPr>
                <w:rFonts w:hint="cs"/>
                <w:i/>
                <w:iCs/>
                <w:spacing w:val="-2"/>
                <w:rtl/>
              </w:rPr>
              <w:t xml:space="preserve"> </w:t>
            </w:r>
            <w:r w:rsidRPr="005D49F9">
              <w:rPr>
                <w:i/>
                <w:iCs/>
                <w:spacing w:val="-2"/>
                <w:rtl/>
              </w:rPr>
              <w:t>بشأن مستجدات التحول في الاتحاد، و</w:t>
            </w:r>
            <w:hyperlink r:id="rId16" w:history="1">
              <w:r w:rsidR="00684173" w:rsidRPr="005D49F9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C26/42</w:t>
              </w:r>
            </w:hyperlink>
            <w:r w:rsidR="00684173" w:rsidRPr="005D49F9">
              <w:rPr>
                <w:rFonts w:hint="cs"/>
                <w:i/>
                <w:iCs/>
                <w:spacing w:val="-2"/>
                <w:rtl/>
              </w:rPr>
              <w:t xml:space="preserve"> </w:t>
            </w:r>
            <w:r w:rsidRPr="005D49F9">
              <w:rPr>
                <w:i/>
                <w:iCs/>
                <w:spacing w:val="-2"/>
                <w:rtl/>
              </w:rPr>
              <w:t>بشأن مخصصات الوفورات المحققة في تنفيذ ميزانية 2025، ووثيقة المجلس</w:t>
            </w:r>
            <w:r w:rsidR="00684173" w:rsidRPr="005D49F9">
              <w:rPr>
                <w:rFonts w:hint="cs"/>
                <w:i/>
                <w:iCs/>
                <w:spacing w:val="-2"/>
                <w:rtl/>
              </w:rPr>
              <w:t xml:space="preserve"> </w:t>
            </w:r>
            <w:hyperlink r:id="rId17" w:history="1">
              <w:r w:rsidR="00684173" w:rsidRPr="005D49F9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C26/22</w:t>
              </w:r>
            </w:hyperlink>
            <w:r w:rsidR="00684173" w:rsidRPr="005D49F9">
              <w:rPr>
                <w:rFonts w:hint="cs"/>
                <w:i/>
                <w:iCs/>
                <w:spacing w:val="-2"/>
                <w:rtl/>
              </w:rPr>
              <w:t xml:space="preserve"> </w:t>
            </w:r>
            <w:r w:rsidRPr="005D49F9">
              <w:rPr>
                <w:i/>
                <w:iCs/>
                <w:spacing w:val="-2"/>
                <w:rtl/>
              </w:rPr>
              <w:t>بشأن التقرير الخامس عشر للجنة الاستشارية المستقلة للإدارة</w:t>
            </w:r>
            <w:r w:rsidR="00684173" w:rsidRPr="005D49F9">
              <w:rPr>
                <w:rFonts w:hint="cs"/>
                <w:i/>
                <w:iCs/>
                <w:spacing w:val="-2"/>
                <w:rtl/>
              </w:rPr>
              <w:t xml:space="preserve"> </w:t>
            </w:r>
            <w:r w:rsidRPr="005D49F9">
              <w:rPr>
                <w:i/>
                <w:iCs/>
                <w:spacing w:val="-2"/>
              </w:rPr>
              <w:t>(IMAC)</w:t>
            </w:r>
            <w:r w:rsidRPr="005D49F9">
              <w:rPr>
                <w:i/>
                <w:iCs/>
                <w:spacing w:val="-2"/>
                <w:rtl/>
              </w:rPr>
              <w:t xml:space="preserve">، </w:t>
            </w:r>
            <w:r w:rsidR="00684173" w:rsidRPr="005D49F9">
              <w:rPr>
                <w:rFonts w:hint="cs"/>
                <w:i/>
                <w:iCs/>
                <w:spacing w:val="-2"/>
                <w:rtl/>
              </w:rPr>
              <w:t>و</w:t>
            </w:r>
            <w:hyperlink r:id="rId18" w:history="1">
              <w:r w:rsidR="00684173" w:rsidRPr="005D49F9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C25/40</w:t>
              </w:r>
            </w:hyperlink>
            <w:r w:rsidR="00684173" w:rsidRPr="005D49F9">
              <w:rPr>
                <w:rFonts w:hint="cs"/>
                <w:i/>
                <w:iCs/>
                <w:spacing w:val="-2"/>
                <w:rtl/>
              </w:rPr>
              <w:t xml:space="preserve"> </w:t>
            </w:r>
            <w:r w:rsidRPr="005D49F9">
              <w:rPr>
                <w:i/>
                <w:iCs/>
                <w:spacing w:val="-2"/>
                <w:rtl/>
              </w:rPr>
              <w:t>بشأن تقرير الإدارة المالية والبيانات المالية المراجَعة للسنة المالية 2024؛ ملخص مناقشات المجلس ذات الصلة</w:t>
            </w:r>
            <w:r w:rsidR="00684173" w:rsidRPr="005D49F9">
              <w:rPr>
                <w:rFonts w:hint="cs"/>
                <w:i/>
                <w:iCs/>
                <w:spacing w:val="-2"/>
                <w:rtl/>
              </w:rPr>
              <w:t xml:space="preserve">: </w:t>
            </w:r>
            <w:hyperlink r:id="rId19" w:history="1">
              <w:r w:rsidR="00684173" w:rsidRPr="005D49F9">
                <w:rPr>
                  <w:rStyle w:val="Hyperlink"/>
                  <w:i/>
                  <w:iCs/>
                  <w:spacing w:val="-2"/>
                </w:rPr>
                <w:t>C25/105</w:t>
              </w:r>
            </w:hyperlink>
            <w:r w:rsidR="00684173" w:rsidRPr="005D49F9">
              <w:rPr>
                <w:rFonts w:hint="cs"/>
                <w:spacing w:val="-2"/>
                <w:rtl/>
              </w:rPr>
              <w:t xml:space="preserve"> </w:t>
            </w:r>
            <w:r w:rsidRPr="005D49F9">
              <w:rPr>
                <w:i/>
                <w:iCs/>
                <w:spacing w:val="-2"/>
                <w:rtl/>
              </w:rPr>
              <w:t>و</w:t>
            </w:r>
            <w:hyperlink r:id="rId20" w:history="1">
              <w:r w:rsidR="00684173" w:rsidRPr="005D49F9">
                <w:rPr>
                  <w:rStyle w:val="Hyperlink"/>
                  <w:i/>
                  <w:iCs/>
                  <w:spacing w:val="-2"/>
                </w:rPr>
                <w:t>C24/109</w:t>
              </w:r>
            </w:hyperlink>
            <w:r w:rsidR="00684173" w:rsidRPr="005D49F9">
              <w:rPr>
                <w:rFonts w:hint="cs"/>
                <w:spacing w:val="-2"/>
                <w:rtl/>
              </w:rPr>
              <w:t xml:space="preserve"> </w:t>
            </w:r>
            <w:r w:rsidRPr="005D49F9">
              <w:rPr>
                <w:i/>
                <w:iCs/>
                <w:spacing w:val="-2"/>
                <w:rtl/>
              </w:rPr>
              <w:t>و</w:t>
            </w:r>
            <w:hyperlink r:id="rId21" w:history="1">
              <w:r w:rsidR="00684173" w:rsidRPr="005D49F9">
                <w:rPr>
                  <w:rStyle w:val="Hyperlink"/>
                  <w:i/>
                  <w:iCs/>
                  <w:spacing w:val="-2"/>
                </w:rPr>
                <w:t>C23/104</w:t>
              </w:r>
            </w:hyperlink>
            <w:r w:rsidRPr="005D49F9">
              <w:rPr>
                <w:i/>
                <w:iCs/>
                <w:spacing w:val="-2"/>
                <w:rtl/>
              </w:rPr>
              <w:t xml:space="preserve">؛ ملخص اجتماعات فريق العمل التابع </w:t>
            </w:r>
            <w:r w:rsidR="00F504E6">
              <w:rPr>
                <w:rFonts w:hint="cs"/>
                <w:i/>
                <w:iCs/>
                <w:spacing w:val="-2"/>
                <w:rtl/>
              </w:rPr>
              <w:t>للمجلس</w:t>
            </w:r>
            <w:r w:rsidRPr="005D49F9">
              <w:rPr>
                <w:i/>
                <w:iCs/>
                <w:spacing w:val="-2"/>
                <w:rtl/>
              </w:rPr>
              <w:t xml:space="preserve"> والمعني بالموارد المالية والبشرية</w:t>
            </w:r>
            <w:r w:rsidR="00684173" w:rsidRPr="005D49F9">
              <w:rPr>
                <w:rFonts w:hint="cs"/>
                <w:i/>
                <w:iCs/>
                <w:spacing w:val="-2"/>
                <w:rtl/>
              </w:rPr>
              <w:t xml:space="preserve"> </w:t>
            </w:r>
            <w:r w:rsidR="00684173" w:rsidRPr="005D49F9">
              <w:rPr>
                <w:i/>
                <w:iCs/>
                <w:spacing w:val="-2"/>
              </w:rPr>
              <w:t>(CWG-FHR)</w:t>
            </w:r>
            <w:r w:rsidR="001652C5" w:rsidRPr="005D49F9">
              <w:rPr>
                <w:rFonts w:hint="cs"/>
                <w:i/>
                <w:iCs/>
                <w:spacing w:val="-2"/>
                <w:rtl/>
              </w:rPr>
              <w:t xml:space="preserve">: </w:t>
            </w:r>
            <w:hyperlink r:id="rId22" w:history="1">
              <w:r w:rsidR="001652C5" w:rsidRPr="005D49F9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CWG</w:t>
              </w:r>
              <w:r w:rsidR="00F504E6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noBreakHyphen/>
              </w:r>
              <w:r w:rsidR="001652C5" w:rsidRPr="005D49F9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FHR</w:t>
              </w:r>
              <w:r w:rsidR="00F504E6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noBreakHyphen/>
              </w:r>
              <w:r w:rsidR="001652C5" w:rsidRPr="005D49F9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22/36</w:t>
              </w:r>
            </w:hyperlink>
            <w:r w:rsidRPr="005D49F9">
              <w:rPr>
                <w:i/>
                <w:iCs/>
                <w:spacing w:val="-2"/>
                <w:rtl/>
              </w:rPr>
              <w:t xml:space="preserve">، </w:t>
            </w:r>
            <w:hyperlink r:id="rId23" w:history="1">
              <w:r w:rsidR="001652C5" w:rsidRPr="005D49F9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CWG-FHR-21/25</w:t>
              </w:r>
            </w:hyperlink>
            <w:r w:rsidRPr="005D49F9">
              <w:rPr>
                <w:i/>
                <w:iCs/>
                <w:spacing w:val="-2"/>
                <w:rtl/>
              </w:rPr>
              <w:t xml:space="preserve">، </w:t>
            </w:r>
            <w:hyperlink r:id="rId24" w:history="1">
              <w:r w:rsidR="001652C5" w:rsidRPr="005D49F9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CWG-FHR-20/32</w:t>
              </w:r>
            </w:hyperlink>
            <w:r w:rsidRPr="005D49F9">
              <w:rPr>
                <w:i/>
                <w:iCs/>
                <w:spacing w:val="-2"/>
                <w:rtl/>
              </w:rPr>
              <w:t xml:space="preserve">، </w:t>
            </w:r>
            <w:hyperlink r:id="rId25" w:history="1">
              <w:r w:rsidR="001652C5" w:rsidRPr="005D49F9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CWG-FHR-19/15</w:t>
              </w:r>
            </w:hyperlink>
            <w:r w:rsidRPr="005D49F9">
              <w:rPr>
                <w:i/>
                <w:iCs/>
                <w:spacing w:val="-2"/>
                <w:rtl/>
              </w:rPr>
              <w:t xml:space="preserve">، </w:t>
            </w:r>
            <w:hyperlink r:id="rId26" w:history="1">
              <w:r w:rsidR="001652C5" w:rsidRPr="005D49F9">
                <w:rPr>
                  <w:rStyle w:val="Hyperlink"/>
                  <w:i/>
                  <w:iCs/>
                  <w:noProof w:val="0"/>
                  <w:spacing w:val="-2"/>
                  <w:lang w:eastAsia="zh-CN"/>
                </w:rPr>
                <w:t>CWG-FHR-17/24</w:t>
              </w:r>
            </w:hyperlink>
          </w:p>
        </w:tc>
      </w:tr>
    </w:tbl>
    <w:p w14:paraId="3006EDCB" w14:textId="77777777" w:rsidR="00E61BE8" w:rsidRDefault="00E61BE8" w:rsidP="00E61BE8">
      <w:pPr>
        <w:rPr>
          <w:rtl/>
          <w:lang w:bidi="ar-EG"/>
        </w:rPr>
      </w:pPr>
    </w:p>
    <w:p w14:paraId="14DD63D5" w14:textId="77777777" w:rsidR="00F50E3F" w:rsidRDefault="00F50E3F" w:rsidP="0043260A">
      <w:pPr>
        <w:rPr>
          <w:rtl/>
          <w:lang w:bidi="ar-EG"/>
        </w:rPr>
      </w:pPr>
      <w:r>
        <w:rPr>
          <w:rtl/>
          <w:lang w:bidi="ar-EG"/>
        </w:rPr>
        <w:br w:type="page"/>
      </w:r>
    </w:p>
    <w:p w14:paraId="75E4A1A0" w14:textId="4CD0DD14" w:rsidR="009975CD" w:rsidRPr="009975CD" w:rsidRDefault="005D49F9" w:rsidP="005D49F9">
      <w:pPr>
        <w:pStyle w:val="Heading1"/>
        <w:rPr>
          <w:rtl/>
        </w:rPr>
      </w:pPr>
      <w:r>
        <w:lastRenderedPageBreak/>
        <w:t>1</w:t>
      </w:r>
      <w:r w:rsidR="009975CD" w:rsidRPr="009975CD">
        <w:rPr>
          <w:rtl/>
        </w:rPr>
        <w:tab/>
      </w:r>
      <w:r w:rsidR="009975CD" w:rsidRPr="009975CD">
        <w:rPr>
          <w:rFonts w:hint="eastAsia"/>
          <w:rtl/>
        </w:rPr>
        <w:t>معلومات</w:t>
      </w:r>
      <w:r w:rsidR="009975CD" w:rsidRPr="009975CD">
        <w:rPr>
          <w:rtl/>
        </w:rPr>
        <w:t xml:space="preserve"> </w:t>
      </w:r>
      <w:r w:rsidR="009975CD" w:rsidRPr="009975CD">
        <w:rPr>
          <w:rFonts w:hint="eastAsia"/>
          <w:rtl/>
        </w:rPr>
        <w:t>أساسية</w:t>
      </w:r>
    </w:p>
    <w:p w14:paraId="5F197B39" w14:textId="4989196A" w:rsidR="009975CD" w:rsidRPr="009975CD" w:rsidRDefault="009975CD" w:rsidP="005D49F9">
      <w:pPr>
        <w:rPr>
          <w:spacing w:val="-2"/>
          <w:rtl/>
        </w:rPr>
      </w:pPr>
      <w:r w:rsidRPr="009975CD">
        <w:rPr>
          <w:rFonts w:hint="eastAsia"/>
          <w:spacing w:val="-2"/>
          <w:rtl/>
        </w:rPr>
        <w:t>يواجه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الاتحاد،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بوصفه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وكالة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متخصصة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تابعة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للأمم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المتحدة،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قيوداً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مالية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صارمة</w:t>
      </w:r>
      <w:r w:rsidRPr="009975CD">
        <w:rPr>
          <w:spacing w:val="-2"/>
          <w:rtl/>
        </w:rPr>
        <w:t xml:space="preserve">. </w:t>
      </w:r>
      <w:r w:rsidRPr="009975CD">
        <w:rPr>
          <w:rFonts w:hint="eastAsia"/>
          <w:spacing w:val="-2"/>
          <w:rtl/>
        </w:rPr>
        <w:t>ومع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زيادة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الإنفاق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على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التحول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التنظيمي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والتطوير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المؤسسي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والتوسع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الوظيفي،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واجه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الاتحاد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السنوات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الأخيرة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ضغوطاً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متزايدة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تنفيذ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الميزانية</w:t>
      </w:r>
      <w:r w:rsidRPr="009975CD">
        <w:rPr>
          <w:spacing w:val="-2"/>
          <w:rtl/>
        </w:rPr>
        <w:t xml:space="preserve">. </w:t>
      </w:r>
      <w:r w:rsidRPr="009975CD">
        <w:rPr>
          <w:rFonts w:hint="eastAsia"/>
          <w:spacing w:val="-2"/>
          <w:rtl/>
        </w:rPr>
        <w:t>ووفقاً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لتقرير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الإدارة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المالية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والبيانات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المالية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المراجَعة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للسنة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المالية</w:t>
      </w:r>
      <w:r w:rsidRPr="009975CD">
        <w:rPr>
          <w:spacing w:val="-2"/>
          <w:rtl/>
        </w:rPr>
        <w:t xml:space="preserve"> 2024 (</w:t>
      </w:r>
      <w:hyperlink r:id="rId27" w:history="1">
        <w:r w:rsidR="005D49F9" w:rsidRPr="00B47D0C">
          <w:rPr>
            <w:rStyle w:val="Hyperlink"/>
            <w:noProof w:val="0"/>
            <w:spacing w:val="-2"/>
            <w:lang w:eastAsia="zh-CN"/>
          </w:rPr>
          <w:t>C25/40</w:t>
        </w:r>
      </w:hyperlink>
      <w:r w:rsidRPr="009975CD">
        <w:rPr>
          <w:spacing w:val="-2"/>
          <w:rtl/>
        </w:rPr>
        <w:t>)</w:t>
      </w:r>
      <w:r w:rsidRPr="009975CD">
        <w:rPr>
          <w:rFonts w:hint="eastAsia"/>
          <w:spacing w:val="-2"/>
          <w:rtl/>
        </w:rPr>
        <w:t>،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سجل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الاتحاد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صافي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أصول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سالب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بقيمة</w:t>
      </w:r>
      <w:r w:rsidRPr="009975CD">
        <w:rPr>
          <w:spacing w:val="-2"/>
          <w:rtl/>
        </w:rPr>
        <w:t xml:space="preserve"> 318</w:t>
      </w:r>
      <w:r w:rsidR="005D49F9" w:rsidRPr="00B47D0C">
        <w:rPr>
          <w:rFonts w:hint="cs"/>
          <w:spacing w:val="-2"/>
          <w:rtl/>
        </w:rPr>
        <w:t> </w:t>
      </w:r>
      <w:r w:rsidRPr="009975CD">
        <w:rPr>
          <w:rFonts w:hint="eastAsia"/>
          <w:spacing w:val="-2"/>
          <w:rtl/>
        </w:rPr>
        <w:t>مليون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فرنك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سويسري،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بزيادة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قدرها</w:t>
      </w:r>
      <w:r w:rsidRPr="009975CD">
        <w:rPr>
          <w:spacing w:val="-2"/>
          <w:rtl/>
        </w:rPr>
        <w:t xml:space="preserve"> 60,6 </w:t>
      </w:r>
      <w:r w:rsidRPr="009975CD">
        <w:rPr>
          <w:rFonts w:hint="eastAsia"/>
          <w:spacing w:val="-2"/>
          <w:rtl/>
        </w:rPr>
        <w:t>مليون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فرنك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سويسري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العجز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عن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عام</w:t>
      </w:r>
      <w:r w:rsidRPr="009975CD">
        <w:rPr>
          <w:spacing w:val="-2"/>
          <w:rtl/>
        </w:rPr>
        <w:t xml:space="preserve"> 2023. </w:t>
      </w:r>
      <w:r w:rsidRPr="009975CD">
        <w:rPr>
          <w:rFonts w:hint="eastAsia"/>
          <w:spacing w:val="-2"/>
          <w:rtl/>
        </w:rPr>
        <w:t>وفي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عام</w:t>
      </w:r>
      <w:r w:rsidRPr="009975CD">
        <w:rPr>
          <w:spacing w:val="-2"/>
          <w:rtl/>
        </w:rPr>
        <w:t xml:space="preserve"> 2025</w:t>
      </w:r>
      <w:r w:rsidRPr="009975CD">
        <w:rPr>
          <w:rFonts w:hint="eastAsia"/>
          <w:spacing w:val="-2"/>
          <w:rtl/>
        </w:rPr>
        <w:t>،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سجل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الاتحاد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فائضاً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الميزانية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قدره</w:t>
      </w:r>
      <w:r w:rsidRPr="009975CD">
        <w:rPr>
          <w:spacing w:val="-2"/>
          <w:rtl/>
        </w:rPr>
        <w:t xml:space="preserve"> 10,8 </w:t>
      </w:r>
      <w:r w:rsidRPr="009975CD">
        <w:rPr>
          <w:rFonts w:hint="eastAsia"/>
          <w:spacing w:val="-2"/>
          <w:rtl/>
        </w:rPr>
        <w:t>مليون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فرنك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سويسري</w:t>
      </w:r>
      <w:r w:rsidRPr="009975CD">
        <w:rPr>
          <w:spacing w:val="-2"/>
          <w:rtl/>
        </w:rPr>
        <w:t xml:space="preserve">. </w:t>
      </w:r>
      <w:r w:rsidRPr="009975CD">
        <w:rPr>
          <w:rFonts w:hint="eastAsia"/>
          <w:spacing w:val="-2"/>
          <w:rtl/>
        </w:rPr>
        <w:t>ومع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ذلك،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سلط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تقرير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الأمينة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العامة</w:t>
      </w:r>
      <w:r w:rsidR="005D49F9" w:rsidRPr="00B47D0C">
        <w:rPr>
          <w:rFonts w:hint="cs"/>
          <w:spacing w:val="-2"/>
          <w:rtl/>
          <w:lang w:bidi="ar-EG"/>
        </w:rPr>
        <w:t xml:space="preserve"> </w:t>
      </w:r>
      <w:r w:rsidR="005D49F9" w:rsidRPr="00B47D0C">
        <w:rPr>
          <w:spacing w:val="-2"/>
          <w:lang w:bidi="ar-EG"/>
        </w:rPr>
        <w:t>(</w:t>
      </w:r>
      <w:hyperlink r:id="rId28" w:history="1">
        <w:r w:rsidR="005D49F9" w:rsidRPr="00B47D0C">
          <w:rPr>
            <w:rStyle w:val="Hyperlink"/>
            <w:spacing w:val="-2"/>
          </w:rPr>
          <w:t>C26/42</w:t>
        </w:r>
      </w:hyperlink>
      <w:r w:rsidR="005D49F9" w:rsidRPr="00B47D0C">
        <w:rPr>
          <w:spacing w:val="-2"/>
        </w:rPr>
        <w:t>)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وتقرير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اللجنة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الاستشارية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المستقلة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للإدارة</w:t>
      </w:r>
      <w:r w:rsidRPr="009975CD">
        <w:rPr>
          <w:spacing w:val="-2"/>
          <w:rtl/>
        </w:rPr>
        <w:t xml:space="preserve"> </w:t>
      </w:r>
      <w:r w:rsidRPr="009975CD">
        <w:rPr>
          <w:spacing w:val="-2"/>
          <w:lang w:bidi="ar-EG"/>
        </w:rPr>
        <w:t>(IMAC)</w:t>
      </w:r>
      <w:r w:rsidRPr="009975CD">
        <w:rPr>
          <w:spacing w:val="-2"/>
          <w:rtl/>
        </w:rPr>
        <w:t xml:space="preserve"> (</w:t>
      </w:r>
      <w:r w:rsidRPr="009975CD">
        <w:rPr>
          <w:rFonts w:hint="eastAsia"/>
          <w:spacing w:val="-2"/>
          <w:rtl/>
        </w:rPr>
        <w:t>الوثيقة</w:t>
      </w:r>
      <w:r w:rsidRPr="009975CD">
        <w:rPr>
          <w:spacing w:val="-2"/>
          <w:rtl/>
        </w:rPr>
        <w:t xml:space="preserve"> </w:t>
      </w:r>
      <w:hyperlink r:id="rId29" w:history="1">
        <w:r w:rsidR="005D49F9" w:rsidRPr="00B47D0C">
          <w:rPr>
            <w:rStyle w:val="Hyperlink"/>
            <w:noProof w:val="0"/>
            <w:spacing w:val="-2"/>
            <w:lang w:eastAsia="zh-CN"/>
          </w:rPr>
          <w:t>C26/22</w:t>
        </w:r>
      </w:hyperlink>
      <w:r w:rsidRPr="009975CD">
        <w:rPr>
          <w:spacing w:val="-2"/>
          <w:rtl/>
        </w:rPr>
        <w:t xml:space="preserve">) </w:t>
      </w:r>
      <w:r w:rsidRPr="009975CD">
        <w:rPr>
          <w:rFonts w:hint="eastAsia"/>
          <w:spacing w:val="-2"/>
          <w:rtl/>
        </w:rPr>
        <w:t>الضوء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على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أن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هذه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النتيجة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كانت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مدفوعة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المقام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الأول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بتأخير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التعيين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وتأجيل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التنفيذ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بدلاً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من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المكاسب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المتحققة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الكفاءة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الهيكلية،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كما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أنها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لا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تمثل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تخفيضات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هيكلية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نفقات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خط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الأساس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الجارية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للاتحاد</w:t>
      </w:r>
      <w:r w:rsidRPr="009975CD">
        <w:rPr>
          <w:spacing w:val="-2"/>
          <w:rtl/>
        </w:rPr>
        <w:t xml:space="preserve">. </w:t>
      </w:r>
      <w:r w:rsidRPr="009975CD">
        <w:rPr>
          <w:rFonts w:hint="eastAsia"/>
          <w:spacing w:val="-2"/>
          <w:rtl/>
        </w:rPr>
        <w:t>وبالإضافة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إلى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ذلك،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يبدي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الاتحاد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حالياً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اعتماداً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كبيراً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على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خدمات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الاستعانة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بمصادر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خارجية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في</w:t>
      </w:r>
      <w:r w:rsidR="00B47D0C">
        <w:rPr>
          <w:rFonts w:hint="cs"/>
          <w:spacing w:val="-2"/>
          <w:rtl/>
        </w:rPr>
        <w:t> </w:t>
      </w:r>
      <w:r w:rsidRPr="009975CD">
        <w:rPr>
          <w:rFonts w:hint="eastAsia"/>
          <w:spacing w:val="-2"/>
          <w:rtl/>
        </w:rPr>
        <w:t>مجالات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حرجة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مثل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الاستراتيجية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والمالية</w:t>
      </w:r>
      <w:r w:rsidRPr="009975CD">
        <w:rPr>
          <w:spacing w:val="-2"/>
          <w:rtl/>
        </w:rPr>
        <w:t xml:space="preserve"> (</w:t>
      </w:r>
      <w:r w:rsidRPr="009975CD">
        <w:rPr>
          <w:rFonts w:hint="eastAsia"/>
          <w:spacing w:val="-2"/>
          <w:rtl/>
        </w:rPr>
        <w:t>على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سبيل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المثال،</w:t>
      </w:r>
      <w:r w:rsidRPr="009975CD">
        <w:rPr>
          <w:spacing w:val="-2"/>
          <w:rtl/>
        </w:rPr>
        <w:t xml:space="preserve"> </w:t>
      </w:r>
      <w:r w:rsidR="005D49F9" w:rsidRPr="00B47D0C">
        <w:rPr>
          <w:spacing w:val="-2"/>
        </w:rPr>
        <w:t>480 000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فرنك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سويسري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عام</w:t>
      </w:r>
      <w:r w:rsidRPr="009975CD">
        <w:rPr>
          <w:spacing w:val="-2"/>
          <w:rtl/>
        </w:rPr>
        <w:t xml:space="preserve"> 2023 </w:t>
      </w:r>
      <w:r w:rsidRPr="009975CD">
        <w:rPr>
          <w:rFonts w:hint="eastAsia"/>
          <w:spacing w:val="-2"/>
          <w:rtl/>
        </w:rPr>
        <w:t>لإشراك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شركة</w:t>
      </w:r>
      <w:r w:rsidR="00A24306">
        <w:rPr>
          <w:rFonts w:hint="cs"/>
          <w:spacing w:val="-2"/>
          <w:rtl/>
        </w:rPr>
        <w:t> </w:t>
      </w:r>
      <w:r w:rsidRPr="009975CD">
        <w:rPr>
          <w:spacing w:val="-2"/>
          <w:rtl/>
        </w:rPr>
        <w:t xml:space="preserve">Ernst &amp; Young </w:t>
      </w:r>
      <w:r w:rsidRPr="009975CD">
        <w:rPr>
          <w:rFonts w:hint="eastAsia"/>
          <w:spacing w:val="-2"/>
          <w:rtl/>
        </w:rPr>
        <w:t>في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البيانات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المالية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المتوافقة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مع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المعايير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المحاسبية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الدولية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للقطاع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العام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</w:t>
      </w:r>
      <w:r w:rsidR="005D49F9" w:rsidRPr="00B47D0C">
        <w:rPr>
          <w:spacing w:val="-2"/>
        </w:rPr>
        <w:t>230 000</w:t>
      </w:r>
      <w:r w:rsidR="005D49F9" w:rsidRPr="00B47D0C">
        <w:rPr>
          <w:rFonts w:hint="cs"/>
          <w:spacing w:val="-2"/>
          <w:rtl/>
        </w:rPr>
        <w:t> </w:t>
      </w:r>
      <w:r w:rsidRPr="009975CD">
        <w:rPr>
          <w:rFonts w:hint="eastAsia"/>
          <w:spacing w:val="-2"/>
          <w:rtl/>
        </w:rPr>
        <w:t>فرنك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سويسري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في</w:t>
      </w:r>
      <w:r w:rsidR="00B47D0C">
        <w:rPr>
          <w:rFonts w:hint="cs"/>
          <w:spacing w:val="-2"/>
          <w:rtl/>
        </w:rPr>
        <w:t> </w:t>
      </w:r>
      <w:r w:rsidRPr="009975CD">
        <w:rPr>
          <w:rFonts w:hint="eastAsia"/>
          <w:spacing w:val="-2"/>
          <w:rtl/>
        </w:rPr>
        <w:t>عام</w:t>
      </w:r>
      <w:r w:rsidRPr="009975CD">
        <w:rPr>
          <w:spacing w:val="-2"/>
          <w:rtl/>
        </w:rPr>
        <w:t xml:space="preserve"> 2024 </w:t>
      </w:r>
      <w:r w:rsidRPr="009975CD">
        <w:rPr>
          <w:rFonts w:hint="eastAsia"/>
          <w:spacing w:val="-2"/>
          <w:rtl/>
        </w:rPr>
        <w:t>لتكليف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فريق</w:t>
      </w:r>
      <w:r w:rsidRPr="009975CD">
        <w:rPr>
          <w:spacing w:val="-2"/>
          <w:rtl/>
        </w:rPr>
        <w:t xml:space="preserve"> </w:t>
      </w:r>
      <w:r w:rsidRPr="009975CD">
        <w:rPr>
          <w:spacing w:val="-2"/>
          <w:lang w:bidi="ar-EG"/>
        </w:rPr>
        <w:t>Dalberg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بتقييم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الهيكل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التنظيمي</w:t>
      </w:r>
      <w:r w:rsidRPr="009975CD">
        <w:rPr>
          <w:spacing w:val="-2"/>
          <w:rtl/>
        </w:rPr>
        <w:t xml:space="preserve">). </w:t>
      </w:r>
      <w:r w:rsidRPr="009975CD">
        <w:rPr>
          <w:rFonts w:hint="eastAsia"/>
          <w:spacing w:val="-2"/>
          <w:rtl/>
        </w:rPr>
        <w:t>وعلاوة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على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ذلك،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لا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تتوفر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المعلومات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الكافية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عن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الآثار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المترتبة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على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الميزانية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ومستويات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التوظيف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المتصلة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بنفقات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اتفاقات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الخدمة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الخاصة</w:t>
      </w:r>
      <w:r w:rsidRPr="009975CD">
        <w:rPr>
          <w:spacing w:val="-2"/>
          <w:rtl/>
        </w:rPr>
        <w:t xml:space="preserve"> </w:t>
      </w:r>
      <w:r w:rsidRPr="009975CD">
        <w:rPr>
          <w:spacing w:val="-2"/>
          <w:lang w:bidi="ar-EG"/>
        </w:rPr>
        <w:t>(SSA)</w:t>
      </w:r>
      <w:r w:rsidRPr="009975CD">
        <w:rPr>
          <w:spacing w:val="-2"/>
          <w:rtl/>
        </w:rPr>
        <w:t>.</w:t>
      </w:r>
    </w:p>
    <w:p w14:paraId="6F991C89" w14:textId="0C53FD67" w:rsidR="009975CD" w:rsidRPr="009975CD" w:rsidRDefault="009975CD" w:rsidP="009975CD">
      <w:pPr>
        <w:rPr>
          <w:rtl/>
        </w:rPr>
      </w:pPr>
      <w:r w:rsidRPr="009975CD">
        <w:rPr>
          <w:rFonts w:hint="eastAsia"/>
          <w:rtl/>
        </w:rPr>
        <w:t>وقد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حددت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النصوص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الأساسية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الحالية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للاتحاد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متطلبات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أجل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تعزيز</w:t>
      </w:r>
      <w:r w:rsidRPr="009975CD">
        <w:rPr>
          <w:rtl/>
        </w:rPr>
        <w:t xml:space="preserve"> </w:t>
      </w:r>
      <w:r w:rsidR="00F504E6" w:rsidRPr="009975CD">
        <w:rPr>
          <w:rFonts w:hint="eastAsia"/>
          <w:rtl/>
        </w:rPr>
        <w:t>شفافية</w:t>
      </w:r>
      <w:r w:rsidR="00F504E6" w:rsidRPr="009975CD">
        <w:rPr>
          <w:rtl/>
        </w:rPr>
        <w:t xml:space="preserve"> </w:t>
      </w:r>
      <w:r w:rsidRPr="009975CD">
        <w:rPr>
          <w:rFonts w:hint="eastAsia"/>
          <w:rtl/>
        </w:rPr>
        <w:t>الإدارة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المالية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وتحسين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كفاءة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استخدام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الموارد</w:t>
      </w:r>
      <w:r w:rsidRPr="009975CD">
        <w:rPr>
          <w:rtl/>
        </w:rPr>
        <w:t xml:space="preserve">. </w:t>
      </w:r>
      <w:r w:rsidRPr="009975CD">
        <w:rPr>
          <w:rFonts w:hint="eastAsia"/>
          <w:rtl/>
        </w:rPr>
        <w:t>فوفقاً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للقرار</w:t>
      </w:r>
      <w:r w:rsidRPr="009975CD">
        <w:rPr>
          <w:rtl/>
        </w:rPr>
        <w:t xml:space="preserve"> 151 (</w:t>
      </w:r>
      <w:r w:rsidRPr="009975CD">
        <w:rPr>
          <w:rFonts w:hint="eastAsia"/>
          <w:rtl/>
        </w:rPr>
        <w:t>المراج</w:t>
      </w:r>
      <w:r w:rsidR="00B47D0C">
        <w:rPr>
          <w:rFonts w:hint="cs"/>
          <w:rtl/>
        </w:rPr>
        <w:t>َ</w:t>
      </w:r>
      <w:r w:rsidRPr="009975CD">
        <w:rPr>
          <w:rFonts w:hint="eastAsia"/>
          <w:rtl/>
        </w:rPr>
        <w:t>ع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في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بوخارست،</w:t>
      </w:r>
      <w:r w:rsidRPr="009975CD">
        <w:rPr>
          <w:rtl/>
        </w:rPr>
        <w:t xml:space="preserve"> 2022) </w:t>
      </w:r>
      <w:r w:rsidRPr="009975CD">
        <w:rPr>
          <w:rFonts w:hint="eastAsia"/>
          <w:rtl/>
        </w:rPr>
        <w:t>لمؤتمر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المندوبين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المفوضين،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ينبغي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يواصل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الأمين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العام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ومديرو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المكاتب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الثلاثة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وضع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إطار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شامل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لنتائج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الاتحاد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أجل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دعم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تنفيذ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الخطط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الاستراتيجية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والمالية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والتشغيلية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والميزانية،</w:t>
      </w:r>
      <w:r w:rsidRPr="009975CD">
        <w:rPr>
          <w:rtl/>
        </w:rPr>
        <w:t xml:space="preserve"> "</w:t>
      </w:r>
      <w:r w:rsidRPr="009975CD">
        <w:rPr>
          <w:rFonts w:hint="eastAsia"/>
          <w:rtl/>
        </w:rPr>
        <w:t>تحديد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أنشطة</w:t>
      </w:r>
      <w:r w:rsidRPr="009975CD">
        <w:rPr>
          <w:rtl/>
        </w:rPr>
        <w:t xml:space="preserve"> </w:t>
      </w:r>
      <w:r w:rsidR="00B47D0C" w:rsidRPr="009975CD">
        <w:rPr>
          <w:rFonts w:hint="cs"/>
          <w:rtl/>
        </w:rPr>
        <w:t>الاتحاد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وأهداف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تلك</w:t>
      </w:r>
      <w:r w:rsidRPr="009975CD">
        <w:rPr>
          <w:rtl/>
        </w:rPr>
        <w:t xml:space="preserve"> </w:t>
      </w:r>
      <w:r w:rsidR="00B47D0C" w:rsidRPr="009975CD">
        <w:rPr>
          <w:rFonts w:hint="cs"/>
          <w:rtl/>
        </w:rPr>
        <w:t>الأنشطة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والموارد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والنتائج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ذات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الصلة</w:t>
      </w:r>
      <w:r w:rsidRPr="009975CD">
        <w:rPr>
          <w:rtl/>
        </w:rPr>
        <w:t>"</w:t>
      </w:r>
      <w:r w:rsidRPr="009975CD">
        <w:rPr>
          <w:rFonts w:hint="eastAsia"/>
          <w:rtl/>
        </w:rPr>
        <w:t>،</w:t>
      </w:r>
      <w:r w:rsidRPr="009975CD">
        <w:rPr>
          <w:rtl/>
        </w:rPr>
        <w:t xml:space="preserve"> "</w:t>
      </w:r>
      <w:r w:rsidRPr="009975CD">
        <w:rPr>
          <w:rFonts w:hint="eastAsia"/>
          <w:rtl/>
        </w:rPr>
        <w:t>ضمان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شفافية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التقارير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بنشر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المعلومات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التفصيلية،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بما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في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ذلك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المعلومات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المتعلقة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بجميع</w:t>
      </w:r>
      <w:r w:rsidR="00B47D0C">
        <w:rPr>
          <w:rFonts w:hint="cs"/>
          <w:rtl/>
        </w:rPr>
        <w:t xml:space="preserve"> </w:t>
      </w:r>
      <w:r w:rsidRPr="009975CD">
        <w:rPr>
          <w:rFonts w:hint="eastAsia"/>
          <w:rtl/>
        </w:rPr>
        <w:t>التكاليف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المتحملة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جراء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استخدام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أو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نشر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الموارد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المالية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والبشرية</w:t>
      </w:r>
      <w:r w:rsidRPr="009975CD">
        <w:rPr>
          <w:rtl/>
        </w:rPr>
        <w:t xml:space="preserve"> (</w:t>
      </w:r>
      <w:r w:rsidRPr="009975CD">
        <w:rPr>
          <w:rFonts w:hint="eastAsia"/>
          <w:rtl/>
        </w:rPr>
        <w:t>الخارجية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أو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الداخلية</w:t>
      </w:r>
      <w:r w:rsidRPr="009975CD">
        <w:rPr>
          <w:rtl/>
        </w:rPr>
        <w:t xml:space="preserve">)." </w:t>
      </w:r>
      <w:r w:rsidRPr="009975CD">
        <w:rPr>
          <w:rFonts w:hint="eastAsia"/>
          <w:rtl/>
        </w:rPr>
        <w:t>ويكلف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القرار</w:t>
      </w:r>
      <w:r w:rsidRPr="009975CD">
        <w:rPr>
          <w:rtl/>
        </w:rPr>
        <w:t xml:space="preserve"> 158 (</w:t>
      </w:r>
      <w:r w:rsidRPr="009975CD">
        <w:rPr>
          <w:rFonts w:hint="eastAsia"/>
          <w:rtl/>
        </w:rPr>
        <w:t>المراج</w:t>
      </w:r>
      <w:r w:rsidR="00B47D0C">
        <w:rPr>
          <w:rFonts w:hint="cs"/>
          <w:rtl/>
        </w:rPr>
        <w:t>َ</w:t>
      </w:r>
      <w:r w:rsidRPr="009975CD">
        <w:rPr>
          <w:rFonts w:hint="eastAsia"/>
          <w:rtl/>
        </w:rPr>
        <w:t>ع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في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بوسان،</w:t>
      </w:r>
      <w:r w:rsidRPr="009975CD">
        <w:rPr>
          <w:rtl/>
        </w:rPr>
        <w:t xml:space="preserve"> 2014) </w:t>
      </w:r>
      <w:r w:rsidRPr="009975CD">
        <w:rPr>
          <w:rFonts w:hint="eastAsia"/>
          <w:rtl/>
        </w:rPr>
        <w:t>لمؤتمر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المندوبين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المفوضين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المجلس</w:t>
      </w:r>
      <w:r w:rsidRPr="009975CD">
        <w:rPr>
          <w:rtl/>
        </w:rPr>
        <w:t xml:space="preserve"> "</w:t>
      </w:r>
      <w:r w:rsidRPr="009975CD">
        <w:rPr>
          <w:rFonts w:hint="eastAsia"/>
          <w:rtl/>
        </w:rPr>
        <w:t>بدراسة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إمكانية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إنشاء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آليات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تكفل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تحقيق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استقرار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مالي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أكبر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للاتحاد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ووضع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توصيات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في</w:t>
      </w:r>
      <w:r w:rsidR="00B47D0C">
        <w:rPr>
          <w:rFonts w:hint="cs"/>
          <w:rtl/>
        </w:rPr>
        <w:t> </w:t>
      </w:r>
      <w:r w:rsidRPr="009975CD">
        <w:rPr>
          <w:rFonts w:hint="eastAsia"/>
          <w:rtl/>
        </w:rPr>
        <w:t>هذا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الصدد</w:t>
      </w:r>
      <w:r w:rsidRPr="009975CD">
        <w:rPr>
          <w:rtl/>
        </w:rPr>
        <w:t>".</w:t>
      </w:r>
    </w:p>
    <w:p w14:paraId="5FE8A403" w14:textId="32C0493D" w:rsidR="009975CD" w:rsidRPr="009975CD" w:rsidRDefault="009975CD" w:rsidP="00623759">
      <w:pPr>
        <w:rPr>
          <w:spacing w:val="-2"/>
          <w:rtl/>
        </w:rPr>
      </w:pPr>
      <w:r w:rsidRPr="009975CD">
        <w:rPr>
          <w:rFonts w:hint="eastAsia"/>
          <w:spacing w:val="-2"/>
          <w:rtl/>
        </w:rPr>
        <w:t>وتعطي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الدول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الأعضاء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الأولوية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للشفافية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الإدارة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المالية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وتدعو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إلى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مواصلة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تحسين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الكفاءة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المالية</w:t>
      </w:r>
      <w:r w:rsidRPr="009975CD">
        <w:rPr>
          <w:spacing w:val="-2"/>
          <w:rtl/>
        </w:rPr>
        <w:t xml:space="preserve">. </w:t>
      </w:r>
      <w:r w:rsidRPr="009975CD">
        <w:rPr>
          <w:rFonts w:hint="eastAsia"/>
          <w:spacing w:val="-2"/>
          <w:rtl/>
        </w:rPr>
        <w:t>ومنذ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عام</w:t>
      </w:r>
      <w:r w:rsidRPr="009975CD">
        <w:rPr>
          <w:spacing w:val="-2"/>
          <w:rtl/>
        </w:rPr>
        <w:t xml:space="preserve"> 2023</w:t>
      </w:r>
      <w:r w:rsidRPr="009975CD">
        <w:rPr>
          <w:rFonts w:hint="eastAsia"/>
          <w:spacing w:val="-2"/>
          <w:rtl/>
        </w:rPr>
        <w:t>،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أجرى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المجلس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وفريق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العمل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التابع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له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والمعني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بالموارد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المالية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والبشرية</w:t>
      </w:r>
      <w:r w:rsidRPr="009975CD">
        <w:rPr>
          <w:spacing w:val="-2"/>
          <w:rtl/>
        </w:rPr>
        <w:t xml:space="preserve"> </w:t>
      </w:r>
      <w:r w:rsidRPr="009975CD">
        <w:rPr>
          <w:spacing w:val="-2"/>
          <w:lang w:bidi="ar-EG"/>
        </w:rPr>
        <w:t>(CWG-FHR)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مناقشات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مستفيضة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بشأن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هذه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المسألة،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وتوصلا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إلى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اتفاق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واسع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النطاق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على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تركيز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موارد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الاتحاد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المحدودة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على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الولايات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الأساسية</w:t>
      </w:r>
      <w:r w:rsidRPr="009975CD">
        <w:rPr>
          <w:spacing w:val="-2"/>
          <w:rtl/>
        </w:rPr>
        <w:t xml:space="preserve">. </w:t>
      </w:r>
      <w:r w:rsidRPr="009975CD">
        <w:rPr>
          <w:rFonts w:hint="eastAsia"/>
          <w:spacing w:val="-2"/>
          <w:rtl/>
        </w:rPr>
        <w:t>ومنذ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ذلك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الحين،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أطلقت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الإدارة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مبادرة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تحول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الإدارة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المالية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لتحسين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مواءمة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التخطيط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الاستراتيجي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والمالي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والتشغيلي</w:t>
      </w:r>
      <w:r w:rsidRPr="009975CD">
        <w:rPr>
          <w:spacing w:val="-2"/>
          <w:rtl/>
        </w:rPr>
        <w:t xml:space="preserve">. </w:t>
      </w:r>
      <w:r w:rsidRPr="009975CD">
        <w:rPr>
          <w:rFonts w:hint="eastAsia"/>
          <w:spacing w:val="-2"/>
          <w:rtl/>
        </w:rPr>
        <w:t>ومع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ذلك،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مع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قيام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الاتحاد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بإعادة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هيكلة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نطاق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عمله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وتوسيعه،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تحتاج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الدول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الأعضاء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إلى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مزيد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من</w:t>
      </w:r>
      <w:r w:rsidRPr="009975CD">
        <w:rPr>
          <w:spacing w:val="-2"/>
          <w:rtl/>
        </w:rPr>
        <w:t xml:space="preserve"> </w:t>
      </w:r>
      <w:r w:rsidRPr="00623759">
        <w:rPr>
          <w:rFonts w:hint="eastAsia"/>
          <w:spacing w:val="-2"/>
          <w:rtl/>
        </w:rPr>
        <w:t>الوضوح</w:t>
      </w:r>
      <w:r w:rsidRPr="00623759">
        <w:rPr>
          <w:spacing w:val="-2"/>
          <w:rtl/>
        </w:rPr>
        <w:t xml:space="preserve"> </w:t>
      </w:r>
      <w:r w:rsidRPr="00623759">
        <w:rPr>
          <w:rFonts w:hint="eastAsia"/>
          <w:spacing w:val="-2"/>
          <w:rtl/>
        </w:rPr>
        <w:t>بشأن</w:t>
      </w:r>
      <w:r w:rsidRPr="00623759">
        <w:rPr>
          <w:spacing w:val="-2"/>
          <w:rtl/>
        </w:rPr>
        <w:t xml:space="preserve"> </w:t>
      </w:r>
      <w:r w:rsidRPr="00623759">
        <w:rPr>
          <w:rFonts w:hint="eastAsia"/>
          <w:spacing w:val="-2"/>
          <w:rtl/>
        </w:rPr>
        <w:t>ثلاث</w:t>
      </w:r>
      <w:r w:rsidRPr="00623759">
        <w:rPr>
          <w:spacing w:val="-2"/>
          <w:rtl/>
        </w:rPr>
        <w:t xml:space="preserve"> </w:t>
      </w:r>
      <w:r w:rsidRPr="00623759">
        <w:rPr>
          <w:rFonts w:hint="eastAsia"/>
          <w:spacing w:val="-2"/>
          <w:rtl/>
        </w:rPr>
        <w:t>جبهات</w:t>
      </w:r>
      <w:r w:rsidRPr="00623759">
        <w:rPr>
          <w:spacing w:val="-2"/>
          <w:rtl/>
        </w:rPr>
        <w:t xml:space="preserve"> </w:t>
      </w:r>
      <w:r w:rsidRPr="00623759">
        <w:rPr>
          <w:rFonts w:hint="eastAsia"/>
          <w:spacing w:val="-2"/>
          <w:rtl/>
        </w:rPr>
        <w:t>حاسمة</w:t>
      </w:r>
      <w:r w:rsidRPr="009975CD">
        <w:rPr>
          <w:spacing w:val="-2"/>
          <w:lang w:bidi="ar-EG"/>
        </w:rPr>
        <w:t>:</w:t>
      </w:r>
      <w:r w:rsidR="00623759">
        <w:rPr>
          <w:rFonts w:hint="cs"/>
          <w:spacing w:val="-2"/>
          <w:rtl/>
          <w:lang w:bidi="ar-EG"/>
        </w:rPr>
        <w:t xml:space="preserve"> </w:t>
      </w:r>
      <w:r w:rsidR="00623759" w:rsidRPr="00623759">
        <w:rPr>
          <w:spacing w:val="-2"/>
          <w:rtl/>
        </w:rPr>
        <w:t>ما إذا كانت الأنشطة عالية التأثير مازالت متماشية مع ولاية الاتحاد الأساسية</w:t>
      </w:r>
      <w:r w:rsidR="00623759">
        <w:rPr>
          <w:rFonts w:hint="cs"/>
          <w:spacing w:val="-2"/>
          <w:rtl/>
        </w:rPr>
        <w:t>؛</w:t>
      </w:r>
      <w:r w:rsidRPr="009975CD">
        <w:rPr>
          <w:spacing w:val="-2"/>
          <w:rtl/>
        </w:rPr>
        <w:t xml:space="preserve"> </w:t>
      </w:r>
      <w:r w:rsidR="00623759">
        <w:rPr>
          <w:rFonts w:hint="cs"/>
          <w:spacing w:val="-2"/>
          <w:rtl/>
        </w:rPr>
        <w:t>و</w:t>
      </w:r>
      <w:r w:rsidRPr="009975CD">
        <w:rPr>
          <w:rFonts w:hint="eastAsia"/>
          <w:spacing w:val="-2"/>
          <w:rtl/>
        </w:rPr>
        <w:t>ما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هي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الآثار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المباشرة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أو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غير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المباشرة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للمشاريع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والأنشطة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والاتفاقات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الاستراتيجية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والهامة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مالياً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على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الدول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الأعضاء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وفئات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العضوية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الأخرى؛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وما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إذا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كان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الوضع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المالي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للاتحاد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سيظل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مستداماً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في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ظل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الأطر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الاستراتيجية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والمالية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والتشغيلية</w:t>
      </w:r>
      <w:r w:rsidRPr="009975CD">
        <w:rPr>
          <w:spacing w:val="-2"/>
          <w:rtl/>
        </w:rPr>
        <w:t xml:space="preserve"> </w:t>
      </w:r>
      <w:r w:rsidRPr="009975CD">
        <w:rPr>
          <w:rFonts w:hint="eastAsia"/>
          <w:spacing w:val="-2"/>
          <w:rtl/>
        </w:rPr>
        <w:t>القائمة</w:t>
      </w:r>
      <w:r w:rsidRPr="009975CD">
        <w:rPr>
          <w:spacing w:val="-2"/>
          <w:rtl/>
        </w:rPr>
        <w:t>.</w:t>
      </w:r>
    </w:p>
    <w:p w14:paraId="7AE8E4D2" w14:textId="37D1D06C" w:rsidR="009975CD" w:rsidRPr="009975CD" w:rsidRDefault="009975CD" w:rsidP="00B47D0C">
      <w:pPr>
        <w:pStyle w:val="Heading1"/>
        <w:rPr>
          <w:rtl/>
        </w:rPr>
      </w:pPr>
      <w:r w:rsidRPr="009975CD">
        <w:rPr>
          <w:rtl/>
        </w:rPr>
        <w:t>2</w:t>
      </w:r>
      <w:r w:rsidRPr="009975CD">
        <w:rPr>
          <w:rtl/>
        </w:rPr>
        <w:tab/>
      </w:r>
      <w:r w:rsidRPr="009975CD">
        <w:rPr>
          <w:rFonts w:hint="eastAsia"/>
          <w:rtl/>
        </w:rPr>
        <w:t>المقترح</w:t>
      </w:r>
    </w:p>
    <w:p w14:paraId="539F5568" w14:textId="77777777" w:rsidR="009975CD" w:rsidRPr="009975CD" w:rsidRDefault="009975CD" w:rsidP="009975CD">
      <w:pPr>
        <w:rPr>
          <w:rtl/>
        </w:rPr>
      </w:pPr>
      <w:r w:rsidRPr="009975CD">
        <w:rPr>
          <w:rFonts w:hint="eastAsia"/>
          <w:rtl/>
        </w:rPr>
        <w:t>ينبغي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ألا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تهدف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الإدارة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المالية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للاتحاد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إلى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تخفيف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الضغوط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قصيرة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الأجل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فحسب،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بل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ينبغي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تهدف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أيضاً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إلى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إنشاء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إطار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استشرافي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يعزز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الاستدامة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المالية</w:t>
      </w:r>
      <w:r w:rsidRPr="009975CD">
        <w:rPr>
          <w:rtl/>
        </w:rPr>
        <w:t xml:space="preserve">. </w:t>
      </w:r>
      <w:r w:rsidRPr="009975CD">
        <w:rPr>
          <w:rFonts w:hint="eastAsia"/>
          <w:rtl/>
        </w:rPr>
        <w:t>وبناء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على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ذلك،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نوصي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بأن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تضطلع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الأمينة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العامة،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بالتنسيق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الوثيق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مع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مديري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المكاتب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الثلاثة،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بدعم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الدول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الأعضاء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في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تحسين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رصد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الأداء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المالي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وتوزيع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الموارد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والاستدامة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التشغيلية</w:t>
      </w:r>
      <w:r w:rsidRPr="009975CD">
        <w:rPr>
          <w:rtl/>
        </w:rPr>
        <w:t>.</w:t>
      </w:r>
    </w:p>
    <w:p w14:paraId="229C6035" w14:textId="77777777" w:rsidR="009975CD" w:rsidRPr="009975CD" w:rsidRDefault="009975CD" w:rsidP="00B47D0C">
      <w:pPr>
        <w:pStyle w:val="enumlev1"/>
        <w:rPr>
          <w:rtl/>
        </w:rPr>
      </w:pPr>
      <w:r w:rsidRPr="009975CD">
        <w:rPr>
          <w:rtl/>
        </w:rPr>
        <w:t>(1)</w:t>
      </w:r>
      <w:r w:rsidRPr="009975CD">
        <w:rPr>
          <w:rtl/>
        </w:rPr>
        <w:tab/>
      </w:r>
      <w:r w:rsidRPr="009975CD">
        <w:rPr>
          <w:rFonts w:hint="eastAsia"/>
          <w:rtl/>
        </w:rPr>
        <w:t>تعزيز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مواءمة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الميزانية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مع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الأولويات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الاستراتيجية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لضمان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تخصيص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الموارد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في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جميع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أنحاء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الاتحاد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بناء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على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الحاجة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العاجلة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والأهمية،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مع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توفير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التمويل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الكافي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للوظائف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الأساسية</w:t>
      </w:r>
      <w:r w:rsidRPr="009975CD">
        <w:rPr>
          <w:rtl/>
        </w:rPr>
        <w:t>.</w:t>
      </w:r>
    </w:p>
    <w:p w14:paraId="64239A88" w14:textId="77777777" w:rsidR="009975CD" w:rsidRPr="009975CD" w:rsidRDefault="009975CD" w:rsidP="00B47D0C">
      <w:pPr>
        <w:pStyle w:val="enumlev1"/>
        <w:rPr>
          <w:rtl/>
        </w:rPr>
      </w:pPr>
      <w:r w:rsidRPr="009975CD">
        <w:rPr>
          <w:rtl/>
        </w:rPr>
        <w:t>(2)</w:t>
      </w:r>
      <w:r w:rsidRPr="009975CD">
        <w:rPr>
          <w:rtl/>
        </w:rPr>
        <w:tab/>
      </w:r>
      <w:r w:rsidRPr="009975CD">
        <w:rPr>
          <w:rFonts w:hint="eastAsia"/>
          <w:rtl/>
        </w:rPr>
        <w:t>تعزيز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الشفافية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فيما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يتعلق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بالمشاريع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والأنشطة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والاتفاقات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ذات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التبعات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المالية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أو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الاستراتيجية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الكبيرة</w:t>
      </w:r>
      <w:r w:rsidRPr="009975CD">
        <w:rPr>
          <w:rtl/>
        </w:rPr>
        <w:t xml:space="preserve">. </w:t>
      </w:r>
      <w:r w:rsidRPr="009975CD">
        <w:rPr>
          <w:rFonts w:hint="eastAsia"/>
          <w:rtl/>
        </w:rPr>
        <w:t>وتقوم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الأمانة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والمكاتب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الثلاثة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بتقييم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مواءمتها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مع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الوظائف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الأساسية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والمهام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ذات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الأولوية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للاتحاد،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وتقدم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هذه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التقييمات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كوثائق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مساهمة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لكي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يستعرضها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المجلس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في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دوراته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السنوية</w:t>
      </w:r>
      <w:r w:rsidRPr="009975CD">
        <w:rPr>
          <w:rtl/>
        </w:rPr>
        <w:t>.</w:t>
      </w:r>
    </w:p>
    <w:p w14:paraId="44EC45F9" w14:textId="77777777" w:rsidR="009975CD" w:rsidRPr="009975CD" w:rsidRDefault="009975CD" w:rsidP="00B47D0C">
      <w:pPr>
        <w:pStyle w:val="enumlev1"/>
        <w:rPr>
          <w:rtl/>
        </w:rPr>
      </w:pPr>
      <w:r w:rsidRPr="009975CD">
        <w:rPr>
          <w:rtl/>
        </w:rPr>
        <w:t>(3)</w:t>
      </w:r>
      <w:r w:rsidRPr="009975CD">
        <w:rPr>
          <w:rtl/>
        </w:rPr>
        <w:tab/>
      </w:r>
      <w:r w:rsidRPr="009975CD">
        <w:rPr>
          <w:rFonts w:hint="eastAsia"/>
          <w:rtl/>
        </w:rPr>
        <w:t>ضمان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حصول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الدول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الأعضاء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على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معلومات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مالية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وتقارير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أداء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شاملة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ودقيقة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وفي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الوقت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المناسب</w:t>
      </w:r>
      <w:r w:rsidRPr="009975CD">
        <w:rPr>
          <w:rtl/>
        </w:rPr>
        <w:t xml:space="preserve">. </w:t>
      </w:r>
      <w:r w:rsidRPr="009975CD">
        <w:rPr>
          <w:rFonts w:hint="eastAsia"/>
          <w:rtl/>
        </w:rPr>
        <w:t>يجب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يمتثل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إنشاء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صندوق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أو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احتياطي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جديد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للنصوص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الأساسية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واللوائح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المالية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والقواعد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المالية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للاتحاد،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ويخضع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لموافقة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المجلس</w:t>
      </w:r>
      <w:r w:rsidRPr="009975CD">
        <w:rPr>
          <w:rtl/>
        </w:rPr>
        <w:t>.</w:t>
      </w:r>
    </w:p>
    <w:p w14:paraId="374530E2" w14:textId="793F7D6C" w:rsidR="009975CD" w:rsidRPr="009975CD" w:rsidRDefault="009975CD" w:rsidP="00A24306">
      <w:pPr>
        <w:pStyle w:val="enumlev1"/>
        <w:keepNext/>
        <w:rPr>
          <w:rtl/>
        </w:rPr>
      </w:pPr>
      <w:r w:rsidRPr="009975CD">
        <w:rPr>
          <w:rtl/>
        </w:rPr>
        <w:lastRenderedPageBreak/>
        <w:t>(4)</w:t>
      </w:r>
      <w:r w:rsidRPr="009975CD">
        <w:rPr>
          <w:rtl/>
        </w:rPr>
        <w:tab/>
      </w:r>
      <w:r w:rsidRPr="009975CD">
        <w:rPr>
          <w:rFonts w:hint="eastAsia"/>
          <w:rtl/>
        </w:rPr>
        <w:t>عند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إطلاق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أنشطة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أو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مشاريع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جديدة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ممولة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حتى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وإن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لم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يكن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لها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تأثير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مباشر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على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الميزانية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المالية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السنوية،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ينبغي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إيلاء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الاعتبار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الواجب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للآثار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المالية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غير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المباشرة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الناجمة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عن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استهلاك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هذه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الأنشطة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للموارد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البشرية</w:t>
      </w:r>
      <w:r w:rsidRPr="009975CD">
        <w:rPr>
          <w:rtl/>
        </w:rPr>
        <w:t xml:space="preserve"> </w:t>
      </w:r>
      <w:r w:rsidRPr="009975CD">
        <w:rPr>
          <w:rFonts w:hint="eastAsia"/>
          <w:rtl/>
        </w:rPr>
        <w:t>في</w:t>
      </w:r>
      <w:r w:rsidR="00B47D0C">
        <w:rPr>
          <w:rFonts w:hint="cs"/>
          <w:rtl/>
        </w:rPr>
        <w:t> </w:t>
      </w:r>
      <w:r w:rsidRPr="009975CD">
        <w:rPr>
          <w:rFonts w:hint="eastAsia"/>
          <w:rtl/>
        </w:rPr>
        <w:t>الاتحاد</w:t>
      </w:r>
      <w:r w:rsidRPr="009975CD">
        <w:rPr>
          <w:rtl/>
        </w:rPr>
        <w:t>.</w:t>
      </w:r>
    </w:p>
    <w:p w14:paraId="37D7C4FD" w14:textId="77777777" w:rsidR="00F50E3F" w:rsidRDefault="00D63735" w:rsidP="00D6373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Sect="006F363C">
      <w:footerReference w:type="default" r:id="rId30"/>
      <w:headerReference w:type="first" r:id="rId31"/>
      <w:footerReference w:type="first" r:id="rId32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E716" w14:textId="77777777" w:rsidR="009975CD" w:rsidRDefault="009975CD" w:rsidP="006C3242">
      <w:pPr>
        <w:spacing w:before="0" w:line="240" w:lineRule="auto"/>
      </w:pPr>
      <w:r>
        <w:separator/>
      </w:r>
    </w:p>
  </w:endnote>
  <w:endnote w:type="continuationSeparator" w:id="0">
    <w:p w14:paraId="0F17D49D" w14:textId="77777777" w:rsidR="009975CD" w:rsidRDefault="009975CD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1BEA9A3E" w14:textId="77777777" w:rsidTr="00A67F05">
      <w:trPr>
        <w:jc w:val="center"/>
      </w:trPr>
      <w:tc>
        <w:tcPr>
          <w:tcW w:w="868" w:type="pct"/>
          <w:vAlign w:val="center"/>
        </w:tcPr>
        <w:p w14:paraId="73502E15" w14:textId="5A59A166" w:rsidR="00F50E3F" w:rsidRPr="003F2C8D" w:rsidRDefault="003F2C8D" w:rsidP="006F363C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Theme="minorHAnsi" w:hAnsiTheme="minorHAnsi" w:cstheme="minorHAnsi"/>
              <w:noProof/>
              <w:sz w:val="18"/>
              <w:szCs w:val="18"/>
            </w:rPr>
          </w:pPr>
          <w:r w:rsidRPr="003F2C8D">
            <w:rPr>
              <w:rFonts w:asciiTheme="minorHAnsi" w:hAnsiTheme="minorHAnsi" w:cstheme="minorHAnsi"/>
              <w:sz w:val="18"/>
              <w:szCs w:val="18"/>
              <w:rtl/>
            </w:rPr>
            <w:t>2600911</w:t>
          </w:r>
        </w:p>
      </w:tc>
      <w:tc>
        <w:tcPr>
          <w:tcW w:w="3912" w:type="pct"/>
        </w:tcPr>
        <w:p w14:paraId="6604C055" w14:textId="0C1AE3FB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3F2C8D">
            <w:rPr>
              <w:rFonts w:ascii="Calibri" w:hAnsi="Calibri" w:cs="Arial"/>
              <w:bCs/>
              <w:color w:val="7F7F7F"/>
              <w:sz w:val="18"/>
            </w:rPr>
            <w:t>80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5F535B83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122BF459" w14:textId="77777777" w:rsidR="006C3242" w:rsidRPr="00077A58" w:rsidRDefault="006C3242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68280B05" w14:textId="77777777" w:rsidTr="00A67F05">
      <w:trPr>
        <w:jc w:val="center"/>
      </w:trPr>
      <w:tc>
        <w:tcPr>
          <w:tcW w:w="1013" w:type="pct"/>
          <w:vAlign w:val="center"/>
        </w:tcPr>
        <w:p w14:paraId="24340A1A" w14:textId="77777777" w:rsidR="007B0AA0" w:rsidRPr="000116AF" w:rsidRDefault="000116AF" w:rsidP="000116AF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  <w:szCs w:val="18"/>
            </w:rPr>
          </w:pPr>
          <w:hyperlink r:id="rId1" w:anchor="/ar" w:history="1">
            <w:proofErr w:type="spellStart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council.itu.int</w:t>
            </w:r>
            <w:proofErr w:type="spellEnd"/>
            <w:r w:rsidRPr="000116AF">
              <w:rPr>
                <w:rStyle w:val="Hyperlink"/>
                <w:noProof w:val="0"/>
                <w:sz w:val="18"/>
                <w:szCs w:val="18"/>
                <w:lang w:val="en-US"/>
              </w:rPr>
              <w:t>/2026</w:t>
            </w:r>
          </w:hyperlink>
        </w:p>
      </w:tc>
      <w:tc>
        <w:tcPr>
          <w:tcW w:w="3768" w:type="pct"/>
        </w:tcPr>
        <w:p w14:paraId="7B744D93" w14:textId="57A5BAD9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proofErr w:type="spellStart"/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0116AF">
            <w:rPr>
              <w:rFonts w:ascii="Calibri" w:hAnsi="Calibri" w:cs="Arial"/>
              <w:bCs/>
              <w:color w:val="7F7F7F"/>
              <w:sz w:val="18"/>
            </w:rPr>
            <w:t>6</w:t>
          </w:r>
          <w:proofErr w:type="spellEnd"/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9975CD">
            <w:rPr>
              <w:rFonts w:ascii="Calibri" w:hAnsi="Calibri" w:cs="Arial"/>
              <w:bCs/>
              <w:color w:val="7F7F7F"/>
              <w:sz w:val="18"/>
            </w:rPr>
            <w:t>80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7D10134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633BA491" w14:textId="77777777" w:rsidR="0006468A" w:rsidRPr="00077A58" w:rsidRDefault="0006468A" w:rsidP="00077A58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CF952" w14:textId="77777777" w:rsidR="009975CD" w:rsidRDefault="009975CD" w:rsidP="006C3242">
      <w:pPr>
        <w:spacing w:before="0" w:line="240" w:lineRule="auto"/>
      </w:pPr>
      <w:r>
        <w:separator/>
      </w:r>
    </w:p>
  </w:footnote>
  <w:footnote w:type="continuationSeparator" w:id="0">
    <w:p w14:paraId="37928267" w14:textId="77777777" w:rsidR="009975CD" w:rsidRDefault="009975CD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7FA89" w14:textId="77777777" w:rsidR="001A3E13" w:rsidRPr="00057769" w:rsidRDefault="001A3E13" w:rsidP="001A3E13">
    <w:pPr>
      <w:pStyle w:val="Header"/>
    </w:pPr>
    <w:r>
      <w:rPr>
        <w:noProof/>
      </w:rPr>
      <w:drawing>
        <wp:inline distT="0" distB="0" distL="0" distR="0" wp14:anchorId="14784720" wp14:editId="654D6287">
          <wp:extent cx="5760085" cy="840740"/>
          <wp:effectExtent l="0" t="0" r="0" b="0"/>
          <wp:docPr id="14965375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537511" name="Picture 14965375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73011153">
    <w:abstractNumId w:val="9"/>
  </w:num>
  <w:num w:numId="2" w16cid:durableId="1057514420">
    <w:abstractNumId w:val="7"/>
  </w:num>
  <w:num w:numId="3" w16cid:durableId="1806118738">
    <w:abstractNumId w:val="6"/>
  </w:num>
  <w:num w:numId="4" w16cid:durableId="1375621240">
    <w:abstractNumId w:val="5"/>
  </w:num>
  <w:num w:numId="5" w16cid:durableId="1891766946">
    <w:abstractNumId w:val="4"/>
  </w:num>
  <w:num w:numId="6" w16cid:durableId="1621381168">
    <w:abstractNumId w:val="8"/>
  </w:num>
  <w:num w:numId="7" w16cid:durableId="1863204195">
    <w:abstractNumId w:val="3"/>
  </w:num>
  <w:num w:numId="8" w16cid:durableId="2133094203">
    <w:abstractNumId w:val="2"/>
  </w:num>
  <w:num w:numId="9" w16cid:durableId="372273256">
    <w:abstractNumId w:val="1"/>
  </w:num>
  <w:num w:numId="10" w16cid:durableId="247665594">
    <w:abstractNumId w:val="0"/>
  </w:num>
  <w:num w:numId="11" w16cid:durableId="931427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5CD"/>
    <w:rsid w:val="000116AF"/>
    <w:rsid w:val="0006468A"/>
    <w:rsid w:val="00077A58"/>
    <w:rsid w:val="00090574"/>
    <w:rsid w:val="000C1C0E"/>
    <w:rsid w:val="000C548A"/>
    <w:rsid w:val="001123C4"/>
    <w:rsid w:val="00124194"/>
    <w:rsid w:val="001652C5"/>
    <w:rsid w:val="00191059"/>
    <w:rsid w:val="001A3E13"/>
    <w:rsid w:val="001B6E2B"/>
    <w:rsid w:val="001C0169"/>
    <w:rsid w:val="001C0C21"/>
    <w:rsid w:val="001D1D50"/>
    <w:rsid w:val="001D64C7"/>
    <w:rsid w:val="001D6745"/>
    <w:rsid w:val="001E446E"/>
    <w:rsid w:val="002154EE"/>
    <w:rsid w:val="002276D2"/>
    <w:rsid w:val="0023283D"/>
    <w:rsid w:val="00254393"/>
    <w:rsid w:val="0026373E"/>
    <w:rsid w:val="00271C43"/>
    <w:rsid w:val="00275924"/>
    <w:rsid w:val="00290728"/>
    <w:rsid w:val="002978F4"/>
    <w:rsid w:val="002B028D"/>
    <w:rsid w:val="002C3F32"/>
    <w:rsid w:val="002E6541"/>
    <w:rsid w:val="00334924"/>
    <w:rsid w:val="003409BC"/>
    <w:rsid w:val="00357185"/>
    <w:rsid w:val="00383829"/>
    <w:rsid w:val="003F2C8D"/>
    <w:rsid w:val="003F4B29"/>
    <w:rsid w:val="00410B26"/>
    <w:rsid w:val="00420F8A"/>
    <w:rsid w:val="0042686F"/>
    <w:rsid w:val="004317D8"/>
    <w:rsid w:val="0043260A"/>
    <w:rsid w:val="00434183"/>
    <w:rsid w:val="00443869"/>
    <w:rsid w:val="00447F32"/>
    <w:rsid w:val="00491BA9"/>
    <w:rsid w:val="00494119"/>
    <w:rsid w:val="004A4701"/>
    <w:rsid w:val="004B7334"/>
    <w:rsid w:val="004E11DC"/>
    <w:rsid w:val="005130DE"/>
    <w:rsid w:val="00513157"/>
    <w:rsid w:val="00525DDD"/>
    <w:rsid w:val="005409AC"/>
    <w:rsid w:val="005434E0"/>
    <w:rsid w:val="005546CF"/>
    <w:rsid w:val="0055516A"/>
    <w:rsid w:val="0058491B"/>
    <w:rsid w:val="00592EA5"/>
    <w:rsid w:val="005A3170"/>
    <w:rsid w:val="005D49F9"/>
    <w:rsid w:val="00623759"/>
    <w:rsid w:val="00657019"/>
    <w:rsid w:val="00660DEA"/>
    <w:rsid w:val="00677396"/>
    <w:rsid w:val="00683F16"/>
    <w:rsid w:val="00684173"/>
    <w:rsid w:val="0069200F"/>
    <w:rsid w:val="006A65CB"/>
    <w:rsid w:val="006B12E5"/>
    <w:rsid w:val="006C3242"/>
    <w:rsid w:val="006C7CC0"/>
    <w:rsid w:val="006F363C"/>
    <w:rsid w:val="006F63F7"/>
    <w:rsid w:val="007025C7"/>
    <w:rsid w:val="00706D7A"/>
    <w:rsid w:val="00722F0D"/>
    <w:rsid w:val="00735081"/>
    <w:rsid w:val="0074420E"/>
    <w:rsid w:val="007648A6"/>
    <w:rsid w:val="0077110E"/>
    <w:rsid w:val="00783E26"/>
    <w:rsid w:val="007A6684"/>
    <w:rsid w:val="007B0AA0"/>
    <w:rsid w:val="007C3BC7"/>
    <w:rsid w:val="007C3BCD"/>
    <w:rsid w:val="007D4ACF"/>
    <w:rsid w:val="007F0787"/>
    <w:rsid w:val="00810B7B"/>
    <w:rsid w:val="0082358A"/>
    <w:rsid w:val="008235CD"/>
    <w:rsid w:val="008247DE"/>
    <w:rsid w:val="008339C0"/>
    <w:rsid w:val="00840B10"/>
    <w:rsid w:val="008513CB"/>
    <w:rsid w:val="00874E9F"/>
    <w:rsid w:val="008A7F84"/>
    <w:rsid w:val="0091702E"/>
    <w:rsid w:val="0092388C"/>
    <w:rsid w:val="00923B0C"/>
    <w:rsid w:val="00924F46"/>
    <w:rsid w:val="00935AAC"/>
    <w:rsid w:val="0093725D"/>
    <w:rsid w:val="0094021C"/>
    <w:rsid w:val="00952F86"/>
    <w:rsid w:val="0096716C"/>
    <w:rsid w:val="00982B28"/>
    <w:rsid w:val="009868AC"/>
    <w:rsid w:val="009975CD"/>
    <w:rsid w:val="009D313F"/>
    <w:rsid w:val="00A24306"/>
    <w:rsid w:val="00A47A5A"/>
    <w:rsid w:val="00A63AE6"/>
    <w:rsid w:val="00A6683B"/>
    <w:rsid w:val="00A67F05"/>
    <w:rsid w:val="00A97F94"/>
    <w:rsid w:val="00AA7EA2"/>
    <w:rsid w:val="00AB5A56"/>
    <w:rsid w:val="00B03099"/>
    <w:rsid w:val="00B05BC8"/>
    <w:rsid w:val="00B30F5E"/>
    <w:rsid w:val="00B47D0C"/>
    <w:rsid w:val="00B64B47"/>
    <w:rsid w:val="00B95654"/>
    <w:rsid w:val="00B97F32"/>
    <w:rsid w:val="00BA04B2"/>
    <w:rsid w:val="00C002DE"/>
    <w:rsid w:val="00C0602B"/>
    <w:rsid w:val="00C10021"/>
    <w:rsid w:val="00C224DA"/>
    <w:rsid w:val="00C53BF8"/>
    <w:rsid w:val="00C66157"/>
    <w:rsid w:val="00C674FE"/>
    <w:rsid w:val="00C67501"/>
    <w:rsid w:val="00C75633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A1CF0"/>
    <w:rsid w:val="00DA6A30"/>
    <w:rsid w:val="00DC1E02"/>
    <w:rsid w:val="00DC24B4"/>
    <w:rsid w:val="00DC5FB0"/>
    <w:rsid w:val="00DF16DC"/>
    <w:rsid w:val="00E13453"/>
    <w:rsid w:val="00E45211"/>
    <w:rsid w:val="00E473C5"/>
    <w:rsid w:val="00E61BE8"/>
    <w:rsid w:val="00E83FF1"/>
    <w:rsid w:val="00E92863"/>
    <w:rsid w:val="00E979B2"/>
    <w:rsid w:val="00EB796D"/>
    <w:rsid w:val="00F058DC"/>
    <w:rsid w:val="00F24FC4"/>
    <w:rsid w:val="00F2676C"/>
    <w:rsid w:val="00F363FE"/>
    <w:rsid w:val="00F504E6"/>
    <w:rsid w:val="00F50E3F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2849C5A5"/>
  <w15:chartTrackingRefBased/>
  <w15:docId w15:val="{6B05E6F3-8D3C-43ED-97AF-DA167BDC7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077A58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077A58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077A58"/>
    <w:pPr>
      <w:spacing w:before="80" w:after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96716C"/>
    <w:rPr>
      <w:rFonts w:ascii="Dubai" w:hAnsi="Dubai" w:cs="Dubai"/>
      <w:noProof/>
      <w:color w:val="5B9BD5"/>
      <w:u w:val="single" w:color="5B9BD5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116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council/Documents/basic-texts-2023/RES-158-A.pdf" TargetMode="External"/><Relationship Id="rId18" Type="http://schemas.openxmlformats.org/officeDocument/2006/relationships/hyperlink" Target="https://www.itu.int/md/S25-CL-C-0040/en" TargetMode="External"/><Relationship Id="rId26" Type="http://schemas.openxmlformats.org/officeDocument/2006/relationships/hyperlink" Target="https://www.itu.int/md/S24-CWGFHR17-C-0024/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md/S23-CL-C-0104/en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itu.int/en/council/Documents/basic-texts-2023/RES-151-A.pdf" TargetMode="External"/><Relationship Id="rId17" Type="http://schemas.openxmlformats.org/officeDocument/2006/relationships/hyperlink" Target="https://www.itu.int/md/S26-CL-C-0022/en" TargetMode="External"/><Relationship Id="rId25" Type="http://schemas.openxmlformats.org/officeDocument/2006/relationships/hyperlink" Target="https://www.itu.int/md/S24-CWGFHR19-C-0015/en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itu.int/md/S26-CL-C-0042/en" TargetMode="External"/><Relationship Id="rId20" Type="http://schemas.openxmlformats.org/officeDocument/2006/relationships/hyperlink" Target="https://www.itu.int/md/S24-CL-C-0109/en" TargetMode="External"/><Relationship Id="rId29" Type="http://schemas.openxmlformats.org/officeDocument/2006/relationships/hyperlink" Target="https://www.itu.int/md/S26-CL-C-0022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council/Documents/basic-texts-2023/RES-094-A.pdf" TargetMode="External"/><Relationship Id="rId24" Type="http://schemas.openxmlformats.org/officeDocument/2006/relationships/hyperlink" Target="https://www.itu.int/md/S25-CWGFHR20-C-0032/en" TargetMode="External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S26-CL-C-0055/en" TargetMode="External"/><Relationship Id="rId23" Type="http://schemas.openxmlformats.org/officeDocument/2006/relationships/hyperlink" Target="https://www.itu.int/md/S25-CWGFHR21-C-0025/en" TargetMode="External"/><Relationship Id="rId28" Type="http://schemas.openxmlformats.org/officeDocument/2006/relationships/hyperlink" Target="https://www.itu.int/md/S26-CL-C-0042/en" TargetMode="External"/><Relationship Id="rId10" Type="http://schemas.openxmlformats.org/officeDocument/2006/relationships/hyperlink" Target="https://www.itu.int/en/council/Documents/basic-texts-2023/DEC-005-A.pdf" TargetMode="External"/><Relationship Id="rId19" Type="http://schemas.openxmlformats.org/officeDocument/2006/relationships/hyperlink" Target="https://www.itu.int/md/S25-CL-C-0105/en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en/council/Documents/basic-texts/Convention-A.pdf" TargetMode="External"/><Relationship Id="rId14" Type="http://schemas.openxmlformats.org/officeDocument/2006/relationships/hyperlink" Target="https://www.itu.int/en/council/Documents/basic-texts-2023/RES-162-A.pdf" TargetMode="External"/><Relationship Id="rId22" Type="http://schemas.openxmlformats.org/officeDocument/2006/relationships/hyperlink" Target="https://www.itu.int/md/S26-CWGFHR22-C-0036/en" TargetMode="External"/><Relationship Id="rId27" Type="http://schemas.openxmlformats.org/officeDocument/2006/relationships/hyperlink" Target="https://www.itu.int/md/S25-CL-C-0040/en" TargetMode="External"/><Relationship Id="rId30" Type="http://schemas.openxmlformats.org/officeDocument/2006/relationships/footer" Target="footer1.xml"/><Relationship Id="rId8" Type="http://schemas.openxmlformats.org/officeDocument/2006/relationships/hyperlink" Target="https://www.itu.int/en/council/Documents/basic-texts/Constitution-A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6\SG\PA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PA_Council26.dotx</Template>
  <TotalTime>1</TotalTime>
  <Pages>3</Pages>
  <Words>844</Words>
  <Characters>6375</Characters>
  <Application>Microsoft Office Word</Application>
  <DocSecurity>0</DocSecurity>
  <Lines>96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Recommendations on enhancing transparency in the financial management of the ITU</dc:title>
  <dc:subject>ITU Council 2026</dc:subject>
  <cp:keywords>C26; C2026; Council 2026; PP26</cp:keywords>
  <dc:description/>
  <dcterms:created xsi:type="dcterms:W3CDTF">2026-04-27T18:34:00Z</dcterms:created>
  <dcterms:modified xsi:type="dcterms:W3CDTF">2026-04-27T18:34:00Z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