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62E97" w:rsidRPr="00BB6FD8" w14:paraId="1BAD486B" w14:textId="77777777" w:rsidTr="00C4421B">
        <w:trPr>
          <w:cantSplit/>
          <w:trHeight w:val="23"/>
        </w:trPr>
        <w:tc>
          <w:tcPr>
            <w:tcW w:w="3969" w:type="dxa"/>
            <w:vMerge w:val="restart"/>
            <w:tcMar>
              <w:left w:w="0" w:type="dxa"/>
            </w:tcMar>
          </w:tcPr>
          <w:p w14:paraId="4DE5BFF4" w14:textId="607C7C39" w:rsidR="00A62E97" w:rsidRPr="0072063B" w:rsidRDefault="00A62E97" w:rsidP="00A62E97">
            <w:pPr>
              <w:tabs>
                <w:tab w:val="left" w:pos="851"/>
              </w:tabs>
              <w:spacing w:before="0" w:line="240" w:lineRule="atLeast"/>
              <w:rPr>
                <w:b/>
                <w:lang w:val="es-ES"/>
              </w:rPr>
            </w:pPr>
            <w:bookmarkStart w:id="0" w:name="_Hlk133421839"/>
            <w:r w:rsidRPr="0072063B">
              <w:rPr>
                <w:b/>
                <w:lang w:val="es-ES"/>
              </w:rPr>
              <w:t xml:space="preserve">Punto del orden del día: </w:t>
            </w:r>
            <w:r w:rsidRPr="006702A1">
              <w:rPr>
                <w:b/>
                <w:bCs/>
                <w:color w:val="000000"/>
                <w:lang w:val="es-ES"/>
              </w:rPr>
              <w:t>PL-2</w:t>
            </w:r>
          </w:p>
        </w:tc>
        <w:tc>
          <w:tcPr>
            <w:tcW w:w="5245" w:type="dxa"/>
          </w:tcPr>
          <w:p w14:paraId="0201D74D" w14:textId="6698BA74" w:rsidR="00A62E97" w:rsidRPr="00BB6FD8" w:rsidRDefault="00A62E97" w:rsidP="00A62E97">
            <w:pPr>
              <w:tabs>
                <w:tab w:val="left" w:pos="851"/>
              </w:tabs>
              <w:spacing w:before="0" w:line="240" w:lineRule="atLeast"/>
              <w:jc w:val="right"/>
              <w:rPr>
                <w:b/>
              </w:rPr>
            </w:pPr>
            <w:r w:rsidRPr="006702A1">
              <w:rPr>
                <w:b/>
                <w:bCs/>
                <w:color w:val="000000"/>
                <w:lang w:val="es-ES"/>
              </w:rPr>
              <w:t>Documento C26/76-S</w:t>
            </w:r>
          </w:p>
        </w:tc>
      </w:tr>
      <w:tr w:rsidR="00A62E97" w:rsidRPr="00666D09" w14:paraId="5A1A3AC0" w14:textId="77777777" w:rsidTr="00C4421B">
        <w:trPr>
          <w:cantSplit/>
        </w:trPr>
        <w:tc>
          <w:tcPr>
            <w:tcW w:w="3969" w:type="dxa"/>
            <w:vMerge/>
          </w:tcPr>
          <w:p w14:paraId="61BFE120" w14:textId="77777777" w:rsidR="00A62E97" w:rsidRPr="00BB6FD8" w:rsidRDefault="00A62E97" w:rsidP="00A62E97">
            <w:pPr>
              <w:tabs>
                <w:tab w:val="left" w:pos="851"/>
              </w:tabs>
              <w:spacing w:line="240" w:lineRule="atLeast"/>
              <w:rPr>
                <w:b/>
              </w:rPr>
            </w:pPr>
          </w:p>
        </w:tc>
        <w:tc>
          <w:tcPr>
            <w:tcW w:w="5245" w:type="dxa"/>
          </w:tcPr>
          <w:p w14:paraId="192C7892" w14:textId="0BC672D6" w:rsidR="00A62E97" w:rsidRPr="00666D09" w:rsidRDefault="00A62E97" w:rsidP="00A62E97">
            <w:pPr>
              <w:tabs>
                <w:tab w:val="left" w:pos="851"/>
              </w:tabs>
              <w:spacing w:before="0"/>
              <w:jc w:val="right"/>
              <w:rPr>
                <w:b/>
                <w:lang w:val="en-GB"/>
              </w:rPr>
            </w:pPr>
            <w:r w:rsidRPr="006702A1">
              <w:rPr>
                <w:b/>
                <w:bCs/>
                <w:color w:val="000000"/>
                <w:lang w:val="es-ES"/>
              </w:rPr>
              <w:t>13 de abril de 2026</w:t>
            </w:r>
          </w:p>
        </w:tc>
      </w:tr>
      <w:tr w:rsidR="00A62E97" w:rsidRPr="00BB6FD8" w14:paraId="5EE6C0B4" w14:textId="77777777" w:rsidTr="00C4421B">
        <w:trPr>
          <w:cantSplit/>
          <w:trHeight w:val="23"/>
        </w:trPr>
        <w:tc>
          <w:tcPr>
            <w:tcW w:w="3969" w:type="dxa"/>
            <w:vMerge/>
          </w:tcPr>
          <w:p w14:paraId="3B4CBD0E" w14:textId="77777777" w:rsidR="00A62E97" w:rsidRPr="00666D09" w:rsidRDefault="00A62E97" w:rsidP="00A62E97">
            <w:pPr>
              <w:tabs>
                <w:tab w:val="left" w:pos="851"/>
              </w:tabs>
              <w:spacing w:line="240" w:lineRule="atLeast"/>
              <w:rPr>
                <w:b/>
                <w:lang w:val="en-GB"/>
              </w:rPr>
            </w:pPr>
          </w:p>
        </w:tc>
        <w:tc>
          <w:tcPr>
            <w:tcW w:w="5245" w:type="dxa"/>
          </w:tcPr>
          <w:p w14:paraId="09FD8BBE" w14:textId="6E3FCCA2" w:rsidR="00A62E97" w:rsidRPr="00BB6FD8" w:rsidRDefault="00A62E97" w:rsidP="00A62E97">
            <w:pPr>
              <w:tabs>
                <w:tab w:val="left" w:pos="851"/>
              </w:tabs>
              <w:spacing w:before="0" w:line="240" w:lineRule="atLeast"/>
              <w:jc w:val="right"/>
              <w:rPr>
                <w:b/>
                <w:bCs/>
              </w:rPr>
            </w:pPr>
            <w:r w:rsidRPr="006702A1">
              <w:rPr>
                <w:b/>
                <w:bCs/>
                <w:color w:val="000000"/>
                <w:lang w:val="es-ES"/>
              </w:rPr>
              <w:t>Original: inglés</w:t>
            </w:r>
          </w:p>
        </w:tc>
      </w:tr>
      <w:tr w:rsidR="00FE57F6" w:rsidRPr="00BB6FD8" w14:paraId="66873E7B" w14:textId="77777777" w:rsidTr="00C4421B">
        <w:trPr>
          <w:cantSplit/>
          <w:trHeight w:val="23"/>
        </w:trPr>
        <w:tc>
          <w:tcPr>
            <w:tcW w:w="3969" w:type="dxa"/>
          </w:tcPr>
          <w:p w14:paraId="557B9A92" w14:textId="77777777" w:rsidR="00FE57F6" w:rsidRPr="00BB6FD8" w:rsidRDefault="00FE57F6" w:rsidP="00C4421B">
            <w:pPr>
              <w:tabs>
                <w:tab w:val="left" w:pos="851"/>
              </w:tabs>
              <w:spacing w:line="240" w:lineRule="atLeast"/>
              <w:rPr>
                <w:b/>
              </w:rPr>
            </w:pPr>
          </w:p>
        </w:tc>
        <w:tc>
          <w:tcPr>
            <w:tcW w:w="5245" w:type="dxa"/>
          </w:tcPr>
          <w:p w14:paraId="01E5C370" w14:textId="77777777" w:rsidR="00FE57F6" w:rsidRPr="00BB6FD8" w:rsidRDefault="00FE57F6" w:rsidP="00C4421B">
            <w:pPr>
              <w:tabs>
                <w:tab w:val="left" w:pos="851"/>
              </w:tabs>
              <w:spacing w:before="0" w:line="240" w:lineRule="atLeast"/>
              <w:jc w:val="right"/>
              <w:rPr>
                <w:b/>
              </w:rPr>
            </w:pPr>
          </w:p>
        </w:tc>
      </w:tr>
      <w:tr w:rsidR="00FE57F6" w:rsidRPr="0072063B" w14:paraId="38E6C808" w14:textId="77777777" w:rsidTr="00C4421B">
        <w:trPr>
          <w:cantSplit/>
        </w:trPr>
        <w:tc>
          <w:tcPr>
            <w:tcW w:w="9214" w:type="dxa"/>
            <w:gridSpan w:val="2"/>
            <w:tcMar>
              <w:left w:w="0" w:type="dxa"/>
            </w:tcMar>
          </w:tcPr>
          <w:p w14:paraId="6D74E7A0" w14:textId="4012DECC" w:rsidR="00FE57F6" w:rsidRPr="0072063B" w:rsidRDefault="00A62E97" w:rsidP="00C4421B">
            <w:pPr>
              <w:pStyle w:val="Source"/>
              <w:jc w:val="left"/>
              <w:rPr>
                <w:sz w:val="32"/>
                <w:szCs w:val="32"/>
                <w:lang w:val="es-ES"/>
              </w:rPr>
            </w:pPr>
            <w:r w:rsidRPr="0072063B">
              <w:rPr>
                <w:rFonts w:cstheme="minorHAnsi"/>
                <w:sz w:val="32"/>
                <w:szCs w:val="32"/>
                <w:lang w:val="es-ES"/>
              </w:rPr>
              <w:t>Contribución de Portugal</w:t>
            </w:r>
            <w:r w:rsidR="0072063B" w:rsidRPr="0072063B">
              <w:rPr>
                <w:rFonts w:cstheme="minorHAnsi"/>
                <w:sz w:val="32"/>
                <w:szCs w:val="32"/>
                <w:lang w:val="es-ES"/>
              </w:rPr>
              <w:t xml:space="preserve"> y Nigeria (República Federal de)</w:t>
            </w:r>
          </w:p>
        </w:tc>
      </w:tr>
      <w:tr w:rsidR="00FE57F6" w:rsidRPr="0072063B" w14:paraId="4A8DE494" w14:textId="77777777" w:rsidTr="00C4421B">
        <w:trPr>
          <w:cantSplit/>
        </w:trPr>
        <w:tc>
          <w:tcPr>
            <w:tcW w:w="9214" w:type="dxa"/>
            <w:gridSpan w:val="2"/>
            <w:tcMar>
              <w:left w:w="0" w:type="dxa"/>
            </w:tcMar>
          </w:tcPr>
          <w:p w14:paraId="0894ABC2" w14:textId="368F4D73" w:rsidR="00FE57F6" w:rsidRPr="00A62E97" w:rsidRDefault="0072063B" w:rsidP="00C4421B">
            <w:pPr>
              <w:pStyle w:val="Subtitle"/>
              <w:framePr w:hSpace="0" w:wrap="auto" w:hAnchor="text" w:xAlign="left" w:yAlign="inline"/>
              <w:rPr>
                <w:lang w:val="es-ES"/>
              </w:rPr>
            </w:pPr>
            <w:r w:rsidRPr="006702A1">
              <w:rPr>
                <w:color w:val="000000"/>
                <w:lang w:val="es-ES"/>
              </w:rPr>
              <w:t>FORTALECIMIENTO DE LA RESILIENCIA DE LOS CABLES SUBMARINOS: EL ORGANISMO CONSULTIVO INTERNACIONAL SOBRE RESILIENCIA DE LOS CABLES SUBMARINOS Y LA CUMBRE DE OPORTO DE 2026</w:t>
            </w:r>
          </w:p>
        </w:tc>
      </w:tr>
      <w:tr w:rsidR="00FE57F6" w:rsidRPr="00BB6FD8" w14:paraId="58BCF03C" w14:textId="77777777" w:rsidTr="00C4421B">
        <w:trPr>
          <w:cantSplit/>
        </w:trPr>
        <w:tc>
          <w:tcPr>
            <w:tcW w:w="9214" w:type="dxa"/>
            <w:gridSpan w:val="2"/>
            <w:tcBorders>
              <w:top w:val="single" w:sz="4" w:space="0" w:color="auto"/>
              <w:bottom w:val="single" w:sz="4" w:space="0" w:color="auto"/>
            </w:tcBorders>
            <w:tcMar>
              <w:left w:w="0" w:type="dxa"/>
            </w:tcMar>
          </w:tcPr>
          <w:p w14:paraId="4086D6F6" w14:textId="5F8B13CE" w:rsidR="00FE57F6" w:rsidRPr="00CC1FAF" w:rsidRDefault="00A62E97" w:rsidP="00C4421B">
            <w:pPr>
              <w:spacing w:before="160"/>
              <w:rPr>
                <w:b/>
                <w:bCs/>
                <w:sz w:val="26"/>
                <w:szCs w:val="26"/>
                <w:lang w:val="es-ES"/>
              </w:rPr>
            </w:pPr>
            <w:r w:rsidRPr="006702A1">
              <w:rPr>
                <w:b/>
                <w:bCs/>
                <w:color w:val="000000"/>
                <w:lang w:val="es-ES"/>
              </w:rPr>
              <w:t>Objetivo</w:t>
            </w:r>
          </w:p>
          <w:p w14:paraId="0FF16300" w14:textId="223FE451" w:rsidR="00FE57F6" w:rsidRPr="00CC1FAF" w:rsidRDefault="00A62E97" w:rsidP="0072063B">
            <w:pPr>
              <w:jc w:val="both"/>
              <w:rPr>
                <w:lang w:val="es-ES"/>
              </w:rPr>
            </w:pPr>
            <w:r w:rsidRPr="006702A1">
              <w:rPr>
                <w:color w:val="000000"/>
                <w:lang w:val="es-ES"/>
              </w:rPr>
              <w:t xml:space="preserve">En este documento se proporciona información actualizada sobre el Grupo Consultivo Internacional para la resiliencia de los cables submarinos creado por la UIT y el Comité Internacional para la Protección de los Cables (CIPC), copresidido por el Excmo. Sr. Bosun Tijani, Ministro de Comunicaciones, Innovación y Economía Digital de la República Federal de Nigeria, y la Prof. Sandra Maximiano, Presidenta del Consejo de Administración de la Autoridad Nacional de Comunicaciones de la República de Portugal (ANACOM) y de la </w:t>
            </w:r>
            <w:hyperlink r:id="rId6" w:anchor="/es" w:history="1">
              <w:r w:rsidRPr="00275283">
                <w:rPr>
                  <w:rStyle w:val="Hyperlink"/>
                  <w:rFonts w:eastAsia="Times New Roman" w:cs="Times New Roman"/>
                  <w:szCs w:val="20"/>
                  <w:lang w:val="es-ES"/>
                </w:rPr>
                <w:t>Cumbre Internacional sobre la Resiliencia de los Cables Submarinos de 2026</w:t>
              </w:r>
            </w:hyperlink>
            <w:r w:rsidRPr="006702A1">
              <w:rPr>
                <w:color w:val="000000"/>
                <w:lang w:val="es-ES"/>
              </w:rPr>
              <w:t xml:space="preserve"> sobre la resiliencia, organizada por Portugal en Oporto, los días 2 y 3 de febrero de 2026.</w:t>
            </w:r>
          </w:p>
          <w:p w14:paraId="3A6FC35A"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6CA6310E" w14:textId="7CB14C01" w:rsidR="00F92BED" w:rsidRPr="00F92BED" w:rsidRDefault="00A62E97" w:rsidP="00C4421B">
            <w:pPr>
              <w:spacing w:before="160"/>
              <w:rPr>
                <w:szCs w:val="24"/>
                <w:lang w:val="es-ES"/>
              </w:rPr>
            </w:pPr>
            <w:r w:rsidRPr="006702A1">
              <w:rPr>
                <w:color w:val="000000"/>
                <w:lang w:val="es-ES"/>
              </w:rPr>
              <w:t xml:space="preserve">Se invita al Consejo a </w:t>
            </w:r>
            <w:r w:rsidRPr="006702A1">
              <w:rPr>
                <w:b/>
                <w:bCs/>
                <w:color w:val="000000"/>
                <w:lang w:val="es-ES"/>
              </w:rPr>
              <w:t>tomar nota</w:t>
            </w:r>
            <w:r w:rsidRPr="006702A1">
              <w:rPr>
                <w:color w:val="000000"/>
                <w:lang w:val="es-ES"/>
              </w:rPr>
              <w:t xml:space="preserve"> del documento.</w:t>
            </w:r>
          </w:p>
          <w:p w14:paraId="06D551A5" w14:textId="77777777" w:rsidR="00FE57F6" w:rsidRPr="00BB6FD8" w:rsidRDefault="00FE57F6" w:rsidP="00C4421B">
            <w:pPr>
              <w:spacing w:before="160"/>
              <w:rPr>
                <w:caps/>
                <w:sz w:val="22"/>
              </w:rPr>
            </w:pPr>
            <w:r w:rsidRPr="00BB6FD8">
              <w:rPr>
                <w:sz w:val="22"/>
              </w:rPr>
              <w:t>__________________</w:t>
            </w:r>
          </w:p>
          <w:p w14:paraId="40A9E941" w14:textId="77777777" w:rsidR="00FE57F6" w:rsidRPr="00BB6FD8" w:rsidRDefault="00F24B71" w:rsidP="00C4421B">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516632F0" w14:textId="2FC548A9" w:rsidR="00FE57F6" w:rsidRPr="004D3A3C" w:rsidRDefault="00A62E97" w:rsidP="00C4421B">
            <w:pPr>
              <w:spacing w:after="160"/>
              <w:rPr>
                <w:i/>
                <w:iCs/>
                <w:sz w:val="22"/>
                <w:szCs w:val="22"/>
              </w:rPr>
            </w:pPr>
            <w:r w:rsidRPr="006702A1">
              <w:rPr>
                <w:i/>
                <w:iCs/>
                <w:color w:val="000000"/>
                <w:lang w:val="es-ES"/>
              </w:rPr>
              <w:t xml:space="preserve">Documento </w:t>
            </w:r>
            <w:hyperlink r:id="rId7" w:history="1">
              <w:r w:rsidRPr="006702A1">
                <w:rPr>
                  <w:rStyle w:val="Hyperlink"/>
                  <w:i/>
                  <w:iCs/>
                  <w:lang w:val="es-ES"/>
                </w:rPr>
                <w:t>C25/81</w:t>
              </w:r>
            </w:hyperlink>
          </w:p>
        </w:tc>
      </w:tr>
      <w:bookmarkEnd w:id="0"/>
    </w:tbl>
    <w:p w14:paraId="5B36306C" w14:textId="48EC7660" w:rsidR="00173002" w:rsidRDefault="00173002">
      <w:pPr>
        <w:tabs>
          <w:tab w:val="clear" w:pos="567"/>
          <w:tab w:val="clear" w:pos="1134"/>
          <w:tab w:val="clear" w:pos="1701"/>
          <w:tab w:val="clear" w:pos="2268"/>
          <w:tab w:val="clear" w:pos="2835"/>
        </w:tabs>
        <w:overflowPunct/>
        <w:autoSpaceDE/>
        <w:autoSpaceDN/>
        <w:adjustRightInd/>
        <w:spacing w:before="0"/>
        <w:textAlignment w:val="auto"/>
        <w:rPr>
          <w:b/>
          <w:bCs/>
          <w:lang w:val="es-ES"/>
        </w:rPr>
      </w:pPr>
    </w:p>
    <w:p w14:paraId="5F28BFBA" w14:textId="77777777" w:rsidR="00173002" w:rsidRDefault="00173002">
      <w:pPr>
        <w:tabs>
          <w:tab w:val="clear" w:pos="567"/>
          <w:tab w:val="clear" w:pos="1134"/>
          <w:tab w:val="clear" w:pos="1701"/>
          <w:tab w:val="clear" w:pos="2268"/>
          <w:tab w:val="clear" w:pos="2835"/>
        </w:tabs>
        <w:overflowPunct/>
        <w:autoSpaceDE/>
        <w:autoSpaceDN/>
        <w:adjustRightInd/>
        <w:spacing w:before="0"/>
        <w:textAlignment w:val="auto"/>
        <w:rPr>
          <w:b/>
          <w:bCs/>
          <w:lang w:val="es-ES"/>
        </w:rPr>
      </w:pPr>
      <w:r>
        <w:rPr>
          <w:bCs/>
          <w:lang w:val="es-ES"/>
        </w:rPr>
        <w:br w:type="page"/>
      </w:r>
    </w:p>
    <w:p w14:paraId="1751067D" w14:textId="3286243B" w:rsidR="00A62E97" w:rsidRPr="00A62E97" w:rsidRDefault="00A62E97" w:rsidP="00A62E97">
      <w:pPr>
        <w:pStyle w:val="Headingb"/>
        <w:rPr>
          <w:bCs/>
          <w:lang w:val="es-ES"/>
        </w:rPr>
      </w:pPr>
      <w:r w:rsidRPr="006702A1">
        <w:rPr>
          <w:bCs/>
          <w:lang w:val="es-ES"/>
        </w:rPr>
        <w:lastRenderedPageBreak/>
        <w:t>Introducción</w:t>
      </w:r>
    </w:p>
    <w:p w14:paraId="1A72B83D" w14:textId="77777777" w:rsidR="00A62E97" w:rsidRPr="006702A1" w:rsidRDefault="00A62E97" w:rsidP="003A6633">
      <w:pPr>
        <w:jc w:val="both"/>
        <w:rPr>
          <w:lang w:val="es-ES"/>
        </w:rPr>
      </w:pPr>
      <w:r w:rsidRPr="006702A1">
        <w:rPr>
          <w:lang w:val="es-ES"/>
        </w:rPr>
        <w:t xml:space="preserve">La segunda Cumbre Internacional sobre la Resiliencia de los Cables Submarinos, celebrada en Oporto en 2025, supuso el paso del diálogo a una aplicación estructurada mediante la adopción de la Declaración de Oporto sobre la Resiliencia de los Cables Submarinos. La Declaración establece orientaciones concretas para racionalizar los procesos de obtención de permisos y reparaciones, fortalecer los marcos jurídicos y reglamentarios, promover la diversidad y redundancia de rutas, especialmente para las regiones vulnerables e insuficientemente atendidas, mejorar las medidas de mitigación de riesgos y de protección de cables, y fomentar la capacitación y la innovación. Sobre la base de las bases establecidas en la Cumbre de Abuja, la reunión de Oporto consolidó los compromisos internacionales y definió la transición hacia su aplicación. En este contexto, el Documento </w:t>
      </w:r>
      <w:hyperlink r:id="rId8" w:history="1">
        <w:proofErr w:type="spellStart"/>
        <w:r w:rsidRPr="006702A1">
          <w:rPr>
            <w:rStyle w:val="Hyperlink"/>
            <w:lang w:val="es-ES"/>
          </w:rPr>
          <w:t>C25</w:t>
        </w:r>
        <w:proofErr w:type="spellEnd"/>
        <w:r w:rsidRPr="006702A1">
          <w:rPr>
            <w:rStyle w:val="Hyperlink"/>
            <w:lang w:val="es-ES"/>
          </w:rPr>
          <w:t>/81</w:t>
        </w:r>
      </w:hyperlink>
      <w:r w:rsidRPr="006702A1">
        <w:rPr>
          <w:lang w:val="es-ES"/>
        </w:rPr>
        <w:t xml:space="preserve"> presentado por Nigeria a la reunión de 2025 del Consejo de la Unión Internacional de Telecomunicaciones (UIT) proporciona información actualizada sobre los esfuerzos mundiales para mejorar la resiliencia de los cables de telecomunicaciones submarinos y presenta los resultados de la Cumbre de Abuja de 2025.</w:t>
      </w:r>
      <w:hyperlink r:id="rId9" w:history="1"/>
    </w:p>
    <w:p w14:paraId="3E12B2EF" w14:textId="77777777" w:rsidR="00A62E97" w:rsidRPr="006702A1" w:rsidRDefault="00A62E97" w:rsidP="003A6633">
      <w:pPr>
        <w:jc w:val="both"/>
        <w:rPr>
          <w:lang w:val="es-ES"/>
        </w:rPr>
      </w:pPr>
      <w:r w:rsidRPr="006702A1">
        <w:rPr>
          <w:lang w:val="es-ES"/>
        </w:rPr>
        <w:t xml:space="preserve">Como se indica en dicha contribución, en noviembre de 2024, la UIT y el Comité Internacional para la Protección de los Cables crearon el </w:t>
      </w:r>
      <w:hyperlink r:id="rId10" w:anchor="/es" w:history="1">
        <w:r w:rsidRPr="006702A1">
          <w:rPr>
            <w:rStyle w:val="Hyperlink"/>
            <w:lang w:val="es-ES"/>
          </w:rPr>
          <w:t>Organismo Consultivo Internacional sobre Resiliencia de los Cables Submarinos (IAB)</w:t>
        </w:r>
      </w:hyperlink>
      <w:r w:rsidRPr="006702A1">
        <w:rPr>
          <w:lang w:val="es-ES"/>
        </w:rPr>
        <w:t>. Su objetivo es promover la cooperación y desarrollar soluciones para:</w:t>
      </w:r>
      <w:hyperlink r:id="rId11" w:history="1"/>
    </w:p>
    <w:p w14:paraId="6E674C32" w14:textId="77777777" w:rsidR="00A62E97" w:rsidRPr="006702A1" w:rsidRDefault="00A62E97" w:rsidP="003A6633">
      <w:pPr>
        <w:pStyle w:val="enumlev1"/>
        <w:jc w:val="both"/>
        <w:rPr>
          <w:lang w:val="es-ES"/>
        </w:rPr>
      </w:pPr>
      <w:r w:rsidRPr="006702A1">
        <w:rPr>
          <w:lang w:val="es-ES"/>
        </w:rPr>
        <w:t>–</w:t>
      </w:r>
      <w:r w:rsidRPr="006702A1">
        <w:rPr>
          <w:lang w:val="es-ES"/>
        </w:rPr>
        <w:tab/>
        <w:t>Mejorar el mantenimiento y la reparación de cables.</w:t>
      </w:r>
    </w:p>
    <w:p w14:paraId="0BE2FE0C" w14:textId="77777777" w:rsidR="00A62E97" w:rsidRPr="006702A1" w:rsidRDefault="00A62E97" w:rsidP="003A6633">
      <w:pPr>
        <w:pStyle w:val="enumlev1"/>
        <w:jc w:val="both"/>
        <w:rPr>
          <w:lang w:val="es-ES"/>
        </w:rPr>
      </w:pPr>
      <w:r w:rsidRPr="006702A1">
        <w:rPr>
          <w:lang w:val="es-ES"/>
        </w:rPr>
        <w:t>–</w:t>
      </w:r>
      <w:r w:rsidRPr="006702A1">
        <w:rPr>
          <w:lang w:val="es-ES"/>
        </w:rPr>
        <w:tab/>
        <w:t>Prevenir los daños y reducir los riesgos.</w:t>
      </w:r>
    </w:p>
    <w:p w14:paraId="1E38CAC8" w14:textId="77777777" w:rsidR="00A62E97" w:rsidRPr="006702A1" w:rsidRDefault="00A62E97" w:rsidP="003A6633">
      <w:pPr>
        <w:pStyle w:val="enumlev1"/>
        <w:jc w:val="both"/>
        <w:rPr>
          <w:lang w:val="es-ES"/>
        </w:rPr>
      </w:pPr>
      <w:r w:rsidRPr="006702A1">
        <w:rPr>
          <w:lang w:val="es-ES"/>
        </w:rPr>
        <w:t>–</w:t>
      </w:r>
      <w:r w:rsidRPr="006702A1">
        <w:rPr>
          <w:lang w:val="es-ES"/>
        </w:rPr>
        <w:tab/>
        <w:t>Aumentar la redundancia y la diversidad de rutas.</w:t>
      </w:r>
    </w:p>
    <w:p w14:paraId="03C82BE2" w14:textId="77777777" w:rsidR="00A62E97" w:rsidRPr="006702A1" w:rsidRDefault="00A62E97" w:rsidP="003A6633">
      <w:pPr>
        <w:pStyle w:val="enumlev1"/>
        <w:jc w:val="both"/>
        <w:rPr>
          <w:lang w:val="es-ES"/>
        </w:rPr>
      </w:pPr>
      <w:r w:rsidRPr="006702A1">
        <w:rPr>
          <w:lang w:val="es-ES"/>
        </w:rPr>
        <w:t>–</w:t>
      </w:r>
      <w:r w:rsidRPr="006702A1">
        <w:rPr>
          <w:lang w:val="es-ES"/>
        </w:rPr>
        <w:tab/>
        <w:t>Apoyar las infraestructuras sostenibles y resilientes.</w:t>
      </w:r>
    </w:p>
    <w:p w14:paraId="31482CAF" w14:textId="77777777" w:rsidR="00A62E97" w:rsidRPr="006702A1" w:rsidRDefault="00A62E97" w:rsidP="003A6633">
      <w:pPr>
        <w:jc w:val="both"/>
        <w:rPr>
          <w:lang w:val="es-ES"/>
        </w:rPr>
      </w:pPr>
      <w:r w:rsidRPr="006702A1">
        <w:rPr>
          <w:lang w:val="es-ES"/>
        </w:rPr>
        <w:t xml:space="preserve">El Organismo Consultivo está integrado por 42 expertos de gobiernos, la industria y organizaciones internacionales, y está copresidido por el Excmo. Sr. Tijani, Ministro de Comunicaciones, Innovación y Economía Digital de la República Federal de Nigeria, y la Prof. Sandra Maximiano, Presidenta del Consejo de Administración de la Autoridad Nacional de Comunicaciones (ANACOM) de la República de Portugal. Se constituyó mediante un proceso de selección abierto e integrador y se reunirá periódicamente durante un mandato inicial de dos años. </w:t>
      </w:r>
    </w:p>
    <w:p w14:paraId="38E6F62A" w14:textId="77777777" w:rsidR="00A62E97" w:rsidRPr="006702A1" w:rsidRDefault="00A62E97" w:rsidP="003A6633">
      <w:pPr>
        <w:jc w:val="both"/>
        <w:rPr>
          <w:spacing w:val="-2"/>
          <w:lang w:val="es-ES"/>
        </w:rPr>
      </w:pPr>
      <w:r w:rsidRPr="006702A1">
        <w:rPr>
          <w:lang w:val="es-ES"/>
        </w:rPr>
        <w:t xml:space="preserve">La Cumbre Internacional sobre la Resiliencia de los Cables Submarinos, celebrada en Abuja en febrero de 2025, adoptó la </w:t>
      </w:r>
      <w:hyperlink r:id="rId12" w:history="1">
        <w:r w:rsidRPr="006702A1">
          <w:rPr>
            <w:rStyle w:val="Hyperlink"/>
            <w:lang w:val="es-ES"/>
          </w:rPr>
          <w:t>Declaración de Abuja</w:t>
        </w:r>
      </w:hyperlink>
      <w:r w:rsidRPr="006702A1">
        <w:rPr>
          <w:lang w:val="es-ES"/>
        </w:rPr>
        <w:t xml:space="preserve"> y decidió crear tres Grupos de Trabajo en el seno del CAI que se ocuparán de:</w:t>
      </w:r>
      <w:hyperlink r:id="rId13" w:history="1"/>
    </w:p>
    <w:p w14:paraId="0F7E72C4" w14:textId="77777777" w:rsidR="00A62E97" w:rsidRPr="006702A1" w:rsidRDefault="00A62E97" w:rsidP="003A6633">
      <w:pPr>
        <w:pStyle w:val="enumlev1"/>
        <w:jc w:val="both"/>
        <w:rPr>
          <w:lang w:val="es-ES"/>
        </w:rPr>
      </w:pPr>
      <w:r w:rsidRPr="006702A1">
        <w:rPr>
          <w:lang w:val="es-ES"/>
        </w:rPr>
        <w:t>–</w:t>
      </w:r>
      <w:r w:rsidRPr="006702A1">
        <w:rPr>
          <w:lang w:val="es-ES"/>
        </w:rPr>
        <w:tab/>
        <w:t>la identificación, la supervisión y la mitigación de riesgos.</w:t>
      </w:r>
    </w:p>
    <w:p w14:paraId="010583F3" w14:textId="77777777" w:rsidR="00A62E97" w:rsidRPr="006702A1" w:rsidRDefault="00A62E97" w:rsidP="003A6633">
      <w:pPr>
        <w:pStyle w:val="enumlev1"/>
        <w:jc w:val="both"/>
        <w:rPr>
          <w:lang w:val="es-ES"/>
        </w:rPr>
      </w:pPr>
      <w:r w:rsidRPr="006702A1">
        <w:rPr>
          <w:lang w:val="es-ES"/>
        </w:rPr>
        <w:t>–</w:t>
      </w:r>
      <w:r w:rsidRPr="006702A1">
        <w:rPr>
          <w:lang w:val="es-ES"/>
        </w:rPr>
        <w:tab/>
        <w:t>la conectividad y la diversidad geográfica.</w:t>
      </w:r>
    </w:p>
    <w:p w14:paraId="4BA3C456" w14:textId="77777777" w:rsidR="00A62E97" w:rsidRPr="006702A1" w:rsidRDefault="00A62E97" w:rsidP="003A6633">
      <w:pPr>
        <w:pStyle w:val="enumlev1"/>
        <w:jc w:val="both"/>
        <w:rPr>
          <w:lang w:val="es-ES"/>
        </w:rPr>
      </w:pPr>
      <w:r w:rsidRPr="006702A1">
        <w:rPr>
          <w:lang w:val="es-ES"/>
        </w:rPr>
        <w:t>–</w:t>
      </w:r>
      <w:r w:rsidRPr="006702A1">
        <w:rPr>
          <w:lang w:val="es-ES"/>
        </w:rPr>
        <w:tab/>
        <w:t>la eficiencia en la instalación y reparación.</w:t>
      </w:r>
    </w:p>
    <w:p w14:paraId="64B006E2" w14:textId="77777777" w:rsidR="00A62E97" w:rsidRPr="006702A1" w:rsidRDefault="00A62E97" w:rsidP="003A6633">
      <w:pPr>
        <w:jc w:val="both"/>
        <w:rPr>
          <w:lang w:val="es-ES"/>
        </w:rPr>
      </w:pPr>
      <w:r w:rsidRPr="006702A1">
        <w:rPr>
          <w:lang w:val="es-ES"/>
        </w:rPr>
        <w:t xml:space="preserve">El Organismo Consultivo está creando sus Grupos de Trabajo. </w:t>
      </w:r>
    </w:p>
    <w:p w14:paraId="50050A21" w14:textId="77777777" w:rsidR="00A62E97" w:rsidRPr="006702A1" w:rsidRDefault="00A62E97" w:rsidP="003A6633">
      <w:pPr>
        <w:jc w:val="both"/>
        <w:rPr>
          <w:lang w:val="es-ES"/>
        </w:rPr>
      </w:pPr>
      <w:r w:rsidRPr="006702A1">
        <w:rPr>
          <w:lang w:val="es-ES"/>
        </w:rPr>
        <w:t>Estos grupos desarrollarán prácticas idóneas, estudios de caso y recomendaciones a principios de 2026 para reforzar la resiliencia mundial de los cables submarinos.</w:t>
      </w:r>
    </w:p>
    <w:p w14:paraId="6C6281C1" w14:textId="77777777" w:rsidR="00A62E97" w:rsidRPr="006702A1" w:rsidRDefault="00A62E97" w:rsidP="00A62E97">
      <w:pPr>
        <w:pStyle w:val="Headingb"/>
        <w:rPr>
          <w:lang w:val="es-ES"/>
        </w:rPr>
      </w:pPr>
      <w:r w:rsidRPr="006702A1">
        <w:rPr>
          <w:bCs/>
          <w:lang w:val="es-ES"/>
        </w:rPr>
        <w:lastRenderedPageBreak/>
        <w:t>Actividades de los Grupos de Trabajo</w:t>
      </w:r>
    </w:p>
    <w:p w14:paraId="1A18CD4A" w14:textId="77777777" w:rsidR="00A62E97" w:rsidRPr="006702A1" w:rsidRDefault="00A62E97" w:rsidP="003A6633">
      <w:pPr>
        <w:jc w:val="both"/>
        <w:rPr>
          <w:spacing w:val="-2"/>
          <w:lang w:val="es-ES"/>
        </w:rPr>
      </w:pPr>
      <w:r w:rsidRPr="006702A1">
        <w:rPr>
          <w:lang w:val="es-ES"/>
        </w:rPr>
        <w:t xml:space="preserve">Habida cuenta de las decisiones adoptadas en Abuja (Nigeria) en febrero de 2025, la estructura del Organismo Consultivo Internacional sobre Resiliencia de los Cables Submarinos consta de los tres grupos de trabajo siguientes: </w:t>
      </w:r>
    </w:p>
    <w:p w14:paraId="4488533E" w14:textId="77777777" w:rsidR="00A62E97" w:rsidRPr="006702A1" w:rsidRDefault="00A62E97" w:rsidP="003A6633">
      <w:pPr>
        <w:pStyle w:val="Headingb"/>
        <w:jc w:val="both"/>
        <w:rPr>
          <w:lang w:val="es-ES"/>
        </w:rPr>
      </w:pPr>
      <w:r w:rsidRPr="006702A1">
        <w:rPr>
          <w:bCs/>
          <w:lang w:val="es-ES"/>
        </w:rPr>
        <w:t>–</w:t>
      </w:r>
      <w:r w:rsidRPr="006702A1">
        <w:rPr>
          <w:lang w:val="es-ES"/>
        </w:rPr>
        <w:tab/>
      </w:r>
      <w:r w:rsidRPr="006702A1">
        <w:rPr>
          <w:bCs/>
          <w:lang w:val="es-ES"/>
        </w:rPr>
        <w:t>Grupo de Trabajo 1 – Instalación y reparación oportunas</w:t>
      </w:r>
      <w:r w:rsidRPr="006702A1">
        <w:rPr>
          <w:lang w:val="es-ES"/>
        </w:rPr>
        <w:t xml:space="preserve"> </w:t>
      </w:r>
    </w:p>
    <w:p w14:paraId="3CEE56AD" w14:textId="0826C7AD" w:rsidR="00A62E97" w:rsidRPr="006702A1" w:rsidRDefault="00A62E97" w:rsidP="003A6633">
      <w:pPr>
        <w:pStyle w:val="enumlev2"/>
        <w:jc w:val="both"/>
        <w:rPr>
          <w:b/>
          <w:bCs/>
          <w:lang w:val="es-ES"/>
        </w:rPr>
      </w:pPr>
      <w:r w:rsidRPr="006702A1">
        <w:rPr>
          <w:lang w:val="es-ES"/>
        </w:rPr>
        <w:t>•</w:t>
      </w:r>
      <w:r w:rsidRPr="006702A1">
        <w:rPr>
          <w:lang w:val="es-ES"/>
        </w:rPr>
        <w:tab/>
        <w:t>con 53 miembros</w:t>
      </w:r>
      <w:r w:rsidR="00275283">
        <w:rPr>
          <w:lang w:val="es-ES"/>
        </w:rPr>
        <w:t>;</w:t>
      </w:r>
    </w:p>
    <w:p w14:paraId="1E800CEE" w14:textId="77777777" w:rsidR="00A62E97" w:rsidRPr="006702A1" w:rsidRDefault="00A62E97" w:rsidP="003A6633">
      <w:pPr>
        <w:pStyle w:val="enumlev2"/>
        <w:jc w:val="both"/>
        <w:rPr>
          <w:b/>
          <w:bCs/>
          <w:lang w:val="es-ES"/>
        </w:rPr>
      </w:pPr>
      <w:r w:rsidRPr="006702A1">
        <w:rPr>
          <w:lang w:val="es-ES"/>
        </w:rPr>
        <w:t>•</w:t>
      </w:r>
      <w:r w:rsidRPr="006702A1">
        <w:rPr>
          <w:lang w:val="es-ES"/>
        </w:rPr>
        <w:tab/>
        <w:t xml:space="preserve">comoderado por el Sr. Zhiguo Zhao (República Popular de China) y el Sr. Kevin Adams (Reino Unido). </w:t>
      </w:r>
    </w:p>
    <w:p w14:paraId="317CD762" w14:textId="77777777" w:rsidR="00A62E97" w:rsidRPr="006702A1" w:rsidRDefault="00A62E97" w:rsidP="003A6633">
      <w:pPr>
        <w:pStyle w:val="Headingb"/>
        <w:jc w:val="both"/>
        <w:rPr>
          <w:lang w:val="es-ES"/>
        </w:rPr>
      </w:pPr>
      <w:r w:rsidRPr="006702A1">
        <w:rPr>
          <w:bCs/>
          <w:lang w:val="es-ES"/>
        </w:rPr>
        <w:t>–</w:t>
      </w:r>
      <w:r w:rsidRPr="006702A1">
        <w:rPr>
          <w:lang w:val="es-ES"/>
        </w:rPr>
        <w:tab/>
      </w:r>
      <w:r w:rsidRPr="006702A1">
        <w:rPr>
          <w:bCs/>
          <w:lang w:val="es-ES"/>
        </w:rPr>
        <w:t>Grupo de Trabajo 2 – Identificación, supervisión y mitigación de riesgos</w:t>
      </w:r>
    </w:p>
    <w:p w14:paraId="1D5FAB09" w14:textId="37551D43" w:rsidR="00A62E97" w:rsidRPr="006702A1" w:rsidRDefault="00A62E97" w:rsidP="003A6633">
      <w:pPr>
        <w:pStyle w:val="enumlev2"/>
        <w:jc w:val="both"/>
        <w:rPr>
          <w:b/>
          <w:bCs/>
          <w:lang w:val="es-ES"/>
        </w:rPr>
      </w:pPr>
      <w:r w:rsidRPr="006702A1">
        <w:rPr>
          <w:lang w:val="es-ES"/>
        </w:rPr>
        <w:t>•</w:t>
      </w:r>
      <w:r w:rsidRPr="006702A1">
        <w:rPr>
          <w:lang w:val="es-ES"/>
        </w:rPr>
        <w:tab/>
        <w:t>con 61 miembros</w:t>
      </w:r>
      <w:r w:rsidR="00275283">
        <w:rPr>
          <w:lang w:val="es-ES"/>
        </w:rPr>
        <w:t>;</w:t>
      </w:r>
    </w:p>
    <w:p w14:paraId="7A314957" w14:textId="77777777" w:rsidR="00A62E97" w:rsidRPr="006702A1" w:rsidRDefault="00A62E97" w:rsidP="003A6633">
      <w:pPr>
        <w:pStyle w:val="enumlev2"/>
        <w:jc w:val="both"/>
        <w:rPr>
          <w:b/>
          <w:bCs/>
          <w:lang w:val="es-ES"/>
        </w:rPr>
      </w:pPr>
      <w:r w:rsidRPr="006702A1">
        <w:rPr>
          <w:lang w:val="es-ES"/>
        </w:rPr>
        <w:t>•</w:t>
      </w:r>
      <w:r w:rsidRPr="006702A1">
        <w:rPr>
          <w:lang w:val="es-ES"/>
        </w:rPr>
        <w:tab/>
        <w:t>comoderado por la Sra. Nonkqubela Thathakahle Jordan-Dyani, Sudáfrica, y el Sr. Andy Palmer-Felgate, North American Submarine Cable Association.</w:t>
      </w:r>
    </w:p>
    <w:p w14:paraId="4FD77CF9" w14:textId="77777777" w:rsidR="00A62E97" w:rsidRPr="006702A1" w:rsidRDefault="00A62E97" w:rsidP="003A6633">
      <w:pPr>
        <w:pStyle w:val="Headingb"/>
        <w:jc w:val="both"/>
        <w:rPr>
          <w:lang w:val="es-ES"/>
        </w:rPr>
      </w:pPr>
      <w:r w:rsidRPr="006702A1">
        <w:rPr>
          <w:bCs/>
          <w:lang w:val="es-ES"/>
        </w:rPr>
        <w:t>–</w:t>
      </w:r>
      <w:r w:rsidRPr="006702A1">
        <w:rPr>
          <w:lang w:val="es-ES"/>
        </w:rPr>
        <w:tab/>
      </w:r>
      <w:r w:rsidRPr="006702A1">
        <w:rPr>
          <w:bCs/>
          <w:lang w:val="es-ES"/>
        </w:rPr>
        <w:t>Grupo de Trabajo 3 – Fomentar la conectividad y la diversidad geográfica</w:t>
      </w:r>
    </w:p>
    <w:p w14:paraId="18E24BBA" w14:textId="575057F9" w:rsidR="00A62E97" w:rsidRPr="006702A1" w:rsidRDefault="00A62E97" w:rsidP="003A6633">
      <w:pPr>
        <w:pStyle w:val="enumlev2"/>
        <w:jc w:val="both"/>
        <w:rPr>
          <w:b/>
          <w:bCs/>
          <w:lang w:val="es-ES"/>
        </w:rPr>
      </w:pPr>
      <w:r w:rsidRPr="006702A1">
        <w:rPr>
          <w:lang w:val="es-ES"/>
        </w:rPr>
        <w:t>•</w:t>
      </w:r>
      <w:r w:rsidRPr="006702A1">
        <w:rPr>
          <w:lang w:val="es-ES"/>
        </w:rPr>
        <w:tab/>
        <w:t>con 61 miembros</w:t>
      </w:r>
      <w:r w:rsidR="00275283">
        <w:rPr>
          <w:lang w:val="es-ES"/>
        </w:rPr>
        <w:t>;</w:t>
      </w:r>
    </w:p>
    <w:p w14:paraId="3C7FEE4B" w14:textId="77777777" w:rsidR="00A62E97" w:rsidRPr="006702A1" w:rsidRDefault="00A62E97" w:rsidP="003A6633">
      <w:pPr>
        <w:pStyle w:val="enumlev2"/>
        <w:jc w:val="both"/>
        <w:rPr>
          <w:b/>
          <w:bCs/>
          <w:lang w:val="es-ES"/>
        </w:rPr>
      </w:pPr>
      <w:r w:rsidRPr="006702A1">
        <w:rPr>
          <w:lang w:val="es-ES"/>
        </w:rPr>
        <w:t>•</w:t>
      </w:r>
      <w:r w:rsidRPr="006702A1">
        <w:rPr>
          <w:lang w:val="es-ES"/>
        </w:rPr>
        <w:tab/>
        <w:t>comoderado por el Sr. Sangbu Kim, Banco Mundial, y el Sr. Rodney Taylor, Unión de Telecomunicaciones del Caribe.</w:t>
      </w:r>
    </w:p>
    <w:p w14:paraId="12E59747" w14:textId="77777777" w:rsidR="00A62E97" w:rsidRPr="006702A1" w:rsidRDefault="00A62E97" w:rsidP="003A6633">
      <w:pPr>
        <w:jc w:val="both"/>
        <w:rPr>
          <w:lang w:val="es-ES"/>
        </w:rPr>
      </w:pPr>
      <w:r w:rsidRPr="006702A1">
        <w:rPr>
          <w:lang w:val="es-ES"/>
        </w:rPr>
        <w:t xml:space="preserve">La labor de los tres Grupos de Trabajo del Organismo Consultivo Internacional sobre Resiliencia de los Cables Submarinos avanza de acuerdo con el plan de trabajo y el calendario acordados. Todos los grupos están ultimando sus principales productos, </w:t>
      </w:r>
      <w:proofErr w:type="gramStart"/>
      <w:r w:rsidRPr="006702A1">
        <w:rPr>
          <w:lang w:val="es-ES"/>
        </w:rPr>
        <w:t>centrándose principalmente en</w:t>
      </w:r>
      <w:proofErr w:type="gramEnd"/>
      <w:r w:rsidRPr="006702A1">
        <w:rPr>
          <w:lang w:val="es-ES"/>
        </w:rPr>
        <w:t xml:space="preserve"> la elaboración de recomendaciones prácticas, prácticas y basadas en el consenso.</w:t>
      </w:r>
    </w:p>
    <w:p w14:paraId="0CE94514" w14:textId="77777777" w:rsidR="00A62E97" w:rsidRPr="006702A1" w:rsidRDefault="00A62E97" w:rsidP="003A6633">
      <w:pPr>
        <w:jc w:val="both"/>
        <w:rPr>
          <w:lang w:val="es-ES"/>
        </w:rPr>
      </w:pPr>
      <w:r w:rsidRPr="006702A1">
        <w:rPr>
          <w:lang w:val="es-ES"/>
        </w:rPr>
        <w:t>Cada Grupo de Trabajo está preparando un informe exhaustivo de hasta 50 páginas, que presentará un análisis en profundidad de los principales retos y oportunidades en sus respectivas esferas. Estos informes tienen por objeto identificar recomendaciones concretas y aplicables e indicar claramente las entidades responsables de su aplicación, incluidas las organizaciones internacionales, los gobiernos nacionales y las partes interesadas de la industria.</w:t>
      </w:r>
    </w:p>
    <w:p w14:paraId="6C0BD246" w14:textId="77777777" w:rsidR="00A62E97" w:rsidRPr="006702A1" w:rsidRDefault="00A62E97" w:rsidP="003A6633">
      <w:pPr>
        <w:jc w:val="both"/>
        <w:rPr>
          <w:lang w:val="es-ES"/>
        </w:rPr>
      </w:pPr>
      <w:r w:rsidRPr="006702A1">
        <w:rPr>
          <w:lang w:val="es-ES"/>
        </w:rPr>
        <w:t xml:space="preserve">Paralelamente, cada Grupo de Trabajo elaboró un resumen conciso de sus </w:t>
      </w:r>
      <w:hyperlink r:id="rId14" w:anchor="/es" w:history="1">
        <w:r w:rsidRPr="006702A1">
          <w:rPr>
            <w:rStyle w:val="Hyperlink"/>
            <w:lang w:val="es-ES"/>
          </w:rPr>
          <w:t>recomendaciones</w:t>
        </w:r>
      </w:hyperlink>
      <w:r w:rsidRPr="006702A1">
        <w:rPr>
          <w:lang w:val="es-ES"/>
        </w:rPr>
        <w:t xml:space="preserve"> más esenciales y viables, que fueron adoptadas en la Cumbre de Oporto (véase a continuación). Estos resúmenes servirán de base para la adopción de decisiones de alto nivel y facilitarán el proceso de aprobación. </w:t>
      </w:r>
      <w:hyperlink r:id="rId15" w:history="1"/>
    </w:p>
    <w:p w14:paraId="1C8EC89C" w14:textId="77777777" w:rsidR="00A62E97" w:rsidRPr="006702A1" w:rsidRDefault="00A62E97" w:rsidP="003A6633">
      <w:pPr>
        <w:jc w:val="both"/>
        <w:rPr>
          <w:lang w:val="es-ES"/>
        </w:rPr>
      </w:pPr>
      <w:r w:rsidRPr="006702A1">
        <w:rPr>
          <w:lang w:val="es-ES"/>
        </w:rPr>
        <w:t>Tras la Cumbre, los informes completos se someterán a una nueva edición y revisión técnica, y se espera su publicación definitiva en junio de 2026.</w:t>
      </w:r>
    </w:p>
    <w:p w14:paraId="2CB2C1D8" w14:textId="312ADF91" w:rsidR="00A62E97" w:rsidRPr="006702A1" w:rsidRDefault="00A62E97" w:rsidP="00A62E97">
      <w:pPr>
        <w:pStyle w:val="Headingb"/>
        <w:rPr>
          <w:lang w:val="es-ES"/>
        </w:rPr>
      </w:pPr>
      <w:r w:rsidRPr="006702A1">
        <w:rPr>
          <w:bCs/>
          <w:lang w:val="es-ES"/>
        </w:rPr>
        <w:t>Cumbre Internacional sobre la Resiliencia de los Cables Submarinos de 2026,</w:t>
      </w:r>
      <w:r w:rsidR="00C136BB">
        <w:rPr>
          <w:bCs/>
          <w:lang w:val="es-ES"/>
        </w:rPr>
        <w:br/>
      </w:r>
      <w:r w:rsidRPr="006702A1">
        <w:rPr>
          <w:bCs/>
          <w:lang w:val="es-ES"/>
        </w:rPr>
        <w:t>Oporto (Portugal)</w:t>
      </w:r>
    </w:p>
    <w:p w14:paraId="60C345A5" w14:textId="77777777" w:rsidR="00A62E97" w:rsidRPr="006702A1" w:rsidRDefault="00A62E97" w:rsidP="003A6633">
      <w:pPr>
        <w:jc w:val="both"/>
        <w:rPr>
          <w:lang w:val="es-ES"/>
        </w:rPr>
      </w:pPr>
      <w:r w:rsidRPr="006702A1">
        <w:rPr>
          <w:lang w:val="es-ES"/>
        </w:rPr>
        <w:t xml:space="preserve">La segunda Cumbre Internacional sobre la Resiliencia de los Cables Submarinos se celebró los días 2 y 3 de febrero de 2026 en Oporto (Portugal). </w:t>
      </w:r>
    </w:p>
    <w:p w14:paraId="3E53C467" w14:textId="77777777" w:rsidR="00A62E97" w:rsidRPr="006702A1" w:rsidRDefault="00A62E97" w:rsidP="003A6633">
      <w:pPr>
        <w:jc w:val="both"/>
        <w:rPr>
          <w:lang w:val="es-ES"/>
        </w:rPr>
      </w:pPr>
      <w:r w:rsidRPr="006702A1">
        <w:rPr>
          <w:lang w:val="es-ES"/>
        </w:rPr>
        <w:t xml:space="preserve">Bajo los auspicios del Presidente de la República de Portugal, la Cumbre fue acogida por la Autoridade Nacional de Comunicações (ANACOM) de Portugal, con el apoyo de la UIT y del Comité Internacional para la Protección de los Cables (ICPC). </w:t>
      </w:r>
    </w:p>
    <w:p w14:paraId="2EA267C1" w14:textId="77777777" w:rsidR="00A62E97" w:rsidRPr="006702A1" w:rsidRDefault="00A62E97" w:rsidP="003A6633">
      <w:pPr>
        <w:jc w:val="both"/>
        <w:rPr>
          <w:lang w:val="es-ES"/>
        </w:rPr>
      </w:pPr>
      <w:r w:rsidRPr="006702A1">
        <w:rPr>
          <w:lang w:val="es-ES"/>
        </w:rPr>
        <w:lastRenderedPageBreak/>
        <w:t>La Cumbre de Oporto reunió a más de 350 participantes de más de 70 países, en representación de gobiernos, autoridades reguladoras, líderes de la industria, inversores, expertos en cables submarinos, organizaciones internacionales y otras partes interesadas para seguir abordando los acuciantes desafíos que rodean a los sistemas de cables submarinos de telecomunicaciones.</w:t>
      </w:r>
    </w:p>
    <w:p w14:paraId="277323C4" w14:textId="77777777" w:rsidR="00A62E97" w:rsidRPr="006702A1" w:rsidRDefault="00A62E97" w:rsidP="003A6633">
      <w:pPr>
        <w:jc w:val="both"/>
        <w:rPr>
          <w:lang w:val="es-ES"/>
        </w:rPr>
      </w:pPr>
      <w:r w:rsidRPr="006702A1">
        <w:rPr>
          <w:lang w:val="es-ES"/>
        </w:rPr>
        <w:t xml:space="preserve">La Cumbre Internacional sobre la Resiliencia de los Cables Submarinos 2026 contó con sesiones de alto nivel y paneles de expertos, con debates interactivos destinados a mejorar la resiliencia y la financiación de esta infraestructura vital. </w:t>
      </w:r>
    </w:p>
    <w:p w14:paraId="072FE914" w14:textId="77777777" w:rsidR="00A62E97" w:rsidRPr="006702A1" w:rsidRDefault="00A62E97" w:rsidP="003A6633">
      <w:pPr>
        <w:keepNext/>
        <w:keepLines/>
        <w:jc w:val="both"/>
        <w:rPr>
          <w:lang w:val="es-ES"/>
        </w:rPr>
      </w:pPr>
      <w:r w:rsidRPr="006702A1">
        <w:rPr>
          <w:lang w:val="es-ES"/>
        </w:rPr>
        <w:t xml:space="preserve">Entre los principales resultados de la Cumbre figuraron: </w:t>
      </w:r>
    </w:p>
    <w:p w14:paraId="540D53B2" w14:textId="77777777" w:rsidR="00A62E97" w:rsidRPr="006702A1" w:rsidRDefault="00A62E97" w:rsidP="003A6633">
      <w:pPr>
        <w:pStyle w:val="enumlev1"/>
        <w:keepNext/>
        <w:keepLines/>
        <w:jc w:val="both"/>
        <w:rPr>
          <w:rFonts w:asciiTheme="minorHAnsi" w:hAnsiTheme="minorHAnsi" w:cstheme="minorHAnsi"/>
          <w:lang w:val="es-ES"/>
        </w:rPr>
      </w:pPr>
      <w:r w:rsidRPr="006702A1">
        <w:rPr>
          <w:lang w:val="es-ES"/>
        </w:rPr>
        <w:t>1)</w:t>
      </w:r>
      <w:r w:rsidRPr="006702A1">
        <w:rPr>
          <w:lang w:val="es-ES"/>
        </w:rPr>
        <w:tab/>
        <w:t xml:space="preserve">Adopción de la </w:t>
      </w:r>
      <w:hyperlink r:id="rId16" w:history="1">
        <w:r w:rsidRPr="006702A1">
          <w:rPr>
            <w:rStyle w:val="Hyperlink"/>
            <w:lang w:val="es-ES"/>
          </w:rPr>
          <w:t>Declaración de Oporto</w:t>
        </w:r>
      </w:hyperlink>
      <w:r w:rsidRPr="006702A1">
        <w:rPr>
          <w:lang w:val="es-ES"/>
        </w:rPr>
        <w:t xml:space="preserve"> sobre resiliencia de los cables submarinos. </w:t>
      </w:r>
      <w:hyperlink r:id="rId17" w:history="1"/>
    </w:p>
    <w:p w14:paraId="1E50ACAE" w14:textId="77777777" w:rsidR="00A62E97" w:rsidRPr="006702A1" w:rsidRDefault="00A62E97" w:rsidP="003A6633">
      <w:pPr>
        <w:pStyle w:val="enumlev1"/>
        <w:jc w:val="both"/>
        <w:rPr>
          <w:lang w:val="es-ES"/>
        </w:rPr>
      </w:pPr>
      <w:r w:rsidRPr="006702A1">
        <w:rPr>
          <w:lang w:val="es-ES"/>
        </w:rPr>
        <w:tab/>
        <w:t>En la Declaración de Oporto se afirmaron las siguientes orientaciones para fortalecer la cooperación y la resiliencia internacionales:</w:t>
      </w:r>
    </w:p>
    <w:p w14:paraId="17FD60F6" w14:textId="77777777" w:rsidR="00A62E97" w:rsidRPr="006702A1" w:rsidRDefault="00A62E97" w:rsidP="003A6633">
      <w:pPr>
        <w:pStyle w:val="enumlev2"/>
        <w:jc w:val="both"/>
        <w:rPr>
          <w:spacing w:val="-2"/>
          <w:lang w:val="es-ES"/>
        </w:rPr>
      </w:pPr>
      <w:r w:rsidRPr="006702A1">
        <w:rPr>
          <w:lang w:val="es-ES"/>
        </w:rPr>
        <w:t>–</w:t>
      </w:r>
      <w:r w:rsidRPr="006702A1">
        <w:rPr>
          <w:lang w:val="es-ES"/>
        </w:rPr>
        <w:tab/>
        <w:t xml:space="preserve">Racionalizar los procesos de permisos, mantenimiento y reparación de cables submarinos mediante marcos reglamentarios claros, transparentes y predecibles, y designar un solo punto de contacto gubernamental para facilitar el despliegue y la reparación oportunos de cables. </w:t>
      </w:r>
    </w:p>
    <w:p w14:paraId="6E7D775C" w14:textId="77777777" w:rsidR="00A62E97" w:rsidRPr="006702A1" w:rsidRDefault="00A62E97" w:rsidP="003A6633">
      <w:pPr>
        <w:pStyle w:val="enumlev2"/>
        <w:jc w:val="both"/>
        <w:rPr>
          <w:lang w:val="es-ES"/>
        </w:rPr>
      </w:pPr>
      <w:r w:rsidRPr="006702A1">
        <w:rPr>
          <w:lang w:val="es-ES"/>
        </w:rPr>
        <w:t>–</w:t>
      </w:r>
      <w:r w:rsidRPr="006702A1">
        <w:rPr>
          <w:lang w:val="es-ES"/>
        </w:rPr>
        <w:tab/>
        <w:t xml:space="preserve">Mejorar el marco jurídico y los procedimientos reglamentarios, reduciendo al mismo tiempo las barreras jurídicas y reglamentarias, incluso en ámbitos como el cabotaje, las aduanas y la planificación y gestión del espacio marino. </w:t>
      </w:r>
    </w:p>
    <w:p w14:paraId="5E58F4E3" w14:textId="77777777" w:rsidR="00A62E97" w:rsidRPr="006702A1" w:rsidRDefault="00A62E97" w:rsidP="003A6633">
      <w:pPr>
        <w:pStyle w:val="enumlev2"/>
        <w:jc w:val="both"/>
        <w:rPr>
          <w:lang w:val="es-ES"/>
        </w:rPr>
      </w:pPr>
      <w:r w:rsidRPr="006702A1">
        <w:rPr>
          <w:lang w:val="es-ES"/>
        </w:rPr>
        <w:t>–</w:t>
      </w:r>
      <w:r w:rsidRPr="006702A1">
        <w:rPr>
          <w:lang w:val="es-ES"/>
        </w:rPr>
        <w:tab/>
        <w:t xml:space="preserve">Fomentar la diversidad geográfica y la redundancia de los cables, respaldando la inversión a través de asociaciones, incluidas las asociaciones público-privadas, el apoyo a rutas variadas, puntos de amarre redundantes e infraestructura resistente, especialmente para los pequeños Estados insulares en desarrollo, los países menos adelantados, los países en desarrollo sin litoral y las regiones insuficientemente atendidas. </w:t>
      </w:r>
    </w:p>
    <w:p w14:paraId="15B79B08" w14:textId="77777777" w:rsidR="00A62E97" w:rsidRPr="006702A1" w:rsidRDefault="00A62E97" w:rsidP="003A6633">
      <w:pPr>
        <w:pStyle w:val="enumlev2"/>
        <w:jc w:val="both"/>
        <w:rPr>
          <w:lang w:val="es-ES"/>
        </w:rPr>
      </w:pPr>
      <w:r w:rsidRPr="006702A1">
        <w:rPr>
          <w:lang w:val="es-ES"/>
        </w:rPr>
        <w:t>–</w:t>
      </w:r>
      <w:r w:rsidRPr="006702A1">
        <w:rPr>
          <w:lang w:val="es-ES"/>
        </w:rPr>
        <w:tab/>
        <w:t xml:space="preserve">Fomentar la adopción de prácticas óptimas de la industria para evaluar, mitigar y responder a los riesgos para la infraestructura de cables submarinos. </w:t>
      </w:r>
    </w:p>
    <w:p w14:paraId="3FC35155" w14:textId="77777777" w:rsidR="00A62E97" w:rsidRPr="006702A1" w:rsidRDefault="00A62E97" w:rsidP="003A6633">
      <w:pPr>
        <w:pStyle w:val="enumlev2"/>
        <w:jc w:val="both"/>
        <w:rPr>
          <w:lang w:val="es-ES"/>
        </w:rPr>
      </w:pPr>
      <w:r w:rsidRPr="006702A1">
        <w:rPr>
          <w:lang w:val="es-ES"/>
        </w:rPr>
        <w:t>–</w:t>
      </w:r>
      <w:r w:rsidRPr="006702A1">
        <w:rPr>
          <w:lang w:val="es-ES"/>
        </w:rPr>
        <w:tab/>
        <w:t xml:space="preserve">Fomentar una mayor protección de los cables mediante una mejor planificación y en todos los sectores marinos pertinentes. </w:t>
      </w:r>
    </w:p>
    <w:p w14:paraId="4313F209" w14:textId="77777777" w:rsidR="00A62E97" w:rsidRPr="006702A1" w:rsidRDefault="00A62E97" w:rsidP="003A6633">
      <w:pPr>
        <w:pStyle w:val="enumlev2"/>
        <w:jc w:val="both"/>
        <w:rPr>
          <w:lang w:val="es-ES"/>
        </w:rPr>
      </w:pPr>
      <w:r w:rsidRPr="006702A1">
        <w:rPr>
          <w:lang w:val="es-ES"/>
        </w:rPr>
        <w:t>–</w:t>
      </w:r>
      <w:r w:rsidRPr="006702A1">
        <w:rPr>
          <w:lang w:val="es-ES"/>
        </w:rPr>
        <w:tab/>
        <w:t xml:space="preserve">Crear capacidad de cable y apoyar la innovación mediante la formación y el uso de tecnologías que mejoren la supervisión, el diseño de rutas, la redundancia y la infraestructura resistente al clima. </w:t>
      </w:r>
    </w:p>
    <w:p w14:paraId="6F391A09" w14:textId="77777777" w:rsidR="00A62E97" w:rsidRPr="006702A1" w:rsidRDefault="00A62E97" w:rsidP="003A6633">
      <w:pPr>
        <w:jc w:val="both"/>
        <w:rPr>
          <w:rFonts w:asciiTheme="minorHAnsi" w:hAnsiTheme="minorHAnsi" w:cstheme="minorHAnsi"/>
          <w:lang w:val="es-ES"/>
        </w:rPr>
      </w:pPr>
      <w:r w:rsidRPr="006702A1">
        <w:rPr>
          <w:lang w:val="es-ES"/>
        </w:rPr>
        <w:t xml:space="preserve">En la </w:t>
      </w:r>
      <w:hyperlink r:id="rId18" w:history="1">
        <w:r w:rsidRPr="006702A1">
          <w:rPr>
            <w:rStyle w:val="Hyperlink"/>
            <w:lang w:val="es-ES"/>
          </w:rPr>
          <w:t>Declaración</w:t>
        </w:r>
      </w:hyperlink>
      <w:r w:rsidRPr="006702A1">
        <w:rPr>
          <w:lang w:val="es-ES"/>
        </w:rPr>
        <w:t xml:space="preserve"> se reafirma el compromiso común de cooperación para ayudar a garantizar que los cables submarinos constituyan una base sólida para una conectividad mundial abierta, fiable e interoperable para todos.</w:t>
      </w:r>
      <w:hyperlink r:id="rId19" w:history="1"/>
    </w:p>
    <w:p w14:paraId="7CA8B225" w14:textId="77777777" w:rsidR="00A62E97" w:rsidRPr="006702A1" w:rsidRDefault="00A62E97" w:rsidP="003A6633">
      <w:pPr>
        <w:pStyle w:val="enumlev1"/>
        <w:jc w:val="both"/>
        <w:rPr>
          <w:rFonts w:asciiTheme="minorHAnsi" w:hAnsiTheme="minorHAnsi" w:cstheme="minorHAnsi"/>
          <w:lang w:val="es-ES"/>
        </w:rPr>
      </w:pPr>
      <w:r w:rsidRPr="006702A1">
        <w:rPr>
          <w:lang w:val="es-ES"/>
        </w:rPr>
        <w:t>2)</w:t>
      </w:r>
      <w:r w:rsidRPr="006702A1">
        <w:rPr>
          <w:lang w:val="es-ES"/>
        </w:rPr>
        <w:tab/>
        <w:t xml:space="preserve">Aprobación de </w:t>
      </w:r>
      <w:hyperlink r:id="rId20" w:anchor="/es" w:history="1">
        <w:r w:rsidRPr="006702A1">
          <w:rPr>
            <w:rStyle w:val="Hyperlink"/>
            <w:lang w:val="es-ES"/>
          </w:rPr>
          <w:t>Recomendaciones del IAB</w:t>
        </w:r>
      </w:hyperlink>
      <w:r w:rsidRPr="006702A1">
        <w:rPr>
          <w:lang w:val="es-ES"/>
        </w:rPr>
        <w:t xml:space="preserve"> que proporcionan orientaciones prácticas sobre:</w:t>
      </w:r>
      <w:hyperlink r:id="rId21" w:history="1"/>
    </w:p>
    <w:p w14:paraId="6EC71E6A" w14:textId="77777777" w:rsidR="00A62E97" w:rsidRPr="006702A1" w:rsidRDefault="00A62E97" w:rsidP="003A6633">
      <w:pPr>
        <w:pStyle w:val="enumlev2"/>
        <w:jc w:val="both"/>
        <w:rPr>
          <w:lang w:val="es-ES"/>
        </w:rPr>
      </w:pPr>
      <w:r w:rsidRPr="006702A1">
        <w:rPr>
          <w:lang w:val="es-ES"/>
        </w:rPr>
        <w:t>–</w:t>
      </w:r>
      <w:r w:rsidRPr="006702A1">
        <w:rPr>
          <w:lang w:val="es-ES"/>
        </w:rPr>
        <w:tab/>
        <w:t>el despliegue y la reparación oportunos;</w:t>
      </w:r>
    </w:p>
    <w:p w14:paraId="67E6B4C7" w14:textId="77777777" w:rsidR="00A62E97" w:rsidRPr="006702A1" w:rsidRDefault="00A62E97" w:rsidP="003A6633">
      <w:pPr>
        <w:pStyle w:val="enumlev2"/>
        <w:jc w:val="both"/>
        <w:rPr>
          <w:lang w:val="es-ES"/>
        </w:rPr>
      </w:pPr>
      <w:r w:rsidRPr="006702A1">
        <w:rPr>
          <w:lang w:val="es-ES"/>
        </w:rPr>
        <w:t>–</w:t>
      </w:r>
      <w:r w:rsidRPr="006702A1">
        <w:rPr>
          <w:lang w:val="es-ES"/>
        </w:rPr>
        <w:tab/>
        <w:t xml:space="preserve">la identificación y mitigación de los riesgos y la promoción de la diversidad de rutas, y </w:t>
      </w:r>
    </w:p>
    <w:p w14:paraId="18B22244" w14:textId="77777777" w:rsidR="00A62E97" w:rsidRPr="006702A1" w:rsidRDefault="00A62E97" w:rsidP="003A6633">
      <w:pPr>
        <w:pStyle w:val="enumlev2"/>
        <w:jc w:val="both"/>
        <w:rPr>
          <w:lang w:val="es-ES"/>
        </w:rPr>
      </w:pPr>
      <w:r w:rsidRPr="006702A1">
        <w:rPr>
          <w:lang w:val="es-ES"/>
        </w:rPr>
        <w:t>–</w:t>
      </w:r>
      <w:r w:rsidRPr="006702A1">
        <w:rPr>
          <w:lang w:val="es-ES"/>
        </w:rPr>
        <w:tab/>
        <w:t>la conectividad mundial.</w:t>
      </w:r>
    </w:p>
    <w:p w14:paraId="04D95ABB" w14:textId="77777777" w:rsidR="00A62E97" w:rsidRPr="006702A1" w:rsidRDefault="00A62E97" w:rsidP="003A6633">
      <w:pPr>
        <w:jc w:val="both"/>
        <w:rPr>
          <w:lang w:val="es-ES"/>
        </w:rPr>
      </w:pPr>
      <w:r w:rsidRPr="006702A1">
        <w:rPr>
          <w:lang w:val="es-ES"/>
        </w:rPr>
        <w:lastRenderedPageBreak/>
        <w:t>La Declaración de Oporto, junto con el conjunto de recomendaciones elaboradas por el Organismo Consultivo Internacional sobre Resiliencia de los Cables Submarinos, ofrecen orientaciones para reforzar la cooperación internacional entre los sectores público y privado a fin de aumentar la resiliencia de esta infraestructura compartida vital, desde la reducción de los tiempos de reparación de los cables hasta el apoyo a las regiones insuficientemente atendidas.</w:t>
      </w:r>
    </w:p>
    <w:p w14:paraId="217A6B1D" w14:textId="77777777" w:rsidR="00A62E97" w:rsidRPr="006702A1" w:rsidRDefault="00A62E97" w:rsidP="003A6633">
      <w:pPr>
        <w:pStyle w:val="Headingb"/>
        <w:jc w:val="both"/>
        <w:rPr>
          <w:lang w:val="es-ES"/>
        </w:rPr>
      </w:pPr>
      <w:r w:rsidRPr="006702A1">
        <w:rPr>
          <w:bCs/>
          <w:lang w:val="es-ES"/>
        </w:rPr>
        <w:t>Próximos pasos</w:t>
      </w:r>
    </w:p>
    <w:p w14:paraId="706BED55" w14:textId="77777777" w:rsidR="00A62E97" w:rsidRPr="006702A1" w:rsidRDefault="00A62E97" w:rsidP="003A6633">
      <w:pPr>
        <w:jc w:val="both"/>
        <w:rPr>
          <w:lang w:val="es-ES"/>
        </w:rPr>
      </w:pPr>
      <w:r w:rsidRPr="006702A1">
        <w:rPr>
          <w:lang w:val="es-ES"/>
        </w:rPr>
        <w:t xml:space="preserve">Tras el éxito de la Cumbre de Oporto, la atención pasará de la aprobación a la aplicación. </w:t>
      </w:r>
    </w:p>
    <w:p w14:paraId="777CBFC0" w14:textId="77777777" w:rsidR="00A62E97" w:rsidRPr="006702A1" w:rsidRDefault="00A62E97" w:rsidP="003A6633">
      <w:pPr>
        <w:jc w:val="both"/>
        <w:rPr>
          <w:lang w:val="es-ES"/>
        </w:rPr>
      </w:pPr>
      <w:r w:rsidRPr="006702A1">
        <w:rPr>
          <w:lang w:val="es-ES"/>
        </w:rPr>
        <w:t xml:space="preserve">La primera prioridad será la finalización técnica y editorial de los informes de los Grupos de Trabajo. </w:t>
      </w:r>
    </w:p>
    <w:p w14:paraId="07D51BEB" w14:textId="77777777" w:rsidR="00A62E97" w:rsidRPr="006702A1" w:rsidRDefault="00A62E97" w:rsidP="003A6633">
      <w:pPr>
        <w:jc w:val="both"/>
        <w:rPr>
          <w:lang w:val="es-ES"/>
        </w:rPr>
      </w:pPr>
      <w:r w:rsidRPr="006702A1">
        <w:rPr>
          <w:lang w:val="es-ES"/>
        </w:rPr>
        <w:t xml:space="preserve">Esto incluirá la subedición, el diseño y la revisión técnica final para garantizar que los documentos sean coherentes, accesibles y estén armonizados en las diferentes áreas temáticas. </w:t>
      </w:r>
    </w:p>
    <w:p w14:paraId="159CC0E5" w14:textId="77777777" w:rsidR="00A62E97" w:rsidRPr="006702A1" w:rsidRDefault="00A62E97" w:rsidP="003A6633">
      <w:pPr>
        <w:jc w:val="both"/>
        <w:rPr>
          <w:lang w:val="es-ES"/>
        </w:rPr>
      </w:pPr>
      <w:r w:rsidRPr="006702A1">
        <w:rPr>
          <w:lang w:val="es-ES"/>
        </w:rPr>
        <w:t xml:space="preserve">Una vez terminados, los informes consolidados se publicarán, marcando la transición de la consulta y el análisis a la acción concreta y el alcance global. </w:t>
      </w:r>
    </w:p>
    <w:p w14:paraId="39A0BF59" w14:textId="77777777" w:rsidR="00A62E97" w:rsidRPr="006702A1" w:rsidRDefault="00A62E97" w:rsidP="003A6633">
      <w:pPr>
        <w:jc w:val="both"/>
        <w:rPr>
          <w:lang w:val="es-ES"/>
        </w:rPr>
      </w:pPr>
      <w:r w:rsidRPr="006702A1">
        <w:rPr>
          <w:lang w:val="es-ES"/>
        </w:rPr>
        <w:t xml:space="preserve">Al mismo tiempo, los esfuerzos deberán concentrarse en promover la aceptación de los resultados de la Cumbre. Esto implicará la colaboración con las principales partes interesadas, incluidas las organizaciones internacionales, los gobiernos nacionales, los actores de la industria y las instituciones financieras, para traducir las recomendaciones aprobadas en políticas, marcos reglamentarios, estrategias de inversión y prácticas operativas. </w:t>
      </w:r>
    </w:p>
    <w:p w14:paraId="66D98EF9" w14:textId="77777777" w:rsidR="00A62E97" w:rsidRPr="006702A1" w:rsidRDefault="00A62E97" w:rsidP="003A6633">
      <w:pPr>
        <w:jc w:val="both"/>
        <w:rPr>
          <w:lang w:val="es-ES"/>
        </w:rPr>
      </w:pPr>
      <w:r w:rsidRPr="006702A1">
        <w:rPr>
          <w:lang w:val="es-ES"/>
        </w:rPr>
        <w:t>Por último, mantener el impulso después de la Cumbre será fundamental para garantizar que las recomendaciones conduzcan a mejoras tangibles en la resiliencia, seguridad y sostenibilidad de la infraestructura mundial de cables submarinos.</w:t>
      </w:r>
    </w:p>
    <w:p w14:paraId="434ED7E6" w14:textId="77777777" w:rsidR="00A62E97" w:rsidRPr="006702A1" w:rsidRDefault="00A62E97" w:rsidP="003A6633">
      <w:pPr>
        <w:pStyle w:val="Headingb"/>
        <w:jc w:val="both"/>
        <w:rPr>
          <w:lang w:val="es-ES"/>
        </w:rPr>
      </w:pPr>
      <w:r w:rsidRPr="006702A1">
        <w:rPr>
          <w:bCs/>
          <w:lang w:val="es-ES"/>
        </w:rPr>
        <w:t>Acción solicitada al Consejo</w:t>
      </w:r>
    </w:p>
    <w:p w14:paraId="42BD6C8B" w14:textId="77777777" w:rsidR="00A62E97" w:rsidRPr="006702A1" w:rsidRDefault="00A62E97" w:rsidP="003A6633">
      <w:pPr>
        <w:jc w:val="both"/>
        <w:rPr>
          <w:lang w:val="es-ES"/>
        </w:rPr>
      </w:pPr>
      <w:r w:rsidRPr="006702A1">
        <w:rPr>
          <w:lang w:val="es-ES"/>
        </w:rPr>
        <w:t xml:space="preserve">Se invita al Consejo de la UIT a </w:t>
      </w:r>
      <w:r w:rsidRPr="006702A1">
        <w:rPr>
          <w:b/>
          <w:bCs/>
          <w:lang w:val="es-ES"/>
        </w:rPr>
        <w:t>tomar nota</w:t>
      </w:r>
      <w:r w:rsidRPr="006702A1">
        <w:rPr>
          <w:lang w:val="es-ES"/>
        </w:rPr>
        <w:t xml:space="preserve"> del documento y de los progresos realizados en la colaboración internacional sobre resiliencia de los cables submarinos.</w:t>
      </w:r>
    </w:p>
    <w:p w14:paraId="78E5DBF4" w14:textId="77777777" w:rsidR="00F92BED" w:rsidRPr="0072063B" w:rsidRDefault="00F92BED" w:rsidP="0032202E">
      <w:pPr>
        <w:pStyle w:val="Reasons"/>
        <w:rPr>
          <w:lang w:val="es-ES"/>
        </w:rPr>
      </w:pPr>
    </w:p>
    <w:p w14:paraId="253425D7" w14:textId="77777777" w:rsidR="00F92BED" w:rsidRPr="00F92BED" w:rsidRDefault="00F92BED" w:rsidP="00F92BED">
      <w:pPr>
        <w:jc w:val="center"/>
      </w:pPr>
      <w:r>
        <w:t>______________</w:t>
      </w:r>
    </w:p>
    <w:sectPr w:rsidR="00F92BED" w:rsidRPr="00F92BED" w:rsidSect="00C538FC">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5D7F" w14:textId="77777777" w:rsidR="00A62E97" w:rsidRDefault="00A62E97">
      <w:r>
        <w:separator/>
      </w:r>
    </w:p>
  </w:endnote>
  <w:endnote w:type="continuationSeparator" w:id="0">
    <w:p w14:paraId="77815F63" w14:textId="77777777" w:rsidR="00A62E97" w:rsidRDefault="00A6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5E0D2BD" w14:textId="77777777" w:rsidTr="00E31DCE">
      <w:trPr>
        <w:jc w:val="center"/>
      </w:trPr>
      <w:tc>
        <w:tcPr>
          <w:tcW w:w="1803" w:type="dxa"/>
          <w:vAlign w:val="center"/>
        </w:tcPr>
        <w:p w14:paraId="4AA586AB" w14:textId="77777777" w:rsidR="003273A4" w:rsidRDefault="002946E2" w:rsidP="003273A4">
          <w:pPr>
            <w:pStyle w:val="Header"/>
            <w:jc w:val="left"/>
            <w:rPr>
              <w:noProof/>
            </w:rPr>
          </w:pPr>
          <w:r>
            <w:rPr>
              <w:noProof/>
            </w:rPr>
            <w:t>gDoc #</w:t>
          </w:r>
        </w:p>
      </w:tc>
      <w:tc>
        <w:tcPr>
          <w:tcW w:w="8261" w:type="dxa"/>
        </w:tcPr>
        <w:p w14:paraId="4B2C19A6" w14:textId="77BA7BA1"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56F2A">
            <w:rPr>
              <w:bCs/>
            </w:rPr>
            <w:t>76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D0189E8"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88A8891" w14:textId="77777777" w:rsidTr="00E31DCE">
      <w:trPr>
        <w:jc w:val="center"/>
      </w:trPr>
      <w:tc>
        <w:tcPr>
          <w:tcW w:w="1803" w:type="dxa"/>
          <w:vAlign w:val="center"/>
        </w:tcPr>
        <w:p w14:paraId="6086122C"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2740904" w14:textId="60A92CB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56F2A">
            <w:rPr>
              <w:bCs/>
            </w:rPr>
            <w:t>76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5A5D94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FC97" w14:textId="77777777" w:rsidR="00A62E97" w:rsidRDefault="00A62E97">
      <w:r>
        <w:t>____________________</w:t>
      </w:r>
    </w:p>
  </w:footnote>
  <w:footnote w:type="continuationSeparator" w:id="0">
    <w:p w14:paraId="3541D3D7" w14:textId="77777777" w:rsidR="00A62E97" w:rsidRDefault="00A6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F8CC"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97"/>
    <w:rsid w:val="000007D1"/>
    <w:rsid w:val="00056F2A"/>
    <w:rsid w:val="0006007D"/>
    <w:rsid w:val="00093EEB"/>
    <w:rsid w:val="000B0D00"/>
    <w:rsid w:val="000B7C15"/>
    <w:rsid w:val="000D1D0F"/>
    <w:rsid w:val="000E3F07"/>
    <w:rsid w:val="000F5290"/>
    <w:rsid w:val="000F5A95"/>
    <w:rsid w:val="0010165C"/>
    <w:rsid w:val="00146BFB"/>
    <w:rsid w:val="001559F5"/>
    <w:rsid w:val="00157AC4"/>
    <w:rsid w:val="0016169C"/>
    <w:rsid w:val="00173002"/>
    <w:rsid w:val="001958F5"/>
    <w:rsid w:val="001B6E2B"/>
    <w:rsid w:val="001F14A2"/>
    <w:rsid w:val="00230C7C"/>
    <w:rsid w:val="00275283"/>
    <w:rsid w:val="00277DEA"/>
    <w:rsid w:val="002801AA"/>
    <w:rsid w:val="002946E2"/>
    <w:rsid w:val="002C3F32"/>
    <w:rsid w:val="002C4676"/>
    <w:rsid w:val="002C70B0"/>
    <w:rsid w:val="002F3CC4"/>
    <w:rsid w:val="003032E2"/>
    <w:rsid w:val="0031300A"/>
    <w:rsid w:val="003273A4"/>
    <w:rsid w:val="0034796E"/>
    <w:rsid w:val="003A6633"/>
    <w:rsid w:val="004571B0"/>
    <w:rsid w:val="00465C35"/>
    <w:rsid w:val="00473962"/>
    <w:rsid w:val="004B5D49"/>
    <w:rsid w:val="004D3A3C"/>
    <w:rsid w:val="00513630"/>
    <w:rsid w:val="00522CA2"/>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063B"/>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62E97"/>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136BB"/>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634E9"/>
    <w:rsid w:val="00E7691E"/>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52B09"/>
  <w15:docId w15:val="{04D02256-E688-4E42-AC42-E7C38F2F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81/es" TargetMode="External"/><Relationship Id="rId13" Type="http://schemas.openxmlformats.org/officeDocument/2006/relationships/hyperlink" Target="https://www.itu.int/digital-resilience/submarine-cables/wp-content/uploads/sites/2/2025/02/summit-declaration-nigeria-2025.pdf" TargetMode="External"/><Relationship Id="rId18"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tu.int/digital-resilience/submarine-cables/events/iab-deliverable/" TargetMode="External"/><Relationship Id="rId7" Type="http://schemas.openxmlformats.org/officeDocument/2006/relationships/hyperlink" Target="https://www.itu.int/md/S25-CL-C-0081/es" TargetMode="External"/><Relationship Id="rId12" Type="http://schemas.openxmlformats.org/officeDocument/2006/relationships/hyperlink" Target="https://www.itu.int/digital-resilience/submarine-cables/wp-content/uploads/sites/2/2025/02/summit-declaration-nigeria-2025.pdf" TargetMode="External"/><Relationship Id="rId17"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20" Type="http://schemas.openxmlformats.org/officeDocument/2006/relationships/hyperlink" Target="https://www.itu.int/digital-resilience/submarine-cables/events/iab-deliverable/" TargetMode="External"/><Relationship Id="rId1" Type="http://schemas.openxmlformats.org/officeDocument/2006/relationships/styles" Target="styles.xml"/><Relationship Id="rId6" Type="http://schemas.openxmlformats.org/officeDocument/2006/relationships/hyperlink" Target="https://www.itu.int/digital-resilience/submarine-cables/events/about-porto-summit/program-2026/" TargetMode="External"/><Relationship Id="rId11" Type="http://schemas.openxmlformats.org/officeDocument/2006/relationships/hyperlink" Target="https://www.itu.int/digital-resilience/submarine-cables/advisory-body/"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itu.int/digital-resilience/submarine-cables/events/iab-deliverable/" TargetMode="External"/><Relationship Id="rId23" Type="http://schemas.openxmlformats.org/officeDocument/2006/relationships/header" Target="header1.xml"/><Relationship Id="rId10" Type="http://schemas.openxmlformats.org/officeDocument/2006/relationships/hyperlink" Target="https://www.itu.int/digital-resilience/submarine-cables/advisory-body/" TargetMode="External"/><Relationship Id="rId19"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4" Type="http://schemas.openxmlformats.org/officeDocument/2006/relationships/footnotes" Target="footnotes.xml"/><Relationship Id="rId9" Type="http://schemas.openxmlformats.org/officeDocument/2006/relationships/hyperlink" Target="https://www.itu.int/md/S25-CL-C-0081/en" TargetMode="External"/><Relationship Id="rId14" Type="http://schemas.openxmlformats.org/officeDocument/2006/relationships/hyperlink" Target="https://www.itu.int/digital-resilience/submarine-cables/events/iab-deliverable/"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5</Pages>
  <Words>1652</Words>
  <Characters>11909</Characters>
  <Application>Microsoft Office Word</Application>
  <DocSecurity>0</DocSecurity>
  <Lines>220</Lines>
  <Paragraphs>101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Fortalecimiento de la resiliencia de los cables submarinos: el Organismo Consultivo Internacional sobre resiliencia de los cables submarinos y la Cumbre de Oporto de 2026</vt:lpstr>
    </vt:vector>
  </TitlesOfParts>
  <Manager>Secretaría General - Pool</Manager>
  <Company>International Telecommunication Union</Company>
  <LinksUpToDate>false</LinksUpToDate>
  <CharactersWithSpaces>13460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Fortalecimiento de la resiliencia de los cables submarinos: el Organismo Consultivo Internacional sobre resiliencia de los cables submarinos y la Cumbre de Oporto de 2026</dc:title>
  <dc:subject>Consejo 2026 de la UIT</dc:subject>
  <cp:keywords>C26; C2026; Council 2026; PP26</cp:keywords>
  <dc:description/>
  <cp:lastPrinted>2006-03-24T09:51:00Z</cp:lastPrinted>
  <dcterms:created xsi:type="dcterms:W3CDTF">2026-04-28T17:26:00Z</dcterms:created>
  <dcterms:modified xsi:type="dcterms:W3CDTF">2026-04-28T17:27:00Z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